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0665" w14:textId="77777777" w:rsidR="005F4AD8" w:rsidRPr="00B14F56" w:rsidRDefault="005F4AD8" w:rsidP="00423E92">
      <w:pPr>
        <w:spacing w:line="360" w:lineRule="auto"/>
        <w:rPr>
          <w:b/>
          <w:bCs/>
        </w:rPr>
      </w:pPr>
      <w:bookmarkStart w:id="0" w:name="_Hlk117503946"/>
      <w:r w:rsidRPr="00B14F56">
        <w:rPr>
          <w:b/>
          <w:bCs/>
        </w:rPr>
        <w:t>Editorial comment</w:t>
      </w:r>
    </w:p>
    <w:p w14:paraId="3A690BE3" w14:textId="4D410F8A" w:rsidR="005F4AD8" w:rsidRPr="00B14F56" w:rsidRDefault="006E4E59" w:rsidP="00423E92">
      <w:pPr>
        <w:spacing w:line="360" w:lineRule="auto"/>
        <w:rPr>
          <w:b/>
          <w:bCs/>
        </w:rPr>
      </w:pPr>
      <w:r>
        <w:rPr>
          <w:b/>
          <w:bCs/>
        </w:rPr>
        <w:t>The provision of weapons</w:t>
      </w:r>
      <w:r w:rsidR="002C4C39">
        <w:rPr>
          <w:b/>
          <w:bCs/>
        </w:rPr>
        <w:t xml:space="preserve"> and logistical support to</w:t>
      </w:r>
      <w:r w:rsidR="005F4AD8" w:rsidRPr="00B14F56">
        <w:rPr>
          <w:b/>
          <w:bCs/>
        </w:rPr>
        <w:t xml:space="preserve"> Ukraine and</w:t>
      </w:r>
      <w:r w:rsidR="00BD239A" w:rsidRPr="00B14F56">
        <w:rPr>
          <w:b/>
          <w:bCs/>
          <w:i/>
          <w:iCs/>
        </w:rPr>
        <w:t xml:space="preserve"> </w:t>
      </w:r>
      <w:r w:rsidR="00BD239A" w:rsidRPr="00B14F56">
        <w:rPr>
          <w:b/>
          <w:bCs/>
        </w:rPr>
        <w:t>the</w:t>
      </w:r>
      <w:r w:rsidR="00BD239A" w:rsidRPr="00B14F56">
        <w:rPr>
          <w:b/>
          <w:bCs/>
          <w:i/>
          <w:iCs/>
        </w:rPr>
        <w:t xml:space="preserve"> jus ad bellum</w:t>
      </w:r>
    </w:p>
    <w:p w14:paraId="6AF9C9F8" w14:textId="77777777" w:rsidR="005F4AD8" w:rsidRPr="00B14F56" w:rsidRDefault="005F4AD8" w:rsidP="00B14F56">
      <w:pPr>
        <w:spacing w:line="360" w:lineRule="auto"/>
        <w:jc w:val="both"/>
        <w:rPr>
          <w:b/>
          <w:bCs/>
        </w:rPr>
      </w:pPr>
    </w:p>
    <w:p w14:paraId="0BC62C61" w14:textId="77777777" w:rsidR="005F4AD8" w:rsidRPr="00B14F56" w:rsidRDefault="005F4AD8" w:rsidP="00B14F56">
      <w:pPr>
        <w:pStyle w:val="NoSpacing"/>
        <w:spacing w:line="360" w:lineRule="auto"/>
        <w:jc w:val="both"/>
        <w:rPr>
          <w:lang w:val="en-GB"/>
        </w:rPr>
      </w:pPr>
      <w:r w:rsidRPr="00B14F56">
        <w:rPr>
          <w:lang w:val="en-GB"/>
        </w:rPr>
        <w:t>James A Green</w:t>
      </w:r>
      <w:r w:rsidRPr="00B14F56">
        <w:rPr>
          <w:rStyle w:val="FootnoteReference"/>
          <w:lang w:val="en-GB"/>
        </w:rPr>
        <w:footnoteReference w:customMarkFollows="1" w:id="1"/>
        <w:sym w:font="Symbol" w:char="F02A"/>
      </w:r>
    </w:p>
    <w:p w14:paraId="4CA12D53" w14:textId="77777777" w:rsidR="005F4AD8" w:rsidRPr="00B14F56" w:rsidRDefault="005F4AD8" w:rsidP="00B14F56">
      <w:pPr>
        <w:pStyle w:val="NoSpacing"/>
        <w:spacing w:line="360" w:lineRule="auto"/>
        <w:jc w:val="both"/>
        <w:rPr>
          <w:sz w:val="20"/>
          <w:szCs w:val="20"/>
          <w:lang w:val="en-GB"/>
        </w:rPr>
      </w:pPr>
      <w:r w:rsidRPr="00B14F56">
        <w:rPr>
          <w:sz w:val="20"/>
          <w:szCs w:val="20"/>
          <w:lang w:val="en-GB"/>
        </w:rPr>
        <w:t>University of the West of England, Bristol, UK; Co-Editor-in-Chief</w:t>
      </w:r>
    </w:p>
    <w:p w14:paraId="5E54A9CF" w14:textId="77777777" w:rsidR="005F4AD8" w:rsidRPr="00B14F56" w:rsidRDefault="005F4AD8" w:rsidP="00B14F56">
      <w:pPr>
        <w:pStyle w:val="NoSpacing"/>
        <w:spacing w:line="360" w:lineRule="auto"/>
        <w:jc w:val="both"/>
        <w:rPr>
          <w:sz w:val="20"/>
          <w:szCs w:val="20"/>
          <w:lang w:val="en-GB"/>
        </w:rPr>
      </w:pPr>
      <w:r w:rsidRPr="00B14F56">
        <w:rPr>
          <w:sz w:val="20"/>
          <w:szCs w:val="20"/>
          <w:lang w:val="en-GB"/>
        </w:rPr>
        <w:t xml:space="preserve">CONTACT: </w:t>
      </w:r>
      <w:hyperlink r:id="rId7" w:history="1">
        <w:r w:rsidRPr="00B14F56">
          <w:rPr>
            <w:rStyle w:val="Hyperlink"/>
            <w:sz w:val="20"/>
            <w:szCs w:val="20"/>
            <w:lang w:val="en-GB"/>
          </w:rPr>
          <w:t>james14.green@uwe.ac.uk</w:t>
        </w:r>
      </w:hyperlink>
    </w:p>
    <w:p w14:paraId="4620DA79" w14:textId="2C127DB6" w:rsidR="001A6C5C" w:rsidRDefault="001A6C5C" w:rsidP="00B14F56">
      <w:pPr>
        <w:spacing w:line="360" w:lineRule="auto"/>
        <w:jc w:val="both"/>
      </w:pPr>
    </w:p>
    <w:p w14:paraId="5C6D77CC" w14:textId="255ACC7A" w:rsidR="00160133" w:rsidRPr="006B2C71" w:rsidRDefault="006B2C71" w:rsidP="00642F49">
      <w:pPr>
        <w:spacing w:line="360" w:lineRule="auto"/>
        <w:ind w:left="720"/>
        <w:jc w:val="both"/>
        <w:rPr>
          <w:b/>
          <w:bCs/>
        </w:rPr>
      </w:pPr>
      <w:r w:rsidRPr="006B2C71">
        <w:rPr>
          <w:b/>
          <w:bCs/>
        </w:rPr>
        <w:t>ABSTRACT</w:t>
      </w:r>
    </w:p>
    <w:p w14:paraId="0291BBCB" w14:textId="643146C1" w:rsidR="00160133" w:rsidRDefault="00B44F73" w:rsidP="00642F49">
      <w:pPr>
        <w:spacing w:line="360" w:lineRule="auto"/>
        <w:ind w:left="720"/>
        <w:jc w:val="both"/>
      </w:pPr>
      <w:r w:rsidRPr="00B14F56">
        <w:t xml:space="preserve">This editorial considers the support currently being </w:t>
      </w:r>
      <w:r w:rsidR="00F65339">
        <w:t>supplied</w:t>
      </w:r>
      <w:r w:rsidRPr="00B14F56">
        <w:t xml:space="preserve"> to Ukraine following Russia’s ongoing full-scale invasion, which began in February 2022. </w:t>
      </w:r>
      <w:r w:rsidR="00EF50EB">
        <w:t>W</w:t>
      </w:r>
      <w:r w:rsidRPr="00B14F56">
        <w:t xml:space="preserve">estern states have </w:t>
      </w:r>
      <w:r w:rsidR="00F65339">
        <w:t>provided</w:t>
      </w:r>
      <w:r w:rsidRPr="00B14F56">
        <w:t xml:space="preserve"> significant aid to Ukraine in the form, </w:t>
      </w:r>
      <w:r w:rsidRPr="00B14F56">
        <w:rPr>
          <w:i/>
          <w:iCs/>
        </w:rPr>
        <w:t>inter alia</w:t>
      </w:r>
      <w:r w:rsidRPr="00B14F56">
        <w:t>, of modern weapons and training.</w:t>
      </w:r>
      <w:r>
        <w:t xml:space="preserve"> </w:t>
      </w:r>
      <w:r w:rsidRPr="00B14F56">
        <w:t>Th</w:t>
      </w:r>
      <w:r>
        <w:t>is editorial</w:t>
      </w:r>
      <w:r w:rsidR="00DC6A08">
        <w:t xml:space="preserve"> asks</w:t>
      </w:r>
      <w:r w:rsidRPr="00B14F56">
        <w:t xml:space="preserve"> whether </w:t>
      </w:r>
      <w:r w:rsidR="00DC6A08">
        <w:t xml:space="preserve">that </w:t>
      </w:r>
      <w:r w:rsidRPr="00B14F56">
        <w:t xml:space="preserve">support is </w:t>
      </w:r>
      <w:r w:rsidRPr="00B14F56">
        <w:rPr>
          <w:i/>
          <w:iCs/>
        </w:rPr>
        <w:t>in itself</w:t>
      </w:r>
      <w:r w:rsidRPr="00B14F56">
        <w:t xml:space="preserve"> </w:t>
      </w:r>
      <w:r w:rsidR="00DC6A08">
        <w:t>a</w:t>
      </w:r>
      <w:r w:rsidRPr="00B14F56">
        <w:t xml:space="preserve"> use of force</w:t>
      </w:r>
      <w:r w:rsidR="00DC6A08">
        <w:t xml:space="preserve"> in </w:t>
      </w:r>
      <w:r w:rsidR="00DC6A08" w:rsidRPr="00952CC0">
        <w:rPr>
          <w:i/>
          <w:iCs/>
        </w:rPr>
        <w:t>prima facie</w:t>
      </w:r>
      <w:r w:rsidR="00DC6A08">
        <w:t xml:space="preserve"> </w:t>
      </w:r>
      <w:r w:rsidR="0091409C">
        <w:t xml:space="preserve">violation of Article 2(4) of the UN Charter and customary international law. </w:t>
      </w:r>
      <w:r w:rsidR="00952CC0">
        <w:t xml:space="preserve">A related question </w:t>
      </w:r>
      <w:r w:rsidR="00C44F74">
        <w:t xml:space="preserve">that is </w:t>
      </w:r>
      <w:r w:rsidR="00952CC0">
        <w:t>also considered is</w:t>
      </w:r>
      <w:r w:rsidRPr="00B14F56">
        <w:t xml:space="preserve"> whether NATO member states (and others) are</w:t>
      </w:r>
      <w:r w:rsidR="00952CC0">
        <w:t xml:space="preserve"> currently</w:t>
      </w:r>
      <w:r w:rsidRPr="00B14F56">
        <w:t xml:space="preserve"> exercising the right of collective self-defence</w:t>
      </w:r>
      <w:r w:rsidR="0091409C">
        <w:t xml:space="preserve"> in relation to their support for Ukraine</w:t>
      </w:r>
      <w:r w:rsidR="000D2915">
        <w:t>.</w:t>
      </w:r>
    </w:p>
    <w:p w14:paraId="79432D2A" w14:textId="77777777" w:rsidR="006B2C71" w:rsidRDefault="006B2C71" w:rsidP="00642F49">
      <w:pPr>
        <w:spacing w:line="360" w:lineRule="auto"/>
        <w:ind w:left="720"/>
        <w:jc w:val="both"/>
        <w:rPr>
          <w:b/>
          <w:bCs/>
        </w:rPr>
      </w:pPr>
    </w:p>
    <w:p w14:paraId="0C7799F4" w14:textId="30D52232" w:rsidR="00AB6F3D" w:rsidRPr="009173C9" w:rsidRDefault="006B2C71" w:rsidP="00642F49">
      <w:pPr>
        <w:spacing w:line="360" w:lineRule="auto"/>
        <w:ind w:left="720"/>
        <w:jc w:val="both"/>
        <w:rPr>
          <w:b/>
          <w:bCs/>
        </w:rPr>
      </w:pPr>
      <w:r w:rsidRPr="009173C9">
        <w:rPr>
          <w:b/>
          <w:bCs/>
        </w:rPr>
        <w:t>KEYWORDS</w:t>
      </w:r>
    </w:p>
    <w:p w14:paraId="35C87A47" w14:textId="49D3EFDC" w:rsidR="00AB6F3D" w:rsidRDefault="009173C9" w:rsidP="00642F49">
      <w:pPr>
        <w:spacing w:line="360" w:lineRule="auto"/>
        <w:ind w:left="720"/>
        <w:jc w:val="both"/>
      </w:pPr>
      <w:r>
        <w:t>u</w:t>
      </w:r>
      <w:r w:rsidR="00AB6F3D">
        <w:t xml:space="preserve">se of force; </w:t>
      </w:r>
      <w:r>
        <w:t>collective</w:t>
      </w:r>
      <w:r w:rsidR="00AB6F3D">
        <w:t xml:space="preserve"> self-</w:t>
      </w:r>
      <w:r>
        <w:t>defence</w:t>
      </w:r>
      <w:r w:rsidR="00AB6F3D">
        <w:t>; Ukraine; Russia; NATO; weapons</w:t>
      </w:r>
    </w:p>
    <w:p w14:paraId="6678B0EF" w14:textId="63144876" w:rsidR="00B44F73" w:rsidRDefault="00B44F73" w:rsidP="00B14F56">
      <w:pPr>
        <w:spacing w:line="360" w:lineRule="auto"/>
        <w:jc w:val="both"/>
      </w:pPr>
    </w:p>
    <w:p w14:paraId="3A2AC966" w14:textId="77777777" w:rsidR="00430578" w:rsidRDefault="00430578" w:rsidP="00B14F56">
      <w:pPr>
        <w:spacing w:line="360" w:lineRule="auto"/>
        <w:jc w:val="both"/>
        <w:rPr>
          <w:b/>
          <w:bCs/>
        </w:rPr>
      </w:pPr>
    </w:p>
    <w:p w14:paraId="14D63104" w14:textId="75863EF9" w:rsidR="00B44F73" w:rsidRPr="00642F49" w:rsidRDefault="00642F49" w:rsidP="00B14F56">
      <w:pPr>
        <w:spacing w:line="360" w:lineRule="auto"/>
        <w:jc w:val="both"/>
        <w:rPr>
          <w:b/>
          <w:bCs/>
        </w:rPr>
      </w:pPr>
      <w:r w:rsidRPr="00642F49">
        <w:rPr>
          <w:b/>
          <w:bCs/>
        </w:rPr>
        <w:t xml:space="preserve">1. Introduction </w:t>
      </w:r>
    </w:p>
    <w:p w14:paraId="79892462" w14:textId="77777777" w:rsidR="00B44F73" w:rsidRPr="00B14F56" w:rsidRDefault="00B44F73" w:rsidP="00B14F56">
      <w:pPr>
        <w:spacing w:line="360" w:lineRule="auto"/>
        <w:jc w:val="both"/>
      </w:pPr>
    </w:p>
    <w:p w14:paraId="06A3E302" w14:textId="69160BDC" w:rsidR="0018404A" w:rsidRDefault="004777D3" w:rsidP="00B14F56">
      <w:pPr>
        <w:spacing w:line="360" w:lineRule="auto"/>
        <w:jc w:val="both"/>
      </w:pPr>
      <w:r w:rsidRPr="00B14F56">
        <w:t xml:space="preserve">This editorial considers the support </w:t>
      </w:r>
      <w:r w:rsidR="00E23CE0" w:rsidRPr="00B14F56">
        <w:t xml:space="preserve">currently </w:t>
      </w:r>
      <w:r w:rsidRPr="00B14F56">
        <w:t xml:space="preserve">being provided by </w:t>
      </w:r>
      <w:r w:rsidR="00FE6122">
        <w:t>w</w:t>
      </w:r>
      <w:r w:rsidRPr="00B14F56">
        <w:t xml:space="preserve">estern states to Ukraine following </w:t>
      </w:r>
      <w:r w:rsidR="00ED43AD" w:rsidRPr="00B14F56">
        <w:t xml:space="preserve">Russia’s </w:t>
      </w:r>
      <w:r w:rsidRPr="00B14F56">
        <w:t xml:space="preserve">ongoing </w:t>
      </w:r>
      <w:r w:rsidR="00464ABD" w:rsidRPr="00B14F56">
        <w:t xml:space="preserve">full-scale </w:t>
      </w:r>
      <w:r w:rsidR="00ED43AD" w:rsidRPr="00B14F56">
        <w:t>invasion</w:t>
      </w:r>
      <w:r w:rsidR="00E23CE0" w:rsidRPr="00B14F56">
        <w:t>, which began in February 2022</w:t>
      </w:r>
      <w:r w:rsidRPr="00B14F56">
        <w:t>.</w:t>
      </w:r>
      <w:r w:rsidR="008E6861" w:rsidRPr="00574FA1">
        <w:rPr>
          <w:rStyle w:val="FootnoteReference"/>
        </w:rPr>
        <w:footnoteReference w:id="2"/>
      </w:r>
      <w:r w:rsidRPr="00B14F56">
        <w:t xml:space="preserve"> </w:t>
      </w:r>
      <w:r w:rsidR="00ED43AD" w:rsidRPr="00B14F56">
        <w:t>NATO</w:t>
      </w:r>
      <w:r w:rsidR="00767E87" w:rsidRPr="00B14F56">
        <w:t xml:space="preserve"> member</w:t>
      </w:r>
      <w:r w:rsidR="00E442EA">
        <w:t>s</w:t>
      </w:r>
      <w:r w:rsidR="00ED43AD" w:rsidRPr="00B14F56">
        <w:t xml:space="preserve">, the EU and other states have </w:t>
      </w:r>
      <w:r w:rsidR="00C10698" w:rsidRPr="00B14F56">
        <w:t>afforded</w:t>
      </w:r>
      <w:r w:rsidR="00ED43AD" w:rsidRPr="00B14F56">
        <w:t xml:space="preserve"> significant aid to Ukraine in the form, </w:t>
      </w:r>
      <w:r w:rsidR="00ED43AD" w:rsidRPr="00B14F56">
        <w:rPr>
          <w:i/>
          <w:iCs/>
        </w:rPr>
        <w:t>inter alia</w:t>
      </w:r>
      <w:r w:rsidR="00ED43AD" w:rsidRPr="00B14F56">
        <w:t>, of the supply of modern weapons and training.</w:t>
      </w:r>
      <w:r w:rsidR="00ED43AD" w:rsidRPr="00B14F56">
        <w:rPr>
          <w:rStyle w:val="FootnoteReference"/>
        </w:rPr>
        <w:footnoteReference w:id="3"/>
      </w:r>
      <w:r w:rsidR="00ED43AD" w:rsidRPr="00B14F56">
        <w:t xml:space="preserve"> Th</w:t>
      </w:r>
      <w:r w:rsidR="00917B24" w:rsidRPr="00B14F56">
        <w:t>at</w:t>
      </w:r>
      <w:r w:rsidR="00ED43AD" w:rsidRPr="00B14F56">
        <w:t xml:space="preserve"> support, too, is ongoing at the time of writing.</w:t>
      </w:r>
      <w:r w:rsidR="00767E87" w:rsidRPr="00B14F56">
        <w:rPr>
          <w:rStyle w:val="FootnoteReference"/>
        </w:rPr>
        <w:footnoteReference w:id="4"/>
      </w:r>
      <w:r w:rsidR="00ED43AD" w:rsidRPr="00B14F56">
        <w:t xml:space="preserve"> </w:t>
      </w:r>
      <w:r w:rsidR="00BB79E0" w:rsidRPr="00B14F56">
        <w:t xml:space="preserve">It is also worth noting that there have been recent suggestions that China may soon </w:t>
      </w:r>
      <w:r w:rsidR="00BB79E0" w:rsidRPr="00B14F56">
        <w:lastRenderedPageBreak/>
        <w:t xml:space="preserve">begin to provide </w:t>
      </w:r>
      <w:r w:rsidR="00392348" w:rsidRPr="00B14F56">
        <w:t>some similar</w:t>
      </w:r>
      <w:r w:rsidR="001435F7">
        <w:t xml:space="preserve"> forms of</w:t>
      </w:r>
      <w:r w:rsidR="00392348" w:rsidRPr="00B14F56">
        <w:t xml:space="preserve"> </w:t>
      </w:r>
      <w:r w:rsidR="00BB79E0" w:rsidRPr="00B14F56">
        <w:t xml:space="preserve">‘lethal support’ </w:t>
      </w:r>
      <w:r w:rsidR="00392348" w:rsidRPr="00B14F56">
        <w:t xml:space="preserve">to </w:t>
      </w:r>
      <w:r w:rsidR="002F1832">
        <w:t xml:space="preserve">aid </w:t>
      </w:r>
      <w:r w:rsidR="00392348" w:rsidRPr="00B14F56">
        <w:t>Russia</w:t>
      </w:r>
      <w:r w:rsidR="002F1832">
        <w:t>’s war effort</w:t>
      </w:r>
      <w:r w:rsidR="00EA2165" w:rsidRPr="00B14F56">
        <w:t>,</w:t>
      </w:r>
      <w:r w:rsidR="009A686A" w:rsidRPr="00B14F56">
        <w:rPr>
          <w:rStyle w:val="FootnoteReference"/>
        </w:rPr>
        <w:footnoteReference w:id="5"/>
      </w:r>
      <w:r w:rsidR="00392348" w:rsidRPr="00B14F56">
        <w:t xml:space="preserve"> although as of March 2023</w:t>
      </w:r>
      <w:r w:rsidR="006B76B4" w:rsidRPr="00B14F56">
        <w:t xml:space="preserve"> that </w:t>
      </w:r>
      <w:r w:rsidR="00BB79E0" w:rsidRPr="00B14F56">
        <w:t xml:space="preserve">remains </w:t>
      </w:r>
      <w:r w:rsidR="002F1832">
        <w:t>extremely</w:t>
      </w:r>
      <w:r w:rsidR="006B76B4" w:rsidRPr="00B14F56">
        <w:t xml:space="preserve"> </w:t>
      </w:r>
      <w:r w:rsidR="00BB79E0" w:rsidRPr="00B14F56">
        <w:t>speculative.</w:t>
      </w:r>
    </w:p>
    <w:p w14:paraId="182F9F8C" w14:textId="74CF56D8" w:rsidR="00B5756D" w:rsidRDefault="00FE6122" w:rsidP="0018404A">
      <w:pPr>
        <w:spacing w:line="360" w:lineRule="auto"/>
        <w:ind w:firstLine="720"/>
        <w:jc w:val="both"/>
      </w:pPr>
      <w:r>
        <w:t>To date w</w:t>
      </w:r>
      <w:r w:rsidR="00714852" w:rsidRPr="00B14F56">
        <w:t xml:space="preserve">estern </w:t>
      </w:r>
      <w:proofErr w:type="gramStart"/>
      <w:r w:rsidR="00714852" w:rsidRPr="00B14F56">
        <w:t>states</w:t>
      </w:r>
      <w:proofErr w:type="gramEnd"/>
      <w:r w:rsidR="00714852" w:rsidRPr="00B14F56">
        <w:t xml:space="preserve"> ha</w:t>
      </w:r>
      <w:r w:rsidR="0081697B" w:rsidRPr="00B14F56">
        <w:t>ve</w:t>
      </w:r>
      <w:r w:rsidR="009A686A">
        <w:t xml:space="preserve">, of course, </w:t>
      </w:r>
      <w:r w:rsidR="00ED43AD" w:rsidRPr="00B14F56">
        <w:t xml:space="preserve">stopped short of imposing a no-fly zone </w:t>
      </w:r>
      <w:r w:rsidR="000E7933">
        <w:t xml:space="preserve">over Ukrainian territory </w:t>
      </w:r>
      <w:r w:rsidR="00283200" w:rsidRPr="00B14F56">
        <w:t>and have stopped</w:t>
      </w:r>
      <w:r w:rsidR="00ED43AD" w:rsidRPr="00B14F56">
        <w:t xml:space="preserve"> </w:t>
      </w:r>
      <w:r w:rsidR="00ED43AD" w:rsidRPr="00B14F56">
        <w:rPr>
          <w:i/>
          <w:iCs/>
        </w:rPr>
        <w:t>well</w:t>
      </w:r>
      <w:r w:rsidR="00ED43AD" w:rsidRPr="00B14F56">
        <w:t xml:space="preserve"> short of NATO boots on the ground. </w:t>
      </w:r>
      <w:r w:rsidR="00035BAE" w:rsidRPr="00B14F56">
        <w:t xml:space="preserve">The risks of escalation inherent in </w:t>
      </w:r>
      <w:r w:rsidR="000E7933">
        <w:t xml:space="preserve">NATO </w:t>
      </w:r>
      <w:r w:rsidR="000E7933" w:rsidRPr="000E7933">
        <w:rPr>
          <w:i/>
          <w:iCs/>
        </w:rPr>
        <w:t>et al</w:t>
      </w:r>
      <w:r w:rsidR="000E7933">
        <w:t xml:space="preserve"> </w:t>
      </w:r>
      <w:r w:rsidR="006B76B4" w:rsidRPr="00B14F56">
        <w:t xml:space="preserve">taking </w:t>
      </w:r>
      <w:r w:rsidR="00035BAE" w:rsidRPr="00B14F56">
        <w:t xml:space="preserve">such </w:t>
      </w:r>
      <w:r w:rsidR="00351463">
        <w:t>steps</w:t>
      </w:r>
      <w:r w:rsidR="00035BAE" w:rsidRPr="00B14F56">
        <w:t xml:space="preserve"> </w:t>
      </w:r>
      <w:r w:rsidR="002D7B4D" w:rsidRPr="00B14F56">
        <w:t>are</w:t>
      </w:r>
      <w:r w:rsidR="00C90807">
        <w:t xml:space="preserve"> </w:t>
      </w:r>
      <w:r w:rsidR="002D7B4D" w:rsidRPr="00B14F56">
        <w:t>vast,</w:t>
      </w:r>
      <w:r w:rsidR="00FC570F">
        <w:rPr>
          <w:rStyle w:val="FootnoteReference"/>
        </w:rPr>
        <w:footnoteReference w:id="6"/>
      </w:r>
      <w:r w:rsidR="002D7B4D" w:rsidRPr="00B14F56">
        <w:t xml:space="preserve"> but should </w:t>
      </w:r>
      <w:r w:rsidR="00581776">
        <w:t>it ever do so, those actions</w:t>
      </w:r>
      <w:r w:rsidR="002D7B4D" w:rsidRPr="00B14F56">
        <w:t xml:space="preserve"> would constitute use of force</w:t>
      </w:r>
      <w:r w:rsidR="00794B06" w:rsidRPr="00B14F56">
        <w:t>s</w:t>
      </w:r>
      <w:r w:rsidR="00182E54" w:rsidRPr="00B14F56">
        <w:t xml:space="preserve"> </w:t>
      </w:r>
      <w:r w:rsidR="00581776">
        <w:t>in</w:t>
      </w:r>
      <w:r w:rsidR="00182E54" w:rsidRPr="00B14F56">
        <w:t xml:space="preserve"> </w:t>
      </w:r>
      <w:r w:rsidR="00182E54" w:rsidRPr="00B14F56">
        <w:rPr>
          <w:i/>
          <w:iCs/>
        </w:rPr>
        <w:t>prima facie</w:t>
      </w:r>
      <w:r w:rsidR="00182E54" w:rsidRPr="00B14F56">
        <w:t xml:space="preserve"> breach of Article 2(4) </w:t>
      </w:r>
      <w:r w:rsidR="006B76B4" w:rsidRPr="00B14F56">
        <w:t xml:space="preserve">of the UN Charter </w:t>
      </w:r>
      <w:r w:rsidR="00182E54" w:rsidRPr="00B14F56">
        <w:t xml:space="preserve">and </w:t>
      </w:r>
      <w:r w:rsidR="008A4C89" w:rsidRPr="00B14F56">
        <w:t>customary international law.</w:t>
      </w:r>
      <w:r w:rsidR="008A4C89" w:rsidRPr="00B14F56">
        <w:rPr>
          <w:rStyle w:val="FootnoteReference"/>
        </w:rPr>
        <w:footnoteReference w:id="7"/>
      </w:r>
      <w:r w:rsidR="008A4C89" w:rsidRPr="00B14F56">
        <w:t xml:space="preserve"> As such, </w:t>
      </w:r>
      <w:r w:rsidR="00C90807">
        <w:t xml:space="preserve">more ‘robust’ NATO support for Ukraine of this sort </w:t>
      </w:r>
      <w:r w:rsidR="008A4C89" w:rsidRPr="00B14F56">
        <w:t>would need to be justified as collective self-defence</w:t>
      </w:r>
      <w:r w:rsidR="009D3C79" w:rsidRPr="00B14F56">
        <w:t>.</w:t>
      </w:r>
      <w:r w:rsidR="0096217D">
        <w:rPr>
          <w:rStyle w:val="FootnoteReference"/>
        </w:rPr>
        <w:footnoteReference w:id="8"/>
      </w:r>
    </w:p>
    <w:p w14:paraId="05F2B273" w14:textId="6656B1DA" w:rsidR="005416A0" w:rsidRPr="00B14F56" w:rsidRDefault="00B91AC6" w:rsidP="00B5756D">
      <w:pPr>
        <w:spacing w:line="360" w:lineRule="auto"/>
        <w:ind w:firstLine="720"/>
        <w:jc w:val="both"/>
      </w:pPr>
      <w:r w:rsidRPr="00B14F56">
        <w:t>The focus of this editorial</w:t>
      </w:r>
      <w:r w:rsidR="007C699D" w:rsidRPr="00B14F56">
        <w:t>, however,</w:t>
      </w:r>
      <w:r w:rsidR="008A4C89" w:rsidRPr="00B14F56">
        <w:t xml:space="preserve"> </w:t>
      </w:r>
      <w:r w:rsidRPr="00B14F56">
        <w:t xml:space="preserve">is </w:t>
      </w:r>
      <w:r w:rsidR="008A4C89" w:rsidRPr="00B14F56">
        <w:t xml:space="preserve">whether the </w:t>
      </w:r>
      <w:r w:rsidR="00DD3F8E" w:rsidRPr="00B14F56">
        <w:t xml:space="preserve">current support for Ukraine in the form of weapons and logistical support is </w:t>
      </w:r>
      <w:r w:rsidR="00DD3F8E" w:rsidRPr="00B14F56">
        <w:rPr>
          <w:i/>
          <w:iCs/>
        </w:rPr>
        <w:t>i</w:t>
      </w:r>
      <w:r w:rsidR="00C076FC" w:rsidRPr="00B14F56">
        <w:rPr>
          <w:i/>
          <w:iCs/>
        </w:rPr>
        <w:t>n i</w:t>
      </w:r>
      <w:r w:rsidR="00DD3F8E" w:rsidRPr="00B14F56">
        <w:rPr>
          <w:i/>
          <w:iCs/>
        </w:rPr>
        <w:t>tself</w:t>
      </w:r>
      <w:r w:rsidR="00DD3F8E" w:rsidRPr="00B14F56">
        <w:t xml:space="preserve"> a</w:t>
      </w:r>
      <w:r w:rsidR="00B14F56" w:rsidRPr="00B14F56">
        <w:t xml:space="preserve">n </w:t>
      </w:r>
      <w:r w:rsidR="00B14F56" w:rsidRPr="00B14F56">
        <w:rPr>
          <w:i/>
          <w:iCs/>
        </w:rPr>
        <w:t>ad bellum</w:t>
      </w:r>
      <w:r w:rsidR="00C076FC" w:rsidRPr="00B14F56">
        <w:t xml:space="preserve"> </w:t>
      </w:r>
      <w:r w:rsidR="00DD3F8E" w:rsidRPr="00B14F56">
        <w:t xml:space="preserve">use of force, and </w:t>
      </w:r>
      <w:r w:rsidR="00CE221B">
        <w:t>the related question of</w:t>
      </w:r>
      <w:r w:rsidR="00DD3F8E" w:rsidRPr="00B14F56">
        <w:t xml:space="preserve"> </w:t>
      </w:r>
      <w:r w:rsidR="00ED43AD" w:rsidRPr="00B14F56">
        <w:t xml:space="preserve">whether NATO member states (and others) </w:t>
      </w:r>
      <w:r w:rsidR="00CE221B">
        <w:t xml:space="preserve">thus </w:t>
      </w:r>
      <w:r w:rsidR="00ED43AD" w:rsidRPr="00B14F56">
        <w:t xml:space="preserve">are </w:t>
      </w:r>
      <w:r w:rsidR="00ED43AD" w:rsidRPr="00B14F56">
        <w:rPr>
          <w:i/>
          <w:iCs/>
        </w:rPr>
        <w:t>already</w:t>
      </w:r>
      <w:r w:rsidR="00ED43AD" w:rsidRPr="00B14F56">
        <w:t xml:space="preserve"> </w:t>
      </w:r>
      <w:r w:rsidR="00126C6A" w:rsidRPr="00B14F56">
        <w:t>exercising the right of</w:t>
      </w:r>
      <w:r w:rsidR="00ED43AD" w:rsidRPr="00B14F56">
        <w:t xml:space="preserve"> collective self-defence</w:t>
      </w:r>
      <w:r w:rsidR="00B14F56" w:rsidRPr="00B14F56">
        <w:t>, whether they acknowledge this or not</w:t>
      </w:r>
      <w:r w:rsidR="00B44F73">
        <w:t>.</w:t>
      </w:r>
    </w:p>
    <w:p w14:paraId="393E28CD" w14:textId="7D577F1D" w:rsidR="005416A0" w:rsidRPr="00B14F56" w:rsidRDefault="005416A0" w:rsidP="00B14F56">
      <w:pPr>
        <w:spacing w:line="360" w:lineRule="auto"/>
        <w:jc w:val="both"/>
      </w:pPr>
    </w:p>
    <w:p w14:paraId="20B47239" w14:textId="107FC5CA" w:rsidR="00B91AC6" w:rsidRPr="00B14F56" w:rsidRDefault="00EC6AD6" w:rsidP="00B14F56">
      <w:pPr>
        <w:spacing w:line="360" w:lineRule="auto"/>
        <w:jc w:val="both"/>
        <w:rPr>
          <w:b/>
          <w:bCs/>
        </w:rPr>
      </w:pPr>
      <w:r>
        <w:rPr>
          <w:b/>
          <w:bCs/>
        </w:rPr>
        <w:t xml:space="preserve">2. </w:t>
      </w:r>
      <w:r w:rsidR="00837AF6">
        <w:rPr>
          <w:b/>
          <w:bCs/>
        </w:rPr>
        <w:t>Engaging with some r</w:t>
      </w:r>
      <w:r w:rsidR="000955C1">
        <w:rPr>
          <w:b/>
          <w:bCs/>
        </w:rPr>
        <w:t xml:space="preserve">ecent </w:t>
      </w:r>
      <w:r w:rsidR="001C66E8">
        <w:rPr>
          <w:b/>
          <w:bCs/>
        </w:rPr>
        <w:t>scholarship</w:t>
      </w:r>
    </w:p>
    <w:p w14:paraId="398B8796" w14:textId="77777777" w:rsidR="00B91AC6" w:rsidRPr="00B14F56" w:rsidRDefault="00B91AC6" w:rsidP="00B14F56">
      <w:pPr>
        <w:spacing w:line="360" w:lineRule="auto"/>
        <w:jc w:val="both"/>
      </w:pPr>
    </w:p>
    <w:p w14:paraId="7E0663B6" w14:textId="1E745B3A" w:rsidR="00B5756D" w:rsidRDefault="00B91AC6" w:rsidP="00B14F56">
      <w:pPr>
        <w:spacing w:line="360" w:lineRule="auto"/>
        <w:jc w:val="both"/>
      </w:pPr>
      <w:r w:rsidRPr="00B14F56">
        <w:t>S</w:t>
      </w:r>
      <w:r w:rsidR="000815DA" w:rsidRPr="00B14F56">
        <w:t xml:space="preserve">ome scholars have </w:t>
      </w:r>
      <w:r w:rsidR="00FD43AA">
        <w:t xml:space="preserve">already </w:t>
      </w:r>
      <w:r w:rsidR="000815DA" w:rsidRPr="00B14F56">
        <w:t>reached the</w:t>
      </w:r>
      <w:r w:rsidRPr="00B14F56">
        <w:t xml:space="preserve"> </w:t>
      </w:r>
      <w:r w:rsidR="004A008D">
        <w:t>conclusion</w:t>
      </w:r>
      <w:r w:rsidRPr="00B14F56">
        <w:t xml:space="preserve"> that </w:t>
      </w:r>
      <w:r w:rsidR="00FE6122">
        <w:t>w</w:t>
      </w:r>
      <w:r w:rsidR="0016759E" w:rsidRPr="00B14F56">
        <w:t xml:space="preserve">estern aid </w:t>
      </w:r>
      <w:r w:rsidR="00FD43AA">
        <w:t xml:space="preserve">to Ukraine – in its current form – </w:t>
      </w:r>
      <w:r w:rsidR="0016759E" w:rsidRPr="00B14F56">
        <w:t>qualifie</w:t>
      </w:r>
      <w:r w:rsidR="00FD43AA">
        <w:t>s</w:t>
      </w:r>
      <w:r w:rsidR="0016759E" w:rsidRPr="00B14F56">
        <w:t xml:space="preserve"> as a use of force, albeit a legally justified one</w:t>
      </w:r>
      <w:r w:rsidR="000815DA" w:rsidRPr="00B14F56">
        <w:t>.</w:t>
      </w:r>
      <w:r w:rsidR="000815DA" w:rsidRPr="00B14F56">
        <w:rPr>
          <w:rStyle w:val="FootnoteReference"/>
        </w:rPr>
        <w:footnoteReference w:id="9"/>
      </w:r>
      <w:r w:rsidR="000815DA" w:rsidRPr="00B14F56">
        <w:t xml:space="preserve"> </w:t>
      </w:r>
      <w:r w:rsidR="009324C6" w:rsidRPr="00B14F56">
        <w:t xml:space="preserve">In </w:t>
      </w:r>
      <w:r w:rsidR="00F06E79" w:rsidRPr="00B14F56">
        <w:t>their</w:t>
      </w:r>
      <w:r w:rsidR="00AA620C" w:rsidRPr="00B14F56">
        <w:t xml:space="preserve"> </w:t>
      </w:r>
      <w:r w:rsidR="009324C6" w:rsidRPr="00B14F56">
        <w:t xml:space="preserve">recent </w:t>
      </w:r>
      <w:r w:rsidR="00FA5E28" w:rsidRPr="00FF681E">
        <w:rPr>
          <w:i/>
          <w:iCs/>
        </w:rPr>
        <w:t>Journal of International Humanitarian Legal Studies</w:t>
      </w:r>
      <w:r w:rsidR="00FA5E28" w:rsidRPr="00FF681E">
        <w:t xml:space="preserve"> </w:t>
      </w:r>
      <w:r w:rsidR="009324C6" w:rsidRPr="00B14F56">
        <w:t xml:space="preserve">article, for example, </w:t>
      </w:r>
      <w:r w:rsidR="00A359A3" w:rsidRPr="00B14F56">
        <w:t xml:space="preserve">Kevin Jon </w:t>
      </w:r>
      <w:r w:rsidR="009324C6" w:rsidRPr="00B14F56">
        <w:t xml:space="preserve">Heller and </w:t>
      </w:r>
      <w:r w:rsidR="00F06E79" w:rsidRPr="00B14F56">
        <w:t xml:space="preserve">Lena </w:t>
      </w:r>
      <w:proofErr w:type="spellStart"/>
      <w:r w:rsidR="009324C6" w:rsidRPr="00B14F56">
        <w:t>Trabucco</w:t>
      </w:r>
      <w:proofErr w:type="spellEnd"/>
      <w:r w:rsidR="00A1240E" w:rsidRPr="00B14F56">
        <w:t xml:space="preserve"> assertively conclude</w:t>
      </w:r>
      <w:r w:rsidR="000867F5" w:rsidRPr="00B14F56">
        <w:t xml:space="preserve"> that</w:t>
      </w:r>
      <w:r w:rsidR="00A1240E" w:rsidRPr="00B14F56">
        <w:t xml:space="preserve"> </w:t>
      </w:r>
      <w:r w:rsidR="001C740C" w:rsidRPr="00B14F56">
        <w:t>‘[p]</w:t>
      </w:r>
      <w:proofErr w:type="spellStart"/>
      <w:r w:rsidR="001C740C" w:rsidRPr="00B14F56">
        <w:t>roviding</w:t>
      </w:r>
      <w:proofErr w:type="spellEnd"/>
      <w:r w:rsidR="001C740C" w:rsidRPr="00B14F56">
        <w:t xml:space="preserve"> weapons to Ukraine constitutes the use of force against Russia’</w:t>
      </w:r>
      <w:r w:rsidR="00311BAE" w:rsidRPr="00B14F56">
        <w:t>,</w:t>
      </w:r>
      <w:r w:rsidR="002C3004">
        <w:rPr>
          <w:rStyle w:val="FootnoteReference"/>
        </w:rPr>
        <w:footnoteReference w:id="10"/>
      </w:r>
      <w:r w:rsidR="002F621B" w:rsidRPr="00B14F56">
        <w:t xml:space="preserve"> and do so</w:t>
      </w:r>
      <w:r w:rsidR="00311BAE" w:rsidRPr="00B14F56">
        <w:t xml:space="preserve"> based on just one paragraph of analysis</w:t>
      </w:r>
      <w:r w:rsidR="00F06E79" w:rsidRPr="00B14F56">
        <w:t>.</w:t>
      </w:r>
      <w:r w:rsidR="007548CB" w:rsidRPr="00B14F56">
        <w:rPr>
          <w:rStyle w:val="FootnoteReference"/>
        </w:rPr>
        <w:footnoteReference w:id="11"/>
      </w:r>
      <w:r w:rsidR="001C740C" w:rsidRPr="00B14F56">
        <w:t xml:space="preserve"> They then go on</w:t>
      </w:r>
      <w:r w:rsidR="00FA33C1" w:rsidRPr="00B14F56">
        <w:t xml:space="preserve"> </w:t>
      </w:r>
      <w:r w:rsidR="001C740C" w:rsidRPr="00B14F56">
        <w:t xml:space="preserve">to </w:t>
      </w:r>
      <w:r w:rsidR="00F06E79" w:rsidRPr="00B14F56">
        <w:t>argue</w:t>
      </w:r>
      <w:r w:rsidR="00723C25">
        <w:t xml:space="preserve"> </w:t>
      </w:r>
      <w:r w:rsidR="001C740C" w:rsidRPr="00B14F56">
        <w:t xml:space="preserve">that </w:t>
      </w:r>
      <w:r w:rsidR="00D84B97">
        <w:t xml:space="preserve">it </w:t>
      </w:r>
      <w:r w:rsidR="001C740C" w:rsidRPr="00B14F56">
        <w:t>is</w:t>
      </w:r>
      <w:r w:rsidR="00664A19" w:rsidRPr="00B14F56">
        <w:t xml:space="preserve">, however, </w:t>
      </w:r>
      <w:r w:rsidR="007B11FB" w:rsidRPr="00B14F56">
        <w:t xml:space="preserve">a justified use of force amounting to </w:t>
      </w:r>
      <w:r w:rsidR="00493BE5" w:rsidRPr="00B14F56">
        <w:t>an exercise of collective self-defence.</w:t>
      </w:r>
      <w:r w:rsidR="00664A19" w:rsidRPr="00B14F56">
        <w:rPr>
          <w:rStyle w:val="FootnoteReference"/>
        </w:rPr>
        <w:footnoteReference w:id="12"/>
      </w:r>
    </w:p>
    <w:p w14:paraId="1EC3E299" w14:textId="250B82FE" w:rsidR="00B5756D" w:rsidRDefault="00493BE5" w:rsidP="00B5756D">
      <w:pPr>
        <w:spacing w:line="360" w:lineRule="auto"/>
        <w:ind w:firstLine="720"/>
        <w:jc w:val="both"/>
      </w:pPr>
      <w:r w:rsidRPr="00B14F56">
        <w:lastRenderedPageBreak/>
        <w:t xml:space="preserve">I am </w:t>
      </w:r>
      <w:r w:rsidR="00193AFA" w:rsidRPr="00B14F56">
        <w:t xml:space="preserve">certainly </w:t>
      </w:r>
      <w:r w:rsidRPr="00B14F56">
        <w:t xml:space="preserve">with Heller and </w:t>
      </w:r>
      <w:proofErr w:type="spellStart"/>
      <w:r w:rsidRPr="00B14F56">
        <w:t>Trabucco</w:t>
      </w:r>
      <w:proofErr w:type="spellEnd"/>
      <w:r w:rsidRPr="00B14F56">
        <w:t xml:space="preserve"> </w:t>
      </w:r>
      <w:r w:rsidR="00A81D72" w:rsidRPr="00B14F56">
        <w:t>(and others making similar points elsewhere)</w:t>
      </w:r>
      <w:r w:rsidR="00210140">
        <w:rPr>
          <w:rStyle w:val="FootnoteReference"/>
        </w:rPr>
        <w:footnoteReference w:id="13"/>
      </w:r>
      <w:r w:rsidR="00A81D72" w:rsidRPr="00B14F56">
        <w:t xml:space="preserve"> </w:t>
      </w:r>
      <w:r w:rsidR="003A5702" w:rsidRPr="00B14F56">
        <w:t>when it comes to</w:t>
      </w:r>
      <w:r w:rsidR="009C4166" w:rsidRPr="00B14F56">
        <w:t xml:space="preserve"> the second conclusion here</w:t>
      </w:r>
      <w:r w:rsidR="00DB0E99" w:rsidRPr="00B14F56">
        <w:t>. I</w:t>
      </w:r>
      <w:r w:rsidRPr="00B14F56">
        <w:t xml:space="preserve">f </w:t>
      </w:r>
      <w:r w:rsidR="00FE6122">
        <w:t>w</w:t>
      </w:r>
      <w:r w:rsidR="009C4166" w:rsidRPr="00B14F56">
        <w:t xml:space="preserve">estern support for Ukraine </w:t>
      </w:r>
      <w:r w:rsidR="00DB0E99" w:rsidRPr="00B14F56">
        <w:t>is</w:t>
      </w:r>
      <w:r w:rsidR="009C4166" w:rsidRPr="00B14F56">
        <w:t xml:space="preserve"> </w:t>
      </w:r>
      <w:r w:rsidR="009C4166" w:rsidRPr="00B14F56">
        <w:rPr>
          <w:i/>
          <w:iCs/>
        </w:rPr>
        <w:t>prima facie</w:t>
      </w:r>
      <w:r w:rsidR="009C4166" w:rsidRPr="00B14F56">
        <w:t xml:space="preserve"> </w:t>
      </w:r>
      <w:r w:rsidR="00DB0E99" w:rsidRPr="00B14F56">
        <w:t xml:space="preserve">an </w:t>
      </w:r>
      <w:r w:rsidR="00193AFA" w:rsidRPr="00B14F56">
        <w:t xml:space="preserve">unlawful </w:t>
      </w:r>
      <w:r w:rsidR="009C4166" w:rsidRPr="00B14F56">
        <w:t xml:space="preserve">use of </w:t>
      </w:r>
      <w:r w:rsidR="00193AFA" w:rsidRPr="00B14F56">
        <w:t>force,</w:t>
      </w:r>
      <w:r w:rsidR="009C4166" w:rsidRPr="00B14F56">
        <w:t xml:space="preserve"> then it </w:t>
      </w:r>
      <w:r w:rsidR="00DB0E99" w:rsidRPr="00B14F56">
        <w:t xml:space="preserve">is one that </w:t>
      </w:r>
      <w:r w:rsidR="009C4166" w:rsidRPr="00B14F56">
        <w:t xml:space="preserve">can be </w:t>
      </w:r>
      <w:r w:rsidR="00193AFA" w:rsidRPr="00B14F56">
        <w:t xml:space="preserve">justified as collective self-defence. </w:t>
      </w:r>
      <w:r w:rsidR="00ED43AD" w:rsidRPr="00B14F56">
        <w:t xml:space="preserve">The legal requirements for the collective self-defence would seem to be </w:t>
      </w:r>
      <w:r w:rsidR="00054275" w:rsidRPr="00B14F56">
        <w:t xml:space="preserve">pretty clearly </w:t>
      </w:r>
      <w:r w:rsidR="00ED43AD" w:rsidRPr="00B14F56">
        <w:t xml:space="preserve">present in relation to the </w:t>
      </w:r>
      <w:r w:rsidR="00054275" w:rsidRPr="00B14F56">
        <w:t xml:space="preserve">current </w:t>
      </w:r>
      <w:r w:rsidR="00ED43AD" w:rsidRPr="00B14F56">
        <w:t xml:space="preserve">situation in Ukraine. There is little question that Russia’s </w:t>
      </w:r>
      <w:r w:rsidR="00F06248" w:rsidRPr="00B14F56">
        <w:t xml:space="preserve">full-scale </w:t>
      </w:r>
      <w:r w:rsidR="00ED43AD" w:rsidRPr="00B14F56">
        <w:t>invasion is an unlawful use of force</w:t>
      </w:r>
      <w:r w:rsidR="00ED43AD" w:rsidRPr="00B14F56">
        <w:rPr>
          <w:rStyle w:val="FootnoteReference"/>
        </w:rPr>
        <w:footnoteReference w:id="14"/>
      </w:r>
      <w:r w:rsidR="00ED43AD" w:rsidRPr="00B14F56">
        <w:t xml:space="preserve"> rising to the level of an armed attack.</w:t>
      </w:r>
      <w:r w:rsidR="00ED43AD" w:rsidRPr="00B14F56">
        <w:rPr>
          <w:rStyle w:val="FootnoteReference"/>
        </w:rPr>
        <w:footnoteReference w:id="15"/>
      </w:r>
      <w:r w:rsidR="00ED43AD" w:rsidRPr="00B14F56">
        <w:t xml:space="preserve"> The </w:t>
      </w:r>
      <w:r w:rsidR="009D3EC1" w:rsidRPr="00B14F56">
        <w:t xml:space="preserve">current </w:t>
      </w:r>
      <w:r w:rsidR="00ED43AD" w:rsidRPr="00B14F56">
        <w:t xml:space="preserve">provision of support would </w:t>
      </w:r>
      <w:r w:rsidR="009D3EC1" w:rsidRPr="00B14F56">
        <w:t>be hard to see as anything other than</w:t>
      </w:r>
      <w:r w:rsidR="00ED43AD" w:rsidRPr="00B14F56">
        <w:t xml:space="preserve"> </w:t>
      </w:r>
      <w:r w:rsidR="00C315C4" w:rsidRPr="00B14F56">
        <w:t xml:space="preserve">a </w:t>
      </w:r>
      <w:r w:rsidR="00ED43AD" w:rsidRPr="00B14F56">
        <w:t>necessary and proportionate</w:t>
      </w:r>
      <w:r w:rsidR="00C315C4" w:rsidRPr="00B14F56">
        <w:t xml:space="preserve"> response to that attack (if anything</w:t>
      </w:r>
      <w:r w:rsidR="00F13749">
        <w:t>,</w:t>
      </w:r>
      <w:r w:rsidR="00C315C4" w:rsidRPr="00B14F56">
        <w:t xml:space="preserve"> it </w:t>
      </w:r>
      <w:r w:rsidR="00F13749">
        <w:t>might</w:t>
      </w:r>
      <w:r w:rsidR="00C315C4" w:rsidRPr="00B14F56">
        <w:t xml:space="preserve"> be said to fall short of what is necessary </w:t>
      </w:r>
      <w:r w:rsidR="007C387D">
        <w:t xml:space="preserve">to defend Ukraine </w:t>
      </w:r>
      <w:r w:rsidR="00C315C4" w:rsidRPr="00B14F56">
        <w:t xml:space="preserve">and </w:t>
      </w:r>
      <w:r w:rsidR="0066245B">
        <w:t>to be</w:t>
      </w:r>
      <w:r w:rsidR="00D5544E" w:rsidRPr="00B14F56">
        <w:t xml:space="preserve"> insufficient in proportion</w:t>
      </w:r>
      <w:r w:rsidR="007C387D">
        <w:t xml:space="preserve"> to that defensive need</w:t>
      </w:r>
      <w:r w:rsidR="00D5544E" w:rsidRPr="00B14F56">
        <w:t>).</w:t>
      </w:r>
      <w:r w:rsidR="00ED43AD" w:rsidRPr="00B14F56">
        <w:rPr>
          <w:rStyle w:val="FootnoteReference"/>
        </w:rPr>
        <w:footnoteReference w:id="16"/>
      </w:r>
      <w:r w:rsidR="00ED43AD" w:rsidRPr="00B14F56">
        <w:t xml:space="preserve"> </w:t>
      </w:r>
      <w:r w:rsidR="00D5544E" w:rsidRPr="00B14F56">
        <w:t>T</w:t>
      </w:r>
      <w:r w:rsidR="00CB2C1C" w:rsidRPr="00B14F56">
        <w:t>he exercise of collective</w:t>
      </w:r>
      <w:r w:rsidR="003365B4" w:rsidRPr="00B14F56">
        <w:t xml:space="preserve"> self-defence also requires that the ‘victim’ state </w:t>
      </w:r>
      <w:r w:rsidR="003365B4" w:rsidRPr="00B14F56">
        <w:rPr>
          <w:i/>
          <w:iCs/>
        </w:rPr>
        <w:t>requests</w:t>
      </w:r>
      <w:r w:rsidR="003365B4" w:rsidRPr="00B14F56">
        <w:t xml:space="preserve"> aid</w:t>
      </w:r>
      <w:r w:rsidR="00D5544E" w:rsidRPr="00B14F56">
        <w:t>,</w:t>
      </w:r>
      <w:r w:rsidR="007C387D">
        <w:rPr>
          <w:rStyle w:val="FootnoteReference"/>
        </w:rPr>
        <w:footnoteReference w:id="17"/>
      </w:r>
      <w:r w:rsidR="00D5544E" w:rsidRPr="00B14F56">
        <w:t xml:space="preserve"> </w:t>
      </w:r>
      <w:r w:rsidR="0066245B">
        <w:t xml:space="preserve">of course, </w:t>
      </w:r>
      <w:r w:rsidR="00241E8C">
        <w:t>but</w:t>
      </w:r>
      <w:r w:rsidR="003365B4" w:rsidRPr="00B14F56">
        <w:t xml:space="preserve"> </w:t>
      </w:r>
      <w:r w:rsidR="00ED43AD" w:rsidRPr="00B14F56">
        <w:t xml:space="preserve">Ukraine undoubtedly </w:t>
      </w:r>
      <w:r w:rsidR="003365B4" w:rsidRPr="00B14F56">
        <w:t xml:space="preserve">has done </w:t>
      </w:r>
      <w:r w:rsidR="00D5544E" w:rsidRPr="00B14F56">
        <w:t>that too</w:t>
      </w:r>
      <w:r w:rsidR="00CB2C1C" w:rsidRPr="00B14F56">
        <w:t>, repeatedly</w:t>
      </w:r>
      <w:r w:rsidR="00ED43AD" w:rsidRPr="00B14F56">
        <w:t>.</w:t>
      </w:r>
      <w:r w:rsidR="00ED43AD" w:rsidRPr="00B14F56">
        <w:rPr>
          <w:rStyle w:val="FootnoteReference"/>
        </w:rPr>
        <w:footnoteReference w:id="18"/>
      </w:r>
      <w:r w:rsidR="00ED43AD" w:rsidRPr="00B14F56">
        <w:t xml:space="preserve"> Indeed, the only absentee from the </w:t>
      </w:r>
      <w:r w:rsidR="009D3EC1" w:rsidRPr="00B14F56">
        <w:t>‘</w:t>
      </w:r>
      <w:r w:rsidR="00ED43AD" w:rsidRPr="00B14F56">
        <w:t>checklist</w:t>
      </w:r>
      <w:r w:rsidR="009D3EC1" w:rsidRPr="00B14F56">
        <w:t>’</w:t>
      </w:r>
      <w:r w:rsidR="00ED43AD" w:rsidRPr="00B14F56">
        <w:t xml:space="preserve"> </w:t>
      </w:r>
      <w:r w:rsidR="00D52D2E">
        <w:t xml:space="preserve">of legal criteria </w:t>
      </w:r>
      <w:r w:rsidR="00ED43AD" w:rsidRPr="00B14F56">
        <w:t xml:space="preserve">for collective self-defence would seem to be the failure of </w:t>
      </w:r>
      <w:r w:rsidR="00767E87" w:rsidRPr="00B14F56">
        <w:t>the states supporting Ukraine</w:t>
      </w:r>
      <w:r w:rsidR="00ED43AD" w:rsidRPr="00B14F56">
        <w:t xml:space="preserve"> to report their actions to the UN Security Council</w:t>
      </w:r>
      <w:r w:rsidR="00AE78B4">
        <w:t>,</w:t>
      </w:r>
      <w:r w:rsidR="00790E1D" w:rsidRPr="00B14F56">
        <w:rPr>
          <w:rStyle w:val="FootnoteReference"/>
        </w:rPr>
        <w:footnoteReference w:id="19"/>
      </w:r>
      <w:r w:rsidR="00AE78B4">
        <w:t xml:space="preserve"> which is not generally considered </w:t>
      </w:r>
      <w:r w:rsidR="001A26D0">
        <w:t xml:space="preserve">to be an obligation that </w:t>
      </w:r>
      <w:r w:rsidR="007D45C8">
        <w:t xml:space="preserve">is decisive as to the lawfulness </w:t>
      </w:r>
      <w:r w:rsidR="001A26D0">
        <w:t xml:space="preserve">of </w:t>
      </w:r>
      <w:r w:rsidR="007D45C8">
        <w:t xml:space="preserve">a </w:t>
      </w:r>
      <w:r w:rsidR="001A26D0">
        <w:t xml:space="preserve">self-defence </w:t>
      </w:r>
      <w:r w:rsidR="007D45C8">
        <w:t>action</w:t>
      </w:r>
      <w:r w:rsidR="00AE78B4">
        <w:t>.</w:t>
      </w:r>
      <w:r w:rsidR="00790E1D">
        <w:rPr>
          <w:rStyle w:val="FootnoteReference"/>
        </w:rPr>
        <w:footnoteReference w:id="20"/>
      </w:r>
      <w:r w:rsidR="00781861" w:rsidRPr="00B14F56">
        <w:t xml:space="preserve"> </w:t>
      </w:r>
      <w:r w:rsidR="00AE78B4">
        <w:t>Overall, t</w:t>
      </w:r>
      <w:r w:rsidR="00781861" w:rsidRPr="00B14F56">
        <w:t xml:space="preserve">here </w:t>
      </w:r>
      <w:r w:rsidR="00277D12" w:rsidRPr="00B14F56">
        <w:t>seems</w:t>
      </w:r>
      <w:r w:rsidR="00781861" w:rsidRPr="00B14F56">
        <w:t xml:space="preserve"> little question that current </w:t>
      </w:r>
      <w:r w:rsidR="00277D12" w:rsidRPr="00B14F56">
        <w:t xml:space="preserve">support for Ukraine </w:t>
      </w:r>
      <w:r w:rsidR="00F563E4">
        <w:t>could</w:t>
      </w:r>
      <w:r w:rsidR="00277D12" w:rsidRPr="00B14F56">
        <w:t xml:space="preserve"> qualify as collective self-defence</w:t>
      </w:r>
      <w:r w:rsidR="00C661BE">
        <w:t>, at least when measured against the</w:t>
      </w:r>
      <w:r w:rsidR="00F563E4">
        <w:t xml:space="preserve"> </w:t>
      </w:r>
      <w:r w:rsidR="009254EC">
        <w:t xml:space="preserve">legal </w:t>
      </w:r>
      <w:r w:rsidR="00F563E4">
        <w:t>criteria for the exercise of th</w:t>
      </w:r>
      <w:r w:rsidR="009254EC">
        <w:t>at</w:t>
      </w:r>
      <w:r w:rsidR="00F563E4">
        <w:t xml:space="preserve"> right.</w:t>
      </w:r>
    </w:p>
    <w:p w14:paraId="6BCEFBB2" w14:textId="21AA4F07" w:rsidR="00475580" w:rsidRDefault="00781861" w:rsidP="00475580">
      <w:pPr>
        <w:spacing w:line="360" w:lineRule="auto"/>
        <w:ind w:firstLine="720"/>
        <w:jc w:val="both"/>
      </w:pPr>
      <w:r w:rsidRPr="00B14F56">
        <w:t xml:space="preserve">What I am </w:t>
      </w:r>
      <w:r w:rsidR="003A5702" w:rsidRPr="00B14F56">
        <w:t>far</w:t>
      </w:r>
      <w:r w:rsidR="00D23373" w:rsidRPr="00B14F56">
        <w:t xml:space="preserve"> less sure </w:t>
      </w:r>
      <w:r w:rsidR="00277D12" w:rsidRPr="00B14F56">
        <w:t xml:space="preserve">of </w:t>
      </w:r>
      <w:r w:rsidR="00D23373" w:rsidRPr="00B14F56">
        <w:t>–</w:t>
      </w:r>
      <w:r w:rsidR="00163A5C">
        <w:t xml:space="preserve"> </w:t>
      </w:r>
      <w:r w:rsidR="00D23373" w:rsidRPr="00B14F56">
        <w:t xml:space="preserve">less sure than Heller and </w:t>
      </w:r>
      <w:proofErr w:type="spellStart"/>
      <w:r w:rsidR="00D23373" w:rsidRPr="00B14F56">
        <w:t>Trabucco</w:t>
      </w:r>
      <w:proofErr w:type="spellEnd"/>
      <w:r w:rsidR="00163A5C">
        <w:t>, anyway</w:t>
      </w:r>
      <w:r w:rsidR="00D23373" w:rsidRPr="00B14F56">
        <w:t xml:space="preserve"> – </w:t>
      </w:r>
      <w:r w:rsidR="00277D12" w:rsidRPr="00B14F56">
        <w:t>is whether</w:t>
      </w:r>
      <w:r w:rsidR="00D23373" w:rsidRPr="00B14F56">
        <w:t xml:space="preserve"> the provision of weapons and logistical support to Ukraine is a use of force in the first plac</w:t>
      </w:r>
      <w:r w:rsidR="0056558A" w:rsidRPr="00B14F56">
        <w:t>e</w:t>
      </w:r>
      <w:r w:rsidR="00277D12" w:rsidRPr="00B14F56">
        <w:t>.</w:t>
      </w:r>
      <w:r w:rsidR="00475580">
        <w:t xml:space="preserve"> </w:t>
      </w:r>
      <w:r w:rsidR="00475580" w:rsidRPr="00884E14">
        <w:t>Other scholars have shared my uncertainty.</w:t>
      </w:r>
      <w:r w:rsidR="00263CF1">
        <w:rPr>
          <w:rStyle w:val="FootnoteReference"/>
        </w:rPr>
        <w:footnoteReference w:id="21"/>
      </w:r>
      <w:r w:rsidR="00475580">
        <w:t xml:space="preserve"> </w:t>
      </w:r>
      <w:r w:rsidR="00210140">
        <w:t xml:space="preserve">Writing in </w:t>
      </w:r>
      <w:r w:rsidR="00210140" w:rsidRPr="00210140">
        <w:rPr>
          <w:i/>
          <w:iCs/>
        </w:rPr>
        <w:t>Articles of War</w:t>
      </w:r>
      <w:r w:rsidR="00210140">
        <w:t xml:space="preserve">, </w:t>
      </w:r>
      <w:r w:rsidR="00475580">
        <w:t>Michael Schmitt,</w:t>
      </w:r>
      <w:r w:rsidR="00277D12" w:rsidRPr="00B14F56">
        <w:t xml:space="preserve"> </w:t>
      </w:r>
      <w:r w:rsidR="00475580">
        <w:t xml:space="preserve">for </w:t>
      </w:r>
      <w:r w:rsidR="00475580">
        <w:lastRenderedPageBreak/>
        <w:t>example</w:t>
      </w:r>
      <w:r w:rsidR="00210140">
        <w:t xml:space="preserve"> – </w:t>
      </w:r>
      <w:r w:rsidR="00475580">
        <w:t xml:space="preserve">while seemingly leaning </w:t>
      </w:r>
      <w:r w:rsidR="00210140">
        <w:t xml:space="preserve">somewhat </w:t>
      </w:r>
      <w:r w:rsidR="00475580">
        <w:t>towards the Heller/</w:t>
      </w:r>
      <w:proofErr w:type="spellStart"/>
      <w:r w:rsidR="00475580">
        <w:t>Trabucco</w:t>
      </w:r>
      <w:proofErr w:type="spellEnd"/>
      <w:r w:rsidR="00475580">
        <w:t xml:space="preserve"> view</w:t>
      </w:r>
      <w:r w:rsidR="00210140">
        <w:t xml:space="preserve"> (on this point, anyway) – is more circumspect when he </w:t>
      </w:r>
      <w:r w:rsidR="00475580">
        <w:t xml:space="preserve">notes that the provision of weapons and logistical support ‘could qualify as a use of force [and] … [t]hat </w:t>
      </w:r>
      <w:r w:rsidR="00475580" w:rsidRPr="00475580">
        <w:rPr>
          <w:i/>
          <w:iCs/>
        </w:rPr>
        <w:t>might</w:t>
      </w:r>
      <w:r w:rsidR="00475580">
        <w:t xml:space="preserve"> be the case’ in relation to Ukraine.</w:t>
      </w:r>
      <w:r w:rsidR="00475580">
        <w:rPr>
          <w:rStyle w:val="FootnoteReference"/>
        </w:rPr>
        <w:footnoteReference w:id="22"/>
      </w:r>
    </w:p>
    <w:p w14:paraId="112C8194" w14:textId="22D29019" w:rsidR="00163A5C" w:rsidRDefault="00163A5C" w:rsidP="00B5756D">
      <w:pPr>
        <w:spacing w:line="360" w:lineRule="auto"/>
        <w:ind w:firstLine="720"/>
        <w:jc w:val="both"/>
      </w:pPr>
      <w:r>
        <w:t>Th</w:t>
      </w:r>
      <w:r w:rsidR="00475580">
        <w:t>is</w:t>
      </w:r>
      <w:r>
        <w:t xml:space="preserve"> question </w:t>
      </w:r>
      <w:r w:rsidR="00475580">
        <w:t xml:space="preserve">of whether </w:t>
      </w:r>
      <w:r w:rsidR="00475580" w:rsidRPr="00B14F56">
        <w:t xml:space="preserve">the provision of weapons and logistical support to Ukraine </w:t>
      </w:r>
      <w:proofErr w:type="gramStart"/>
      <w:r w:rsidR="00475580" w:rsidRPr="00B14F56">
        <w:t>is a use of force</w:t>
      </w:r>
      <w:proofErr w:type="gramEnd"/>
      <w:r w:rsidR="00475580" w:rsidRPr="00B14F56">
        <w:t xml:space="preserve"> </w:t>
      </w:r>
      <w:r>
        <w:t>will be returned to, but first it is worth noting that i</w:t>
      </w:r>
      <w:r w:rsidR="00277D12" w:rsidRPr="00B14F56">
        <w:t xml:space="preserve">f </w:t>
      </w:r>
      <w:r>
        <w:t xml:space="preserve">it is </w:t>
      </w:r>
      <w:r w:rsidR="00277D12" w:rsidRPr="0086542D">
        <w:rPr>
          <w:i/>
          <w:iCs/>
        </w:rPr>
        <w:t>not</w:t>
      </w:r>
      <w:r w:rsidR="00277D12" w:rsidRPr="00B14F56">
        <w:t xml:space="preserve">, </w:t>
      </w:r>
      <w:r w:rsidR="00D26152">
        <w:t xml:space="preserve">then common wisdom </w:t>
      </w:r>
      <w:r w:rsidR="0086542D">
        <w:t>would dictate that</w:t>
      </w:r>
      <w:r w:rsidR="00F81554" w:rsidRPr="00B14F56">
        <w:t xml:space="preserve"> </w:t>
      </w:r>
      <w:r w:rsidR="0086542D">
        <w:t>such support</w:t>
      </w:r>
      <w:r w:rsidR="00F81554" w:rsidRPr="00B14F56">
        <w:t xml:space="preserve"> </w:t>
      </w:r>
      <w:r w:rsidR="00D26152">
        <w:t xml:space="preserve">also </w:t>
      </w:r>
      <w:r w:rsidR="00F81554" w:rsidRPr="00B14F56">
        <w:t xml:space="preserve">is not </w:t>
      </w:r>
      <w:r w:rsidR="00277D12" w:rsidRPr="00B14F56">
        <w:t xml:space="preserve">an action of </w:t>
      </w:r>
      <w:r w:rsidR="00F81554" w:rsidRPr="00B14F56">
        <w:t>collective self-defence</w:t>
      </w:r>
      <w:r w:rsidR="00263CF1">
        <w:t xml:space="preserve"> </w:t>
      </w:r>
      <w:r w:rsidR="00D26152">
        <w:t>either. The general view</w:t>
      </w:r>
      <w:r w:rsidR="003E778A" w:rsidRPr="00B14F56">
        <w:t xml:space="preserve"> has </w:t>
      </w:r>
      <w:r>
        <w:t xml:space="preserve">long </w:t>
      </w:r>
      <w:r w:rsidR="003E778A" w:rsidRPr="00B14F56">
        <w:t xml:space="preserve">been that any </w:t>
      </w:r>
      <w:r w:rsidR="0086542D">
        <w:t>measure</w:t>
      </w:r>
      <w:r w:rsidR="003E778A" w:rsidRPr="00B14F56">
        <w:t xml:space="preserve"> taken in self-defence (individual or collective) will, of itself, necessarily amount to a use of force, albeit a legally excused one. </w:t>
      </w:r>
      <w:r w:rsidR="00813456" w:rsidRPr="00B14F56">
        <w:t>It is usually said that self-defence ‘almost by its very nature involves the use of armed force’,</w:t>
      </w:r>
      <w:r w:rsidR="00813456" w:rsidRPr="00B14F56">
        <w:rPr>
          <w:rStyle w:val="FootnoteReference"/>
        </w:rPr>
        <w:footnoteReference w:id="23"/>
      </w:r>
      <w:r w:rsidR="00813456" w:rsidRPr="00B14F56">
        <w:t xml:space="preserve"> meaning that it is fundamentally characterised by the fact that it is ‘an exception to the prohibition against the use of force in international relations…’</w:t>
      </w:r>
      <w:r w:rsidR="00813456" w:rsidRPr="00B14F56">
        <w:rPr>
          <w:rStyle w:val="FootnoteReference"/>
        </w:rPr>
        <w:footnoteReference w:id="24"/>
      </w:r>
      <w:r w:rsidR="00813456">
        <w:t xml:space="preserve"> The paradigm as near-ubiquitously conceived is ‘self-defence = force in response to force’. This means that if</w:t>
      </w:r>
      <w:r w:rsidR="00356BAE">
        <w:t xml:space="preserve"> the current support for Ukraine is not a ‘use of force’ then it need not be (</w:t>
      </w:r>
      <w:r w:rsidR="00813456">
        <w:t xml:space="preserve">indeed, </w:t>
      </w:r>
      <w:r w:rsidR="00356BAE" w:rsidRPr="00813456">
        <w:rPr>
          <w:i/>
          <w:iCs/>
        </w:rPr>
        <w:t>cannot</w:t>
      </w:r>
      <w:r w:rsidR="00356BAE">
        <w:t xml:space="preserve"> be) justified as collective self-defence</w:t>
      </w:r>
      <w:r w:rsidR="00813456">
        <w:t xml:space="preserve"> after all</w:t>
      </w:r>
      <w:r w:rsidR="00356BAE">
        <w:t>.</w:t>
      </w:r>
    </w:p>
    <w:p w14:paraId="73507506" w14:textId="3FD6C47D" w:rsidR="00B5756D" w:rsidRDefault="00813456" w:rsidP="00A02465">
      <w:pPr>
        <w:spacing w:line="360" w:lineRule="auto"/>
        <w:ind w:firstLine="720"/>
        <w:jc w:val="both"/>
      </w:pPr>
      <w:r>
        <w:t xml:space="preserve">However, </w:t>
      </w:r>
      <w:r w:rsidR="00210140">
        <w:t>this</w:t>
      </w:r>
      <w:r w:rsidR="005B5E63" w:rsidRPr="00B14F56">
        <w:t xml:space="preserve"> </w:t>
      </w:r>
      <w:r w:rsidR="00F92088">
        <w:t xml:space="preserve">common </w:t>
      </w:r>
      <w:r>
        <w:t xml:space="preserve">‘self-defence = force in response to force’ </w:t>
      </w:r>
      <w:r w:rsidR="00F92088">
        <w:t>conception</w:t>
      </w:r>
      <w:r w:rsidR="005B5E63" w:rsidRPr="00B14F56">
        <w:t xml:space="preserve"> has been challenged </w:t>
      </w:r>
      <w:r w:rsidR="00A02465">
        <w:t>significantly</w:t>
      </w:r>
      <w:r w:rsidR="005B5E63" w:rsidRPr="00B14F56">
        <w:t xml:space="preserve"> in an</w:t>
      </w:r>
      <w:r w:rsidR="00A359A3" w:rsidRPr="00B14F56">
        <w:t xml:space="preserve"> article </w:t>
      </w:r>
      <w:r w:rsidR="003D71D8">
        <w:t xml:space="preserve">that was </w:t>
      </w:r>
      <w:r w:rsidR="00D85167">
        <w:t xml:space="preserve">just published </w:t>
      </w:r>
      <w:r w:rsidR="00D85167" w:rsidRPr="00B14F56">
        <w:t>by Russell Buchan</w:t>
      </w:r>
      <w:r w:rsidR="00D85167">
        <w:t xml:space="preserve"> in the </w:t>
      </w:r>
      <w:r w:rsidR="00D85167" w:rsidRPr="003E778A">
        <w:rPr>
          <w:i/>
          <w:iCs/>
        </w:rPr>
        <w:t>International and Comparative Law Quarterly</w:t>
      </w:r>
      <w:r w:rsidR="005B5E63" w:rsidRPr="00B14F56">
        <w:t>.</w:t>
      </w:r>
      <w:r w:rsidR="00622A2A">
        <w:rPr>
          <w:rStyle w:val="FootnoteReference"/>
        </w:rPr>
        <w:footnoteReference w:id="25"/>
      </w:r>
      <w:r w:rsidR="005B5E63" w:rsidRPr="00B14F56">
        <w:t xml:space="preserve"> </w:t>
      </w:r>
      <w:r w:rsidR="00D85167" w:rsidRPr="00B14F56">
        <w:t>Buchan</w:t>
      </w:r>
      <w:r w:rsidR="00D85167">
        <w:t xml:space="preserve"> </w:t>
      </w:r>
      <w:r w:rsidR="003D71D8">
        <w:t xml:space="preserve">therein </w:t>
      </w:r>
      <w:r w:rsidR="005B5E63" w:rsidRPr="00B14F56">
        <w:t xml:space="preserve">argues </w:t>
      </w:r>
      <w:r w:rsidR="003B61EE" w:rsidRPr="00B14F56">
        <w:t xml:space="preserve">that self-defence can be exercised by </w:t>
      </w:r>
      <w:r w:rsidR="003B61EE" w:rsidRPr="00D85167">
        <w:rPr>
          <w:i/>
          <w:iCs/>
        </w:rPr>
        <w:t>non-forcible</w:t>
      </w:r>
      <w:r w:rsidR="003B61EE" w:rsidRPr="00B14F56">
        <w:t xml:space="preserve"> means. </w:t>
      </w:r>
      <w:r w:rsidR="00AD2C42" w:rsidRPr="00B14F56">
        <w:t xml:space="preserve">If </w:t>
      </w:r>
      <w:r w:rsidR="00D85167">
        <w:t>he</w:t>
      </w:r>
      <w:r w:rsidR="00AD2C42" w:rsidRPr="00B14F56">
        <w:t xml:space="preserve"> is correct in that regard, one could </w:t>
      </w:r>
      <w:r w:rsidR="00D85167">
        <w:t xml:space="preserve">perhaps </w:t>
      </w:r>
      <w:r w:rsidR="006F5B15">
        <w:t>conclude</w:t>
      </w:r>
      <w:r w:rsidR="00AD2C42" w:rsidRPr="00B14F56">
        <w:t xml:space="preserve"> that </w:t>
      </w:r>
      <w:r w:rsidR="004C423A" w:rsidRPr="00B14F56">
        <w:t xml:space="preserve">even if </w:t>
      </w:r>
      <w:r w:rsidR="00F94054" w:rsidRPr="00B14F56">
        <w:t xml:space="preserve">the provision of weapons and logistical support to Ukraine is </w:t>
      </w:r>
      <w:r w:rsidR="00773574" w:rsidRPr="003D08C5">
        <w:t>not</w:t>
      </w:r>
      <w:r w:rsidR="00773574" w:rsidRPr="00B14F56">
        <w:t xml:space="preserve"> a use of force </w:t>
      </w:r>
      <w:r w:rsidR="004C423A" w:rsidRPr="00B14F56">
        <w:t xml:space="preserve">it could still </w:t>
      </w:r>
      <w:r w:rsidR="008B7AE0" w:rsidRPr="00B14F56">
        <w:t>nonetheless</w:t>
      </w:r>
      <w:r w:rsidR="00773574" w:rsidRPr="00B14F56">
        <w:t xml:space="preserve"> </w:t>
      </w:r>
      <w:r w:rsidR="004C423A" w:rsidRPr="00B14F56">
        <w:t xml:space="preserve">amount to </w:t>
      </w:r>
      <w:r w:rsidR="00773574" w:rsidRPr="00B14F56">
        <w:t xml:space="preserve">an exercise of </w:t>
      </w:r>
      <w:r w:rsidR="008B7AE0" w:rsidRPr="00B14F56">
        <w:t>collective</w:t>
      </w:r>
      <w:r w:rsidR="00773574" w:rsidRPr="00B14F56">
        <w:t xml:space="preserve"> self-defence.</w:t>
      </w:r>
    </w:p>
    <w:p w14:paraId="448F900B" w14:textId="70B0C9B7" w:rsidR="001C66E8" w:rsidRDefault="002E528C" w:rsidP="00B5756D">
      <w:pPr>
        <w:spacing w:line="360" w:lineRule="auto"/>
        <w:ind w:firstLine="720"/>
        <w:jc w:val="both"/>
      </w:pPr>
      <w:r w:rsidRPr="00B14F56">
        <w:t>Buchan’s challenge to th</w:t>
      </w:r>
      <w:r w:rsidR="00EC3319">
        <w:t xml:space="preserve">e </w:t>
      </w:r>
      <w:r w:rsidR="00AD698C">
        <w:t xml:space="preserve">‘self-defence = force in response to force’ </w:t>
      </w:r>
      <w:r w:rsidR="00D0217B">
        <w:t>conception</w:t>
      </w:r>
      <w:r w:rsidRPr="00B14F56">
        <w:t xml:space="preserve"> </w:t>
      </w:r>
      <w:r w:rsidR="00EC3319">
        <w:t xml:space="preserve">will be seen as </w:t>
      </w:r>
      <w:r w:rsidR="00067EBB">
        <w:t xml:space="preserve">quite </w:t>
      </w:r>
      <w:r w:rsidR="00EC3319">
        <w:t>radical by some</w:t>
      </w:r>
      <w:r w:rsidR="00067EBB">
        <w:t xml:space="preserve">, but </w:t>
      </w:r>
      <w:r w:rsidR="00EC3319">
        <w:t>personally, I</w:t>
      </w:r>
      <w:r w:rsidR="00067EBB">
        <w:t xml:space="preserve"> have a lot of sympathy for it. Indeed, Francis Grimal and I argued over a decade ago that self-defence can be exercised by way of an (otherwise unlawful) </w:t>
      </w:r>
      <w:r w:rsidR="00067EBB" w:rsidRPr="00067EBB">
        <w:rPr>
          <w:i/>
          <w:iCs/>
        </w:rPr>
        <w:t>threat</w:t>
      </w:r>
      <w:r w:rsidR="00067EBB">
        <w:t xml:space="preserve"> of force, not just by the use of force</w:t>
      </w:r>
      <w:r w:rsidR="001C66E8">
        <w:t xml:space="preserve">, eschewing the usual </w:t>
      </w:r>
      <w:r w:rsidR="00E571C2">
        <w:t>‘self-defence = force in response to force’ view, at least to a</w:t>
      </w:r>
      <w:r w:rsidR="00E61D29">
        <w:t>n extent</w:t>
      </w:r>
      <w:r w:rsidR="00067EBB">
        <w:t>.</w:t>
      </w:r>
      <w:r w:rsidR="00EC3319">
        <w:rPr>
          <w:rStyle w:val="FootnoteReference"/>
        </w:rPr>
        <w:footnoteReference w:id="26"/>
      </w:r>
    </w:p>
    <w:p w14:paraId="65E99367" w14:textId="2CA6DA22" w:rsidR="00276B99" w:rsidRDefault="00D0217B" w:rsidP="00D0217B">
      <w:pPr>
        <w:spacing w:line="360" w:lineRule="auto"/>
        <w:ind w:firstLine="720"/>
        <w:jc w:val="both"/>
      </w:pPr>
      <w:r>
        <w:lastRenderedPageBreak/>
        <w:t xml:space="preserve">However, </w:t>
      </w:r>
      <w:r w:rsidR="00067EBB">
        <w:t xml:space="preserve">Buchan effectively </w:t>
      </w:r>
      <w:r w:rsidR="003D55DD">
        <w:t xml:space="preserve">– and not unreasonably, </w:t>
      </w:r>
      <w:r w:rsidR="00A14653">
        <w:t>given</w:t>
      </w:r>
      <w:r w:rsidR="003D55DD">
        <w:t xml:space="preserve"> both appear </w:t>
      </w:r>
      <w:r w:rsidR="00E571C2">
        <w:t>in the same breath</w:t>
      </w:r>
      <w:r w:rsidR="00A14653">
        <w:t xml:space="preserve"> </w:t>
      </w:r>
      <w:r w:rsidR="003D55DD">
        <w:t xml:space="preserve">in Article 2(4) – </w:t>
      </w:r>
      <w:r w:rsidR="00067EBB">
        <w:t>consider</w:t>
      </w:r>
      <w:r w:rsidR="00E571C2">
        <w:t>s</w:t>
      </w:r>
      <w:r w:rsidR="00067EBB">
        <w:t xml:space="preserve"> </w:t>
      </w:r>
      <w:r w:rsidR="003D55DD">
        <w:t>‘</w:t>
      </w:r>
      <w:r w:rsidR="00067EBB">
        <w:t>threat</w:t>
      </w:r>
      <w:r w:rsidR="003D55DD">
        <w:t>’</w:t>
      </w:r>
      <w:r w:rsidR="00067EBB">
        <w:t xml:space="preserve"> and </w:t>
      </w:r>
      <w:r w:rsidR="003D55DD">
        <w:t>‘</w:t>
      </w:r>
      <w:r w:rsidR="00067EBB">
        <w:t>use</w:t>
      </w:r>
      <w:r w:rsidR="003D55DD">
        <w:t>’</w:t>
      </w:r>
      <w:r w:rsidR="00067EBB">
        <w:t xml:space="preserve"> as one and the same </w:t>
      </w:r>
      <w:r w:rsidR="007E21F2">
        <w:t xml:space="preserve">thing </w:t>
      </w:r>
      <w:r w:rsidR="00067EBB">
        <w:t>in this context</w:t>
      </w:r>
      <w:r w:rsidR="00A14653">
        <w:t>.</w:t>
      </w:r>
      <w:r w:rsidR="00F077DE">
        <w:rPr>
          <w:rStyle w:val="FootnoteReference"/>
        </w:rPr>
        <w:footnoteReference w:id="27"/>
      </w:r>
      <w:r w:rsidR="00067EBB">
        <w:t xml:space="preserve"> </w:t>
      </w:r>
      <w:r>
        <w:t>H</w:t>
      </w:r>
      <w:r w:rsidR="00A14653">
        <w:t xml:space="preserve">e goes further </w:t>
      </w:r>
      <w:r w:rsidR="00790983">
        <w:t xml:space="preserve">that we did, </w:t>
      </w:r>
      <w:r w:rsidR="00067EBB">
        <w:t xml:space="preserve">and advances </w:t>
      </w:r>
      <w:r>
        <w:t xml:space="preserve">a </w:t>
      </w:r>
      <w:r w:rsidR="00067EBB">
        <w:t xml:space="preserve">case for </w:t>
      </w:r>
      <w:r w:rsidR="00A14653">
        <w:t xml:space="preserve">other </w:t>
      </w:r>
      <w:r w:rsidR="00B652BC">
        <w:t xml:space="preserve">non-forcible acts </w:t>
      </w:r>
      <w:r w:rsidR="0047357A">
        <w:t>qualify</w:t>
      </w:r>
      <w:r>
        <w:t>ing</w:t>
      </w:r>
      <w:r w:rsidR="0047357A">
        <w:t xml:space="preserve"> as</w:t>
      </w:r>
      <w:r w:rsidR="00B652BC">
        <w:t xml:space="preserve"> s</w:t>
      </w:r>
      <w:r w:rsidR="00453337">
        <w:t>e</w:t>
      </w:r>
      <w:r w:rsidR="00B652BC">
        <w:t>lf-defence</w:t>
      </w:r>
      <w:r w:rsidR="00A14653">
        <w:t xml:space="preserve"> beyond </w:t>
      </w:r>
      <w:r w:rsidR="00DD5879">
        <w:t xml:space="preserve">just </w:t>
      </w:r>
      <w:r w:rsidR="00A14653">
        <w:t>threat</w:t>
      </w:r>
      <w:r w:rsidR="0047357A">
        <w:t>s of force</w:t>
      </w:r>
      <w:r w:rsidR="00B652BC">
        <w:t xml:space="preserve">, such as (otherwise unlawful) </w:t>
      </w:r>
      <w:r w:rsidR="00117182">
        <w:t>‘[e]</w:t>
      </w:r>
      <w:proofErr w:type="spellStart"/>
      <w:r w:rsidR="00117182" w:rsidRPr="00117182">
        <w:t>conomic</w:t>
      </w:r>
      <w:proofErr w:type="spellEnd"/>
      <w:r w:rsidR="00117182" w:rsidRPr="00117182">
        <w:t xml:space="preserve"> sanctions, security barriers and cyber operations</w:t>
      </w:r>
      <w:r w:rsidR="00117182">
        <w:t>’</w:t>
      </w:r>
      <w:r w:rsidR="00453337">
        <w:t>.</w:t>
      </w:r>
      <w:r w:rsidR="00DF023A">
        <w:rPr>
          <w:rStyle w:val="FootnoteReference"/>
        </w:rPr>
        <w:footnoteReference w:id="28"/>
      </w:r>
      <w:r w:rsidR="00453337">
        <w:t xml:space="preserve"> That case </w:t>
      </w:r>
      <w:r w:rsidR="002E528C" w:rsidRPr="00B14F56">
        <w:t>is multi-faceted</w:t>
      </w:r>
      <w:r w:rsidR="00453337">
        <w:t xml:space="preserve"> and</w:t>
      </w:r>
      <w:r w:rsidR="00DD5879">
        <w:t xml:space="preserve"> unpicking it</w:t>
      </w:r>
      <w:r w:rsidR="00453337">
        <w:t xml:space="preserve"> goes well beyond the scope of the present discussion, but it can be said that,</w:t>
      </w:r>
      <w:r w:rsidR="005416A0" w:rsidRPr="00B14F56">
        <w:t xml:space="preserve"> for me, </w:t>
      </w:r>
      <w:r w:rsidR="002E528C" w:rsidRPr="00B14F56">
        <w:t xml:space="preserve">some of </w:t>
      </w:r>
      <w:r w:rsidR="00453337">
        <w:t>Buchan’s</w:t>
      </w:r>
      <w:r w:rsidR="002E528C" w:rsidRPr="00B14F56">
        <w:t xml:space="preserve"> arguments chime louder than others.</w:t>
      </w:r>
      <w:r w:rsidR="008F64B4">
        <w:t xml:space="preserve"> </w:t>
      </w:r>
      <w:r w:rsidR="00A61770">
        <w:t xml:space="preserve">For example, </w:t>
      </w:r>
      <w:r w:rsidR="00136096">
        <w:t>his</w:t>
      </w:r>
      <w:r w:rsidR="008F64B4">
        <w:t xml:space="preserve"> claim that, historically, self-defence was not restricted only</w:t>
      </w:r>
      <w:r w:rsidR="00790983">
        <w:t xml:space="preserve"> to</w:t>
      </w:r>
      <w:r w:rsidR="008F64B4">
        <w:t xml:space="preserve"> forcible action</w:t>
      </w:r>
      <w:r w:rsidR="00DF023A">
        <w:rPr>
          <w:rStyle w:val="FootnoteReference"/>
        </w:rPr>
        <w:footnoteReference w:id="29"/>
      </w:r>
      <w:r w:rsidR="008F64B4">
        <w:t xml:space="preserve"> is surely correct, </w:t>
      </w:r>
      <w:r w:rsidR="00136096">
        <w:t xml:space="preserve">as </w:t>
      </w:r>
      <w:r w:rsidR="00DD5879">
        <w:t xml:space="preserve">is </w:t>
      </w:r>
      <w:r w:rsidR="00136096">
        <w:t>his view t</w:t>
      </w:r>
      <w:r w:rsidR="00A61770">
        <w:t>hat</w:t>
      </w:r>
      <w:r w:rsidR="008F64B4">
        <w:t xml:space="preserve"> </w:t>
      </w:r>
      <w:r w:rsidR="00A61770">
        <w:t xml:space="preserve">it is difficult to see </w:t>
      </w:r>
      <w:r w:rsidR="002F7DC5">
        <w:t xml:space="preserve">the text of </w:t>
      </w:r>
      <w:r w:rsidR="00771979">
        <w:t>Article</w:t>
      </w:r>
      <w:r w:rsidR="008F64B4">
        <w:t xml:space="preserve"> 51 of the UN Charter </w:t>
      </w:r>
      <w:r w:rsidR="00136096">
        <w:t xml:space="preserve">as </w:t>
      </w:r>
      <w:r w:rsidR="00A61770">
        <w:t>ruling out non-forcible measures of self-defence</w:t>
      </w:r>
      <w:r w:rsidR="00136096">
        <w:t>.</w:t>
      </w:r>
      <w:r w:rsidR="00E96087">
        <w:rPr>
          <w:rStyle w:val="FootnoteReference"/>
        </w:rPr>
        <w:footnoteReference w:id="30"/>
      </w:r>
      <w:r w:rsidR="00136096">
        <w:t xml:space="preserve"> Less convincing </w:t>
      </w:r>
      <w:r w:rsidR="006C3275">
        <w:t xml:space="preserve">for me </w:t>
      </w:r>
      <w:r w:rsidR="00136096">
        <w:t xml:space="preserve">are </w:t>
      </w:r>
      <w:r w:rsidR="006C3275">
        <w:t xml:space="preserve">the examples </w:t>
      </w:r>
      <w:r w:rsidR="002F7DC5">
        <w:t>Buchan</w:t>
      </w:r>
      <w:r w:rsidR="006C3275">
        <w:t xml:space="preserve"> draws </w:t>
      </w:r>
      <w:r w:rsidR="00DD5879">
        <w:t xml:space="preserve">on </w:t>
      </w:r>
      <w:r w:rsidR="006C3275">
        <w:t>from</w:t>
      </w:r>
      <w:r w:rsidR="00136096">
        <w:t xml:space="preserve"> state practice </w:t>
      </w:r>
      <w:r w:rsidR="006C3275">
        <w:t>to</w:t>
      </w:r>
      <w:r w:rsidR="00A02465">
        <w:t xml:space="preserve"> support his thesis</w:t>
      </w:r>
      <w:r w:rsidR="00276B99">
        <w:t>,</w:t>
      </w:r>
      <w:r w:rsidR="00A91E61">
        <w:rPr>
          <w:rStyle w:val="FootnoteReference"/>
        </w:rPr>
        <w:footnoteReference w:id="31"/>
      </w:r>
      <w:r w:rsidR="00A91E61">
        <w:t xml:space="preserve"> </w:t>
      </w:r>
      <w:r w:rsidR="00A02465">
        <w:t xml:space="preserve">which seem thin. </w:t>
      </w:r>
    </w:p>
    <w:p w14:paraId="3788B858" w14:textId="1A5EB92B" w:rsidR="00BC4394" w:rsidRDefault="00276B99" w:rsidP="00B5756D">
      <w:pPr>
        <w:spacing w:line="360" w:lineRule="auto"/>
        <w:ind w:firstLine="720"/>
        <w:jc w:val="both"/>
      </w:pPr>
      <w:r>
        <w:t>In any event, without necessarily wishing to promote other journals</w:t>
      </w:r>
      <w:r w:rsidR="00490FB0">
        <w:t xml:space="preserve"> in an editorial </w:t>
      </w:r>
      <w:r w:rsidR="00AF5705">
        <w:t xml:space="preserve">written </w:t>
      </w:r>
      <w:r w:rsidR="00490FB0">
        <w:t>for this one</w:t>
      </w:r>
      <w:r>
        <w:t xml:space="preserve">, I would urge our readers to engage with </w:t>
      </w:r>
      <w:r w:rsidR="00490FB0">
        <w:t>Buchan’s</w:t>
      </w:r>
      <w:r>
        <w:t xml:space="preserve"> article. </w:t>
      </w:r>
      <w:r w:rsidR="00D8010B">
        <w:t>H</w:t>
      </w:r>
      <w:r w:rsidR="00490FB0">
        <w:t>e</w:t>
      </w:r>
      <w:r w:rsidR="00A02465">
        <w:t xml:space="preserve"> makes a strong – if </w:t>
      </w:r>
      <w:r w:rsidR="00D8010B">
        <w:t xml:space="preserve">perhaps </w:t>
      </w:r>
      <w:r w:rsidR="00A02465">
        <w:t>not watertight – case</w:t>
      </w:r>
      <w:r>
        <w:t>, and at</w:t>
      </w:r>
      <w:r w:rsidR="00A02465">
        <w:t xml:space="preserve"> the very least we would be wise to </w:t>
      </w:r>
      <w:r w:rsidR="00AF5705">
        <w:t xml:space="preserve">follow his lead and </w:t>
      </w:r>
      <w:r w:rsidR="00A02465">
        <w:t xml:space="preserve">continue to probe at the conventional view of self-defence as a purely </w:t>
      </w:r>
      <w:r w:rsidR="00AF5705">
        <w:t>‘</w:t>
      </w:r>
      <w:r w:rsidR="00A02465">
        <w:t>forcible</w:t>
      </w:r>
      <w:r w:rsidR="00AF5705">
        <w:t>’</w:t>
      </w:r>
      <w:r w:rsidR="00A02465">
        <w:t xml:space="preserve"> endeavour</w:t>
      </w:r>
      <w:r w:rsidR="007E2BD6">
        <w:t>.</w:t>
      </w:r>
    </w:p>
    <w:p w14:paraId="36AE73D4" w14:textId="2B0B650B" w:rsidR="00612028" w:rsidRDefault="007E2BD6" w:rsidP="00612028">
      <w:pPr>
        <w:spacing w:line="360" w:lineRule="auto"/>
        <w:ind w:firstLine="720"/>
        <w:jc w:val="both"/>
      </w:pPr>
      <w:r>
        <w:t xml:space="preserve">Buchan’s work on this </w:t>
      </w:r>
      <w:r w:rsidR="00A6685B">
        <w:t xml:space="preserve">issue is important and </w:t>
      </w:r>
      <w:r w:rsidR="00D8010B">
        <w:t>super-</w:t>
      </w:r>
      <w:r w:rsidR="00A6685B">
        <w:t>current, and</w:t>
      </w:r>
      <w:r>
        <w:t xml:space="preserve"> so required some </w:t>
      </w:r>
      <w:r w:rsidR="00617813">
        <w:t xml:space="preserve">brief </w:t>
      </w:r>
      <w:r>
        <w:t>discussion here</w:t>
      </w:r>
      <w:r w:rsidR="00A6685B">
        <w:t xml:space="preserve">. Yet </w:t>
      </w:r>
      <w:r>
        <w:t>w</w:t>
      </w:r>
      <w:r w:rsidR="00BC4394">
        <w:t xml:space="preserve">herever one lands </w:t>
      </w:r>
      <w:r w:rsidR="00FE7558">
        <w:t xml:space="preserve">on </w:t>
      </w:r>
      <w:r>
        <w:t>his</w:t>
      </w:r>
      <w:r w:rsidR="00FE7558">
        <w:t xml:space="preserve"> arguments</w:t>
      </w:r>
      <w:r w:rsidR="00524BF3">
        <w:t xml:space="preserve">, </w:t>
      </w:r>
      <w:r>
        <w:t>ultimately, they may be something of a diversion</w:t>
      </w:r>
      <w:r w:rsidR="00617813">
        <w:t xml:space="preserve"> for the matter in hand,</w:t>
      </w:r>
      <w:r>
        <w:t xml:space="preserve"> because </w:t>
      </w:r>
      <w:r w:rsidR="00524BF3">
        <w:t>it is not necessar</w:t>
      </w:r>
      <w:r w:rsidR="001C66E8">
        <w:t>il</w:t>
      </w:r>
      <w:r w:rsidR="00524BF3">
        <w:t xml:space="preserve">y </w:t>
      </w:r>
      <w:r w:rsidR="0044565B">
        <w:t>evident</w:t>
      </w:r>
      <w:r w:rsidR="00524BF3">
        <w:t xml:space="preserve"> that they </w:t>
      </w:r>
      <w:r>
        <w:t xml:space="preserve">are </w:t>
      </w:r>
      <w:r w:rsidR="00524BF3">
        <w:t xml:space="preserve">directly </w:t>
      </w:r>
      <w:r>
        <w:t>engaged by</w:t>
      </w:r>
      <w:r w:rsidR="00524BF3">
        <w:t xml:space="preserve"> the support </w:t>
      </w:r>
      <w:r w:rsidR="001C66E8">
        <w:t xml:space="preserve">currently </w:t>
      </w:r>
      <w:r w:rsidR="00524BF3">
        <w:t>being provided to Ukraine. This is because self-defence must be acting to justify otherwise unlawful conduct</w:t>
      </w:r>
      <w:r w:rsidR="00912F7B">
        <w:t xml:space="preserve"> of some sort</w:t>
      </w:r>
      <w:r w:rsidR="00120E1F">
        <w:t xml:space="preserve">, even if one might debate whether or not that conduct has to involve </w:t>
      </w:r>
      <w:r w:rsidR="00790983">
        <w:t>the</w:t>
      </w:r>
      <w:r w:rsidR="00120E1F">
        <w:t xml:space="preserve"> use of force</w:t>
      </w:r>
      <w:r w:rsidR="00E16156">
        <w:t>. I</w:t>
      </w:r>
      <w:r w:rsidR="00524BF3">
        <w:t>f the</w:t>
      </w:r>
      <w:r w:rsidR="00FE7558">
        <w:t xml:space="preserve"> </w:t>
      </w:r>
      <w:r w:rsidR="00E16156">
        <w:t xml:space="preserve">supply of weapons </w:t>
      </w:r>
      <w:r w:rsidR="00120E1F" w:rsidRPr="009963A0">
        <w:rPr>
          <w:i/>
          <w:iCs/>
        </w:rPr>
        <w:t>does</w:t>
      </w:r>
      <w:r w:rsidR="00120E1F">
        <w:t xml:space="preserve"> </w:t>
      </w:r>
      <w:r w:rsidR="00E16156">
        <w:t xml:space="preserve">amount to a use of force, then </w:t>
      </w:r>
      <w:r w:rsidR="003A50E7">
        <w:t xml:space="preserve">the question Buchan raises is not relevant here; if the supply of weapons </w:t>
      </w:r>
      <w:r w:rsidR="009963A0" w:rsidRPr="009963A0">
        <w:rPr>
          <w:i/>
          <w:iCs/>
        </w:rPr>
        <w:t>doe</w:t>
      </w:r>
      <w:r w:rsidR="009963A0">
        <w:rPr>
          <w:i/>
          <w:iCs/>
        </w:rPr>
        <w:t>s not</w:t>
      </w:r>
      <w:r w:rsidR="009963A0">
        <w:t xml:space="preserve"> amount to a use of force</w:t>
      </w:r>
      <w:r w:rsidR="003A50E7">
        <w:t xml:space="preserve">, it is not entirely </w:t>
      </w:r>
      <w:r w:rsidR="003A50E7" w:rsidRPr="00612028">
        <w:t xml:space="preserve">clear what internationally wrongful act </w:t>
      </w:r>
      <w:r w:rsidR="00683608" w:rsidRPr="00612028">
        <w:t xml:space="preserve">collective self-defence would be </w:t>
      </w:r>
      <w:r w:rsidR="0044565B" w:rsidRPr="00612028">
        <w:t xml:space="preserve">acting to </w:t>
      </w:r>
      <w:r w:rsidR="00683608" w:rsidRPr="00612028">
        <w:t xml:space="preserve">justify. </w:t>
      </w:r>
      <w:r w:rsidR="00AB6FED" w:rsidRPr="00612028">
        <w:t>The activity</w:t>
      </w:r>
      <w:r w:rsidR="00683608" w:rsidRPr="00612028">
        <w:t xml:space="preserve"> would </w:t>
      </w:r>
      <w:r w:rsidR="00790983">
        <w:t xml:space="preserve">appear </w:t>
      </w:r>
      <w:r w:rsidR="00683608" w:rsidRPr="00612028">
        <w:t xml:space="preserve">simply </w:t>
      </w:r>
      <w:r w:rsidR="00790983">
        <w:t xml:space="preserve">to </w:t>
      </w:r>
      <w:r w:rsidR="0044565B" w:rsidRPr="00612028">
        <w:t>amount to</w:t>
      </w:r>
      <w:r w:rsidR="00683608" w:rsidRPr="00612028">
        <w:t xml:space="preserve"> the </w:t>
      </w:r>
      <w:r w:rsidR="00AB6FED" w:rsidRPr="00612028">
        <w:t xml:space="preserve">lawful </w:t>
      </w:r>
      <w:r w:rsidR="00683608" w:rsidRPr="00612028">
        <w:t xml:space="preserve">supply of arms to another sovereign </w:t>
      </w:r>
      <w:r w:rsidR="00AB6FED" w:rsidRPr="00612028">
        <w:t>state</w:t>
      </w:r>
      <w:r w:rsidR="003922A0" w:rsidRPr="00612028">
        <w:t xml:space="preserve"> in furtherance of its own exercise of individual self-defence.</w:t>
      </w:r>
      <w:r w:rsidR="003922A0" w:rsidRPr="00612028">
        <w:rPr>
          <w:rStyle w:val="FootnoteReference"/>
        </w:rPr>
        <w:footnoteReference w:id="32"/>
      </w:r>
    </w:p>
    <w:p w14:paraId="244706F1" w14:textId="035479CB" w:rsidR="00BC4394" w:rsidRPr="00B14F56" w:rsidRDefault="00821CB0" w:rsidP="00612028">
      <w:pPr>
        <w:spacing w:line="360" w:lineRule="auto"/>
        <w:ind w:firstLine="720"/>
        <w:jc w:val="both"/>
      </w:pPr>
      <w:r w:rsidRPr="00612028">
        <w:t>Admittedly</w:t>
      </w:r>
      <w:r w:rsidR="00683608" w:rsidRPr="00612028">
        <w:t xml:space="preserve">, </w:t>
      </w:r>
      <w:r w:rsidR="004619C5" w:rsidRPr="00612028">
        <w:rPr>
          <w:rFonts w:eastAsiaTheme="minorHAnsi"/>
          <w:lang w:eastAsia="en-US"/>
        </w:rPr>
        <w:t xml:space="preserve">the provision of weapons </w:t>
      </w:r>
      <w:r w:rsidR="00280AE1" w:rsidRPr="00612028">
        <w:rPr>
          <w:rFonts w:eastAsiaTheme="minorHAnsi"/>
          <w:lang w:eastAsia="en-US"/>
        </w:rPr>
        <w:t xml:space="preserve">and other support </w:t>
      </w:r>
      <w:r w:rsidR="004619C5" w:rsidRPr="00612028">
        <w:rPr>
          <w:rFonts w:eastAsiaTheme="minorHAnsi"/>
          <w:lang w:eastAsia="en-US"/>
        </w:rPr>
        <w:t>to Ukraine</w:t>
      </w:r>
      <w:r w:rsidR="00280AE1" w:rsidRPr="00612028">
        <w:rPr>
          <w:rFonts w:eastAsiaTheme="minorHAnsi"/>
          <w:lang w:eastAsia="en-US"/>
        </w:rPr>
        <w:t xml:space="preserve"> </w:t>
      </w:r>
      <w:r w:rsidR="007B1E1E">
        <w:rPr>
          <w:rFonts w:eastAsiaTheme="minorHAnsi"/>
          <w:lang w:eastAsia="en-US"/>
        </w:rPr>
        <w:t xml:space="preserve">certainly </w:t>
      </w:r>
      <w:r w:rsidR="004619C5" w:rsidRPr="00612028">
        <w:rPr>
          <w:rFonts w:eastAsiaTheme="minorHAnsi"/>
          <w:lang w:eastAsia="en-US"/>
        </w:rPr>
        <w:t>raises questions regarding the law of neutrality</w:t>
      </w:r>
      <w:r w:rsidR="007B1E1E">
        <w:rPr>
          <w:rFonts w:eastAsiaTheme="minorHAnsi"/>
          <w:lang w:eastAsia="en-US"/>
        </w:rPr>
        <w:t xml:space="preserve">, and there is ongoing debate as to whether </w:t>
      </w:r>
      <w:r w:rsidR="00272E36">
        <w:rPr>
          <w:rFonts w:eastAsiaTheme="minorHAnsi"/>
          <w:lang w:eastAsia="en-US"/>
        </w:rPr>
        <w:t xml:space="preserve">obligations </w:t>
      </w:r>
      <w:r w:rsidR="00272E36">
        <w:rPr>
          <w:rFonts w:eastAsiaTheme="minorHAnsi"/>
          <w:lang w:eastAsia="en-US"/>
        </w:rPr>
        <w:lastRenderedPageBreak/>
        <w:t>of impartiality are being breached</w:t>
      </w:r>
      <w:r w:rsidR="00596E12">
        <w:rPr>
          <w:rFonts w:eastAsiaTheme="minorHAnsi"/>
          <w:lang w:eastAsia="en-US"/>
        </w:rPr>
        <w:t xml:space="preserve"> that go beyond the scope of this editorial</w:t>
      </w:r>
      <w:r w:rsidR="00272E36">
        <w:rPr>
          <w:rFonts w:eastAsiaTheme="minorHAnsi"/>
          <w:lang w:eastAsia="en-US"/>
        </w:rPr>
        <w:t>.</w:t>
      </w:r>
      <w:r w:rsidR="004619C5" w:rsidRPr="00612028">
        <w:rPr>
          <w:rStyle w:val="FootnoteReference"/>
          <w:rFonts w:eastAsiaTheme="minorHAnsi"/>
          <w:lang w:eastAsia="en-US"/>
        </w:rPr>
        <w:footnoteReference w:id="33"/>
      </w:r>
      <w:r w:rsidR="00272E36">
        <w:rPr>
          <w:rFonts w:eastAsiaTheme="minorHAnsi"/>
          <w:lang w:eastAsia="en-US"/>
        </w:rPr>
        <w:t xml:space="preserve"> But </w:t>
      </w:r>
      <w:r w:rsidR="00596E12">
        <w:rPr>
          <w:rFonts w:eastAsiaTheme="minorHAnsi"/>
          <w:lang w:eastAsia="en-US"/>
        </w:rPr>
        <w:t xml:space="preserve">if they </w:t>
      </w:r>
      <w:r w:rsidR="00596E12" w:rsidRPr="00F810FE">
        <w:rPr>
          <w:rFonts w:eastAsiaTheme="minorHAnsi"/>
          <w:i/>
          <w:iCs/>
          <w:lang w:eastAsia="en-US"/>
        </w:rPr>
        <w:t>are</w:t>
      </w:r>
      <w:r w:rsidR="00596E12">
        <w:rPr>
          <w:rFonts w:eastAsiaTheme="minorHAnsi"/>
          <w:lang w:eastAsia="en-US"/>
        </w:rPr>
        <w:t xml:space="preserve"> being breached, it</w:t>
      </w:r>
      <w:r w:rsidR="00272E36">
        <w:rPr>
          <w:rFonts w:eastAsiaTheme="minorHAnsi"/>
          <w:lang w:eastAsia="en-US"/>
        </w:rPr>
        <w:t xml:space="preserve"> would seem a poor fit to argue</w:t>
      </w:r>
      <w:r w:rsidR="00596E12">
        <w:rPr>
          <w:rFonts w:eastAsiaTheme="minorHAnsi"/>
          <w:lang w:eastAsia="en-US"/>
        </w:rPr>
        <w:t xml:space="preserve"> that collective self-defence could act to justify that breach</w:t>
      </w:r>
      <w:r w:rsidR="00F810FE">
        <w:rPr>
          <w:rFonts w:eastAsiaTheme="minorHAnsi"/>
          <w:lang w:eastAsia="en-US"/>
        </w:rPr>
        <w:t xml:space="preserve"> given the appropriate and (usually accepted</w:t>
      </w:r>
      <w:r w:rsidR="009D3ABB">
        <w:rPr>
          <w:rFonts w:eastAsiaTheme="minorHAnsi"/>
          <w:lang w:eastAsia="en-US"/>
        </w:rPr>
        <w:t>)</w:t>
      </w:r>
      <w:r w:rsidR="00F810FE">
        <w:rPr>
          <w:rFonts w:eastAsiaTheme="minorHAnsi"/>
          <w:lang w:eastAsia="en-US"/>
        </w:rPr>
        <w:t xml:space="preserve"> distinction between </w:t>
      </w:r>
      <w:r w:rsidR="009D3ABB">
        <w:rPr>
          <w:rFonts w:eastAsiaTheme="minorHAnsi"/>
          <w:lang w:eastAsia="en-US"/>
        </w:rPr>
        <w:t xml:space="preserve">questions of neutrality and questions of </w:t>
      </w:r>
      <w:r w:rsidR="009D3ABB" w:rsidRPr="009D3ABB">
        <w:rPr>
          <w:rFonts w:eastAsiaTheme="minorHAnsi"/>
          <w:i/>
          <w:iCs/>
          <w:lang w:eastAsia="en-US"/>
        </w:rPr>
        <w:t>ad bellum</w:t>
      </w:r>
      <w:r w:rsidR="00596E12">
        <w:rPr>
          <w:rFonts w:eastAsiaTheme="minorHAnsi"/>
          <w:lang w:eastAsia="en-US"/>
        </w:rPr>
        <w:t>.</w:t>
      </w:r>
      <w:r w:rsidR="00596E12">
        <w:rPr>
          <w:rStyle w:val="FootnoteReference"/>
          <w:rFonts w:eastAsiaTheme="minorHAnsi"/>
          <w:lang w:eastAsia="en-US"/>
        </w:rPr>
        <w:footnoteReference w:id="34"/>
      </w:r>
      <w:r w:rsidR="00596E12">
        <w:rPr>
          <w:rFonts w:eastAsiaTheme="minorHAnsi"/>
          <w:lang w:eastAsia="en-US"/>
        </w:rPr>
        <w:t xml:space="preserve"> Similarly, </w:t>
      </w:r>
      <w:r w:rsidR="00612028">
        <w:t>i</w:t>
      </w:r>
      <w:r w:rsidR="004011C6">
        <w:t xml:space="preserve">f the weapons </w:t>
      </w:r>
      <w:r w:rsidR="00596E12">
        <w:t xml:space="preserve">being supplied to Ukraine </w:t>
      </w:r>
      <w:r w:rsidR="004011C6">
        <w:t xml:space="preserve">were used unlawfully – say, to perpetrate war crimes – the supplying state also may be legally responsible, </w:t>
      </w:r>
      <w:r w:rsidR="003E7D16">
        <w:t>at least if it did so</w:t>
      </w:r>
      <w:r w:rsidR="003E7D16" w:rsidRPr="002E269A">
        <w:t xml:space="preserve"> with knowledge of </w:t>
      </w:r>
      <w:r w:rsidR="003E7D16">
        <w:t xml:space="preserve">that potential </w:t>
      </w:r>
      <w:r w:rsidR="004011C6">
        <w:t xml:space="preserve">unlawful </w:t>
      </w:r>
      <w:r w:rsidR="003E7D16">
        <w:t>use</w:t>
      </w:r>
      <w:r w:rsidR="003E7D16" w:rsidRPr="002E269A">
        <w:t>.</w:t>
      </w:r>
      <w:r w:rsidR="003E7D16" w:rsidRPr="002E269A">
        <w:rPr>
          <w:rStyle w:val="FootnoteReference"/>
        </w:rPr>
        <w:footnoteReference w:id="35"/>
      </w:r>
      <w:r>
        <w:t xml:space="preserve"> Even if one concurs with </w:t>
      </w:r>
      <w:r w:rsidR="006409ED">
        <w:t>Buchan</w:t>
      </w:r>
      <w:r>
        <w:t xml:space="preserve"> that </w:t>
      </w:r>
      <w:r w:rsidR="00306AEA">
        <w:t>self-defence is not limited only to uses of force,</w:t>
      </w:r>
      <w:r w:rsidR="006409ED">
        <w:t xml:space="preserve"> though, it would </w:t>
      </w:r>
      <w:r w:rsidR="000273F1">
        <w:t xml:space="preserve">again </w:t>
      </w:r>
      <w:r w:rsidR="006409ED">
        <w:t xml:space="preserve">seem a stretch to argue </w:t>
      </w:r>
      <w:r w:rsidR="00306AEA">
        <w:t xml:space="preserve">that </w:t>
      </w:r>
      <w:r w:rsidR="00633240">
        <w:t>collective</w:t>
      </w:r>
      <w:r w:rsidR="006409ED">
        <w:t xml:space="preserve"> self-defence could </w:t>
      </w:r>
      <w:r w:rsidR="00633240">
        <w:t>legally</w:t>
      </w:r>
      <w:r w:rsidR="006409ED">
        <w:t xml:space="preserve"> </w:t>
      </w:r>
      <w:r w:rsidR="00B5797A">
        <w:t>justify</w:t>
      </w:r>
      <w:r w:rsidR="006409ED">
        <w:t xml:space="preserve"> </w:t>
      </w:r>
      <w:r w:rsidR="00306AEA">
        <w:t>complicity in war crimes</w:t>
      </w:r>
      <w:r w:rsidR="00877919">
        <w:t xml:space="preserve">, </w:t>
      </w:r>
      <w:r w:rsidR="006409ED">
        <w:t xml:space="preserve">as opposed to, say, </w:t>
      </w:r>
      <w:r w:rsidR="00790983">
        <w:t xml:space="preserve">the kinds of </w:t>
      </w:r>
      <w:r w:rsidR="006409ED">
        <w:t xml:space="preserve">economic sanctions taken in ‘self-defence’ that he envisages. </w:t>
      </w:r>
      <w:r w:rsidR="00E24F3D">
        <w:t>Ultimately, then, t</w:t>
      </w:r>
      <w:r w:rsidR="006409ED">
        <w:t xml:space="preserve">he key question </w:t>
      </w:r>
      <w:r w:rsidR="00633240">
        <w:t>in relation to the current support for Ukraine remains ‘is it a use of force’?</w:t>
      </w:r>
    </w:p>
    <w:p w14:paraId="445C77D7" w14:textId="2A6E5B08" w:rsidR="005416A0" w:rsidRPr="00B14F56" w:rsidRDefault="005416A0" w:rsidP="00612028">
      <w:pPr>
        <w:spacing w:line="360" w:lineRule="auto"/>
        <w:jc w:val="both"/>
      </w:pPr>
    </w:p>
    <w:p w14:paraId="66A71945" w14:textId="76461F2D" w:rsidR="005416A0" w:rsidRPr="00B14F56" w:rsidRDefault="001C66E8" w:rsidP="00612028">
      <w:pPr>
        <w:spacing w:line="360" w:lineRule="auto"/>
        <w:jc w:val="both"/>
        <w:rPr>
          <w:b/>
          <w:bCs/>
        </w:rPr>
      </w:pPr>
      <w:r>
        <w:rPr>
          <w:b/>
          <w:bCs/>
        </w:rPr>
        <w:t xml:space="preserve">3. </w:t>
      </w:r>
      <w:r w:rsidR="009710E4">
        <w:rPr>
          <w:b/>
          <w:bCs/>
        </w:rPr>
        <w:t>W</w:t>
      </w:r>
      <w:r w:rsidR="005A2F41" w:rsidRPr="00B14F56">
        <w:rPr>
          <w:b/>
          <w:bCs/>
        </w:rPr>
        <w:t>hat is ‘force’?</w:t>
      </w:r>
    </w:p>
    <w:p w14:paraId="685DB91B" w14:textId="77777777" w:rsidR="005A2F41" w:rsidRPr="00B14F56" w:rsidRDefault="005A2F41" w:rsidP="00B14F56">
      <w:pPr>
        <w:spacing w:line="360" w:lineRule="auto"/>
        <w:jc w:val="both"/>
      </w:pPr>
    </w:p>
    <w:p w14:paraId="2E003163" w14:textId="0431A09D" w:rsidR="00B5756D" w:rsidRDefault="00CC3D69" w:rsidP="00C71E41">
      <w:pPr>
        <w:spacing w:line="360" w:lineRule="auto"/>
        <w:jc w:val="both"/>
      </w:pPr>
      <w:r w:rsidRPr="00B14F56">
        <w:t xml:space="preserve">Asking whether the provision of weapons and logistical support to Ukraine amounts to a </w:t>
      </w:r>
      <w:r w:rsidRPr="007A175D">
        <w:rPr>
          <w:i/>
          <w:iCs/>
        </w:rPr>
        <w:t xml:space="preserve">prima facie </w:t>
      </w:r>
      <w:r w:rsidRPr="00B14F56">
        <w:t xml:space="preserve">unlawful use of force </w:t>
      </w:r>
      <w:r w:rsidR="007A175D">
        <w:t xml:space="preserve">necessarily </w:t>
      </w:r>
      <w:r w:rsidRPr="00B14F56">
        <w:t xml:space="preserve">engages the wider question of what constitutes a ‘use of force’ under the </w:t>
      </w:r>
      <w:r w:rsidRPr="00B14F56">
        <w:rPr>
          <w:i/>
          <w:iCs/>
        </w:rPr>
        <w:t>jus ad bellum</w:t>
      </w:r>
      <w:r w:rsidRPr="00B14F56">
        <w:t>. That question has been repeatedly explored throughout the UN era,</w:t>
      </w:r>
      <w:r w:rsidRPr="00B14F56">
        <w:rPr>
          <w:rStyle w:val="FootnoteReference"/>
        </w:rPr>
        <w:footnoteReference w:id="36"/>
      </w:r>
      <w:r w:rsidRPr="00B14F56">
        <w:t xml:space="preserve"> and </w:t>
      </w:r>
      <w:r w:rsidRPr="00C71E41">
        <w:t xml:space="preserve">that analysis has involved engaging with a number of sub-questions. </w:t>
      </w:r>
      <w:r w:rsidR="006647D4" w:rsidRPr="00C71E41">
        <w:t>One might recall, for example, debates</w:t>
      </w:r>
      <w:r w:rsidR="00C71E41">
        <w:t xml:space="preserve"> – especially early in the UN era – </w:t>
      </w:r>
      <w:r w:rsidR="006647D4" w:rsidRPr="00C71E41">
        <w:t>over whether ‘economic force’ or ‘political force’ amount</w:t>
      </w:r>
      <w:r w:rsidR="00C71E41">
        <w:t>ed</w:t>
      </w:r>
      <w:r w:rsidR="006647D4" w:rsidRPr="00C71E41">
        <w:t xml:space="preserve"> to a violation of the prohibition of ‘force’,</w:t>
      </w:r>
      <w:r w:rsidR="006647D4" w:rsidRPr="00C71E41">
        <w:rPr>
          <w:rStyle w:val="FootnoteReference"/>
        </w:rPr>
        <w:footnoteReference w:id="37"/>
      </w:r>
      <w:r w:rsidR="006647D4" w:rsidRPr="00C71E41">
        <w:t xml:space="preserve"> the more recent equivalent question of whether ‘cyber force’ counts,</w:t>
      </w:r>
      <w:r w:rsidR="006647D4" w:rsidRPr="00C71E41">
        <w:rPr>
          <w:rStyle w:val="FootnoteReference"/>
        </w:rPr>
        <w:footnoteReference w:id="38"/>
      </w:r>
      <w:r w:rsidR="006647D4" w:rsidRPr="00C71E41">
        <w:t xml:space="preserve"> or the </w:t>
      </w:r>
      <w:r w:rsidR="009843C8">
        <w:t xml:space="preserve">entrenched </w:t>
      </w:r>
      <w:r w:rsidR="006647D4" w:rsidRPr="00C71E41">
        <w:t xml:space="preserve">debate over whether </w:t>
      </w:r>
      <w:r w:rsidR="006647D4" w:rsidRPr="00C71E41">
        <w:lastRenderedPageBreak/>
        <w:t xml:space="preserve">there is, in general, a </w:t>
      </w:r>
      <w:r w:rsidR="006647D4" w:rsidRPr="00C71E41">
        <w:rPr>
          <w:i/>
          <w:iCs/>
        </w:rPr>
        <w:t>de minimis</w:t>
      </w:r>
      <w:r w:rsidR="006647D4" w:rsidRPr="00C71E41">
        <w:t xml:space="preserve"> threshold for acts to qualify as ‘force’.</w:t>
      </w:r>
      <w:r w:rsidR="006647D4" w:rsidRPr="00C71E41">
        <w:rPr>
          <w:rStyle w:val="FootnoteReference"/>
        </w:rPr>
        <w:footnoteReference w:id="39"/>
      </w:r>
      <w:r w:rsidR="009843C8">
        <w:t xml:space="preserve"> I</w:t>
      </w:r>
      <w:r w:rsidRPr="00C71E41">
        <w:t xml:space="preserve">t </w:t>
      </w:r>
      <w:r w:rsidR="009843C8">
        <w:t xml:space="preserve">is perhaps unsurprising that </w:t>
      </w:r>
      <w:r w:rsidRPr="00C71E41">
        <w:t>the</w:t>
      </w:r>
      <w:r w:rsidRPr="00B14F56">
        <w:t xml:space="preserve"> meaning of ‘force’ in the </w:t>
      </w:r>
      <w:r w:rsidRPr="00B14F56">
        <w:rPr>
          <w:i/>
          <w:iCs/>
        </w:rPr>
        <w:t>jus ad bellum</w:t>
      </w:r>
      <w:r w:rsidRPr="00B14F56">
        <w:t xml:space="preserve"> </w:t>
      </w:r>
      <w:r w:rsidR="009843C8">
        <w:t>has been referred to as</w:t>
      </w:r>
      <w:r w:rsidRPr="00B14F56">
        <w:t xml:space="preserve"> ‘the subject of controversy par excellence in international law’.</w:t>
      </w:r>
      <w:r w:rsidRPr="00B14F56">
        <w:rPr>
          <w:rStyle w:val="FootnoteReference"/>
        </w:rPr>
        <w:footnoteReference w:id="40"/>
      </w:r>
      <w:r w:rsidRPr="00B14F56">
        <w:t xml:space="preserve"> This </w:t>
      </w:r>
      <w:r w:rsidR="000C5B24" w:rsidRPr="00B14F56">
        <w:t>editorial is</w:t>
      </w:r>
      <w:r w:rsidRPr="00B14F56">
        <w:t xml:space="preserve"> </w:t>
      </w:r>
      <w:r w:rsidR="00B34275">
        <w:t>definitely</w:t>
      </w:r>
      <w:r w:rsidR="001E0274">
        <w:t xml:space="preserve"> </w:t>
      </w:r>
      <w:r w:rsidRPr="00B14F56">
        <w:t>not the place to engage</w:t>
      </w:r>
      <w:r w:rsidR="00790983">
        <w:t xml:space="preserve"> with</w:t>
      </w:r>
      <w:r w:rsidRPr="00B14F56">
        <w:t xml:space="preserve"> the meaning of ‘force’ in international law in general. </w:t>
      </w:r>
    </w:p>
    <w:p w14:paraId="19916CE2" w14:textId="5609BC9E" w:rsidR="00CF5AE9" w:rsidRPr="00B14F56" w:rsidRDefault="002408DE" w:rsidP="00B5756D">
      <w:pPr>
        <w:spacing w:line="360" w:lineRule="auto"/>
        <w:ind w:firstLine="720"/>
        <w:jc w:val="both"/>
      </w:pPr>
      <w:r w:rsidRPr="00B14F56">
        <w:t xml:space="preserve">The </w:t>
      </w:r>
      <w:r w:rsidR="00CF68AA">
        <w:t xml:space="preserve">related but </w:t>
      </w:r>
      <w:r w:rsidRPr="00B14F56">
        <w:t xml:space="preserve">more specific question </w:t>
      </w:r>
      <w:r w:rsidR="00BB24F1" w:rsidRPr="00B14F56">
        <w:t>at issue with regard to Ukraine</w:t>
      </w:r>
      <w:r w:rsidR="00CF68AA">
        <w:t xml:space="preserve"> </w:t>
      </w:r>
      <w:r w:rsidR="00BB24F1" w:rsidRPr="00B14F56">
        <w:t>is</w:t>
      </w:r>
      <w:r w:rsidR="00CC3D69" w:rsidRPr="00B14F56">
        <w:t xml:space="preserve"> </w:t>
      </w:r>
      <w:r w:rsidR="00CF5AE9" w:rsidRPr="00B14F56">
        <w:t xml:space="preserve">whether </w:t>
      </w:r>
      <w:proofErr w:type="spellStart"/>
      <w:r w:rsidR="00CF5AE9" w:rsidRPr="00B14F56">
        <w:rPr>
          <w:i/>
          <w:iCs/>
        </w:rPr>
        <w:t>minoris</w:t>
      </w:r>
      <w:proofErr w:type="spellEnd"/>
      <w:r w:rsidR="00CF5AE9" w:rsidRPr="00B14F56">
        <w:rPr>
          <w:i/>
          <w:iCs/>
        </w:rPr>
        <w:t xml:space="preserve"> generis</w:t>
      </w:r>
      <w:r w:rsidR="00CF5AE9" w:rsidRPr="00B14F56">
        <w:t xml:space="preserve"> assistance </w:t>
      </w:r>
      <w:r w:rsidR="00CF5AE9" w:rsidRPr="00A334C5">
        <w:rPr>
          <w:i/>
          <w:iCs/>
        </w:rPr>
        <w:t>to</w:t>
      </w:r>
      <w:r w:rsidRPr="00A334C5">
        <w:rPr>
          <w:i/>
          <w:iCs/>
        </w:rPr>
        <w:t xml:space="preserve"> support another state</w:t>
      </w:r>
      <w:r w:rsidR="00BB24F1" w:rsidRPr="00A334C5">
        <w:rPr>
          <w:i/>
          <w:iCs/>
        </w:rPr>
        <w:t>’s own use of force</w:t>
      </w:r>
      <w:r w:rsidR="00BB24F1" w:rsidRPr="00B14F56">
        <w:t xml:space="preserve"> is</w:t>
      </w:r>
      <w:r w:rsidR="007B054F" w:rsidRPr="00B14F56">
        <w:t>, itself,</w:t>
      </w:r>
      <w:r w:rsidR="00BB24F1" w:rsidRPr="00B14F56">
        <w:t xml:space="preserve"> a use of force. That question is </w:t>
      </w:r>
      <w:r w:rsidR="00E8394D" w:rsidRPr="00B14F56">
        <w:t>a difficult one</w:t>
      </w:r>
      <w:r w:rsidR="007B054F" w:rsidRPr="00B14F56">
        <w:t xml:space="preserve">. </w:t>
      </w:r>
      <w:r w:rsidR="00CF5AE9" w:rsidRPr="00B14F56">
        <w:t xml:space="preserve">As </w:t>
      </w:r>
      <w:r w:rsidR="006F7487">
        <w:t xml:space="preserve">Claus </w:t>
      </w:r>
      <w:r w:rsidR="00CF5AE9" w:rsidRPr="00B14F56">
        <w:t xml:space="preserve">Kreß phrases </w:t>
      </w:r>
      <w:r w:rsidR="00FB0087">
        <w:t>it</w:t>
      </w:r>
      <w:r w:rsidR="00CF5AE9" w:rsidRPr="00B14F56">
        <w:t xml:space="preserve">, what </w:t>
      </w:r>
      <w:proofErr w:type="gramStart"/>
      <w:r w:rsidR="00CF5AE9" w:rsidRPr="00B14F56">
        <w:t>is</w:t>
      </w:r>
      <w:proofErr w:type="gramEnd"/>
    </w:p>
    <w:p w14:paraId="7B0AE973" w14:textId="77777777" w:rsidR="00CF5AE9" w:rsidRPr="00B14F56" w:rsidRDefault="00CF5AE9" w:rsidP="00B14F56">
      <w:pPr>
        <w:spacing w:line="360" w:lineRule="auto"/>
        <w:jc w:val="both"/>
      </w:pPr>
    </w:p>
    <w:p w14:paraId="6CAAC853" w14:textId="77B65B96" w:rsidR="00CF5AE9" w:rsidRPr="00B14F56" w:rsidRDefault="00CF5AE9" w:rsidP="00B14F56">
      <w:pPr>
        <w:spacing w:line="360" w:lineRule="auto"/>
        <w:ind w:left="720"/>
        <w:jc w:val="both"/>
      </w:pPr>
      <w:r w:rsidRPr="00B14F56">
        <w:t xml:space="preserve">the point at which support for the use of force by another State amounts to a use of force by the supporting State. For as soon as a State uses force, it must be able to rely on an exception to the prohibition of the use of force. If, however, a State merely assists another State in that latter’s use of force, this assistance is lawful without a need to rely on an exception, provided that the supported use of force itself is lawful. </w:t>
      </w:r>
      <w:r w:rsidRPr="00B14F56">
        <w:rPr>
          <w:i/>
          <w:iCs/>
        </w:rPr>
        <w:t>The delineation in question is not crystal clear</w:t>
      </w:r>
      <w:r w:rsidRPr="00B14F56">
        <w:t>.</w:t>
      </w:r>
      <w:r w:rsidRPr="00B14F56">
        <w:rPr>
          <w:rStyle w:val="FootnoteReference"/>
        </w:rPr>
        <w:footnoteReference w:id="41"/>
      </w:r>
    </w:p>
    <w:p w14:paraId="47A55985" w14:textId="77777777" w:rsidR="00CF5AE9" w:rsidRPr="00B14F56" w:rsidRDefault="00CF5AE9" w:rsidP="00B14F56">
      <w:pPr>
        <w:spacing w:line="360" w:lineRule="auto"/>
        <w:jc w:val="both"/>
      </w:pPr>
    </w:p>
    <w:p w14:paraId="5C475ECD" w14:textId="6AFBB65E" w:rsidR="004B7DC0" w:rsidRDefault="003F6838" w:rsidP="00B14F56">
      <w:pPr>
        <w:spacing w:line="360" w:lineRule="auto"/>
        <w:jc w:val="both"/>
      </w:pPr>
      <w:r w:rsidRPr="00B14F56">
        <w:t xml:space="preserve">Heller and </w:t>
      </w:r>
      <w:proofErr w:type="spellStart"/>
      <w:r w:rsidR="00641359" w:rsidRPr="00B14F56">
        <w:t>Trabucco</w:t>
      </w:r>
      <w:proofErr w:type="spellEnd"/>
      <w:r w:rsidR="00641359" w:rsidRPr="00B14F56">
        <w:t xml:space="preserve"> </w:t>
      </w:r>
      <w:r w:rsidRPr="00B14F56">
        <w:t xml:space="preserve">reach the conclusion that </w:t>
      </w:r>
      <w:r w:rsidR="003D7FD6" w:rsidRPr="00B14F56">
        <w:t>assist</w:t>
      </w:r>
      <w:r w:rsidR="00ED79FC">
        <w:t>ing another state’s use of force in this way</w:t>
      </w:r>
      <w:r w:rsidR="003D7FD6" w:rsidRPr="00B14F56">
        <w:t xml:space="preserve"> is itself a use of force by reference to the</w:t>
      </w:r>
      <w:r w:rsidR="00CC3D69" w:rsidRPr="00B14F56">
        <w:t xml:space="preserve"> 1986 </w:t>
      </w:r>
      <w:r w:rsidR="00CC3D69" w:rsidRPr="00B14F56">
        <w:rPr>
          <w:i/>
          <w:iCs/>
        </w:rPr>
        <w:t>Nicaragua</w:t>
      </w:r>
      <w:r w:rsidR="00CC3D69" w:rsidRPr="00B14F56">
        <w:t xml:space="preserve"> decision </w:t>
      </w:r>
      <w:r w:rsidR="003D7FD6" w:rsidRPr="00B14F56">
        <w:t>of the International Court of Justice (ICJ).</w:t>
      </w:r>
      <w:r w:rsidR="004860F5">
        <w:rPr>
          <w:rStyle w:val="FootnoteReference"/>
        </w:rPr>
        <w:footnoteReference w:id="42"/>
      </w:r>
      <w:r w:rsidR="003D7FD6" w:rsidRPr="00B14F56">
        <w:t xml:space="preserve"> That decision certainly </w:t>
      </w:r>
      <w:r w:rsidR="00A334C5">
        <w:t xml:space="preserve">does </w:t>
      </w:r>
      <w:r w:rsidR="003D7FD6" w:rsidRPr="00B14F56">
        <w:t xml:space="preserve">support </w:t>
      </w:r>
      <w:r w:rsidR="00DF3E0D" w:rsidRPr="00B14F56">
        <w:t>their position:</w:t>
      </w:r>
      <w:r w:rsidR="00CC3D69" w:rsidRPr="00B14F56">
        <w:t xml:space="preserve"> the ICJ was of the view that, while such activity did not constitute an ‘armed attack’ sufficient to trigger the right of self-defence, ‘assistance to rebels in the form of the provision of weapons or logistical or other support … may be regarded as a threat or use of force’.</w:t>
      </w:r>
      <w:r w:rsidR="00CC3D69" w:rsidRPr="00B14F56">
        <w:rPr>
          <w:rStyle w:val="FootnoteReference"/>
        </w:rPr>
        <w:footnoteReference w:id="43"/>
      </w:r>
      <w:r w:rsidR="00CC3D69" w:rsidRPr="00B14F56">
        <w:t xml:space="preserve"> </w:t>
      </w:r>
    </w:p>
    <w:p w14:paraId="30A73EB5" w14:textId="1F706B81" w:rsidR="00B5756D" w:rsidRDefault="00CC3D69" w:rsidP="004B7DC0">
      <w:pPr>
        <w:spacing w:line="360" w:lineRule="auto"/>
        <w:ind w:firstLine="720"/>
        <w:jc w:val="both"/>
      </w:pPr>
      <w:r w:rsidRPr="00B14F56">
        <w:t xml:space="preserve">As a result, the </w:t>
      </w:r>
      <w:r w:rsidR="004F7F6D" w:rsidRPr="00B14F56">
        <w:t>Court</w:t>
      </w:r>
      <w:r w:rsidRPr="00B14F56">
        <w:t xml:space="preserve"> concluded that ‘the arming and training of the </w:t>
      </w:r>
      <w:r w:rsidRPr="00B14F56">
        <w:rPr>
          <w:i/>
          <w:iCs/>
        </w:rPr>
        <w:t>contras</w:t>
      </w:r>
      <w:r w:rsidRPr="00B14F56">
        <w:t xml:space="preserve"> [by the US] can certainly be said to involve the threat or use of force against Nicaragua.’</w:t>
      </w:r>
      <w:r w:rsidRPr="00B14F56">
        <w:rPr>
          <w:rStyle w:val="FootnoteReference"/>
        </w:rPr>
        <w:footnoteReference w:id="44"/>
      </w:r>
      <w:r w:rsidRPr="00B14F56">
        <w:t xml:space="preserve"> It then went on to consider whether ‘the acts in question of the United States are </w:t>
      </w:r>
      <w:r w:rsidRPr="004E2924">
        <w:t xml:space="preserve">justified by the exercise of </w:t>
      </w:r>
      <w:r w:rsidRPr="004E2924">
        <w:lastRenderedPageBreak/>
        <w:t>its right of collective self-defence</w:t>
      </w:r>
      <w:r w:rsidRPr="00B14F56">
        <w:t>…’</w:t>
      </w:r>
      <w:r w:rsidRPr="00B14F56">
        <w:rPr>
          <w:rStyle w:val="FootnoteReference"/>
        </w:rPr>
        <w:footnoteReference w:id="45"/>
      </w:r>
      <w:r w:rsidRPr="00B14F56">
        <w:t xml:space="preserve"> Although the Court concluded that such actions by the US could not be justified in this way, this was on the basis that Nicaragua had not perpetrated an armed attack triggering the exercise of the right of self-defence.</w:t>
      </w:r>
      <w:r w:rsidRPr="00B14F56">
        <w:rPr>
          <w:rStyle w:val="FootnoteReference"/>
        </w:rPr>
        <w:footnoteReference w:id="46"/>
      </w:r>
      <w:r w:rsidRPr="00B14F56">
        <w:t xml:space="preserve"> The clear implication of this </w:t>
      </w:r>
      <w:r w:rsidR="004F7F6D" w:rsidRPr="00B14F56">
        <w:t>was</w:t>
      </w:r>
      <w:r w:rsidRPr="00B14F56">
        <w:t xml:space="preserve"> that the Court was of the view that if the other legal criteria </w:t>
      </w:r>
      <w:r w:rsidRPr="00B14F56">
        <w:rPr>
          <w:i/>
          <w:iCs/>
        </w:rPr>
        <w:t>had</w:t>
      </w:r>
      <w:r w:rsidRPr="00B14F56">
        <w:t xml:space="preserve"> been met, the arming and training of the </w:t>
      </w:r>
      <w:r w:rsidRPr="00B14F56">
        <w:rPr>
          <w:i/>
          <w:iCs/>
        </w:rPr>
        <w:t xml:space="preserve">contras </w:t>
      </w:r>
      <w:r w:rsidRPr="00B14F56">
        <w:t xml:space="preserve">by the US </w:t>
      </w:r>
      <w:r w:rsidRPr="004E2924">
        <w:t>would have</w:t>
      </w:r>
      <w:r w:rsidRPr="00B14F56">
        <w:t xml:space="preserve"> </w:t>
      </w:r>
      <w:r w:rsidR="004E2924">
        <w:t xml:space="preserve">(or at least could have) </w:t>
      </w:r>
      <w:r w:rsidRPr="00B14F56">
        <w:t>been justified as an action of collective self-defence.</w:t>
      </w:r>
    </w:p>
    <w:p w14:paraId="64A4008F" w14:textId="56C75ADF" w:rsidR="00B5756D" w:rsidRDefault="006C2155" w:rsidP="00B5756D">
      <w:pPr>
        <w:spacing w:line="360" w:lineRule="auto"/>
        <w:ind w:firstLine="720"/>
        <w:jc w:val="both"/>
      </w:pPr>
      <w:r w:rsidRPr="00B14F56">
        <w:t>T</w:t>
      </w:r>
      <w:r w:rsidR="00CC3D69" w:rsidRPr="00B14F56">
        <w:t>he ICJ’s conclusion that the provision of weapons or logistical support can qualify as a use of force has not generally been controversial in the literature.</w:t>
      </w:r>
      <w:r w:rsidR="00CC3D69" w:rsidRPr="00B14F56">
        <w:rPr>
          <w:rStyle w:val="FootnoteReference"/>
        </w:rPr>
        <w:footnoteReference w:id="47"/>
      </w:r>
      <w:r w:rsidR="00CC3D69" w:rsidRPr="00B14F56">
        <w:t xml:space="preserve"> As with any view expressed by the Court, though, this reading of the law is not necessarily conclusive.</w:t>
      </w:r>
      <w:r w:rsidR="00CC3D69" w:rsidRPr="00B14F56">
        <w:rPr>
          <w:rStyle w:val="FootnoteReference"/>
        </w:rPr>
        <w:footnoteReference w:id="48"/>
      </w:r>
      <w:r w:rsidR="00CC3D69" w:rsidRPr="00B14F56">
        <w:t xml:space="preserve"> Indeed, it might be noted that elsewhere in the </w:t>
      </w:r>
      <w:r w:rsidR="00CC3D69" w:rsidRPr="00B14F56">
        <w:rPr>
          <w:i/>
          <w:iCs/>
        </w:rPr>
        <w:t>Nicaragua</w:t>
      </w:r>
      <w:r w:rsidR="00CC3D69" w:rsidRPr="00B14F56">
        <w:t xml:space="preserve"> judgment,</w:t>
      </w:r>
      <w:r w:rsidR="00CC3D69" w:rsidRPr="00B14F56">
        <w:rPr>
          <w:rStyle w:val="FootnoteReference"/>
        </w:rPr>
        <w:footnoteReference w:id="49"/>
      </w:r>
      <w:r w:rsidR="00CC3D69" w:rsidRPr="00B14F56">
        <w:t xml:space="preserve"> the </w:t>
      </w:r>
      <w:r w:rsidR="00A8550E">
        <w:t>ICJ</w:t>
      </w:r>
      <w:r w:rsidR="00CC3D69" w:rsidRPr="00B14F56">
        <w:t xml:space="preserve"> held that the </w:t>
      </w:r>
      <w:r w:rsidR="00CC3D69" w:rsidRPr="00B14F56">
        <w:rPr>
          <w:i/>
          <w:iCs/>
        </w:rPr>
        <w:t>funding</w:t>
      </w:r>
      <w:r w:rsidR="00CC3D69" w:rsidRPr="00B14F56">
        <w:t xml:space="preserve"> of an insurgent group (as opposed to arming or training them) did </w:t>
      </w:r>
      <w:r w:rsidR="00CC3D69" w:rsidRPr="00B14F56">
        <w:rPr>
          <w:i/>
          <w:iCs/>
        </w:rPr>
        <w:t>not</w:t>
      </w:r>
      <w:r w:rsidR="00CC3D69" w:rsidRPr="00B14F56">
        <w:t xml:space="preserve"> constitute a use of force.</w:t>
      </w:r>
      <w:r w:rsidR="00CC3D69" w:rsidRPr="00B14F56">
        <w:rPr>
          <w:rStyle w:val="FootnoteReference"/>
        </w:rPr>
        <w:footnoteReference w:id="50"/>
      </w:r>
      <w:r w:rsidR="00CC3D69" w:rsidRPr="00B14F56">
        <w:t xml:space="preserve"> For </w:t>
      </w:r>
      <w:r w:rsidR="00487459" w:rsidRPr="00B14F56">
        <w:t>me</w:t>
      </w:r>
      <w:r w:rsidR="00CC3D69" w:rsidRPr="00B14F56">
        <w:t>, drawing such a distinction between giving weapons to a group and giving them the money to buy weapons feels like splitting hairs, and there is no clear basis for it in practice.</w:t>
      </w:r>
      <w:r w:rsidR="00CC3D69" w:rsidRPr="00B14F56">
        <w:rPr>
          <w:rStyle w:val="FootnoteReference"/>
        </w:rPr>
        <w:footnoteReference w:id="51"/>
      </w:r>
    </w:p>
    <w:p w14:paraId="1E772469" w14:textId="5803E3B7" w:rsidR="00CC3D69" w:rsidRPr="00B14F56" w:rsidRDefault="00CC3D69" w:rsidP="00B5756D">
      <w:pPr>
        <w:spacing w:line="360" w:lineRule="auto"/>
        <w:ind w:firstLine="720"/>
        <w:jc w:val="both"/>
      </w:pPr>
      <w:r w:rsidRPr="00B14F56">
        <w:t xml:space="preserve">Some scholars have argued, </w:t>
      </w:r>
      <w:r w:rsidRPr="00B14F56">
        <w:rPr>
          <w:i/>
          <w:iCs/>
        </w:rPr>
        <w:t>contra</w:t>
      </w:r>
      <w:r w:rsidRPr="00B14F56">
        <w:t xml:space="preserve"> the Court, that not only funding but the provision of </w:t>
      </w:r>
      <w:r w:rsidR="002A763E">
        <w:t xml:space="preserve">weapons and other </w:t>
      </w:r>
      <w:r w:rsidRPr="00B14F56">
        <w:t>material assistance falls below the level of a use of force.</w:t>
      </w:r>
      <w:r w:rsidRPr="00B14F56">
        <w:rPr>
          <w:rStyle w:val="FootnoteReference"/>
        </w:rPr>
        <w:footnoteReference w:id="52"/>
      </w:r>
      <w:r w:rsidRPr="00B14F56">
        <w:t xml:space="preserve"> Indeed, </w:t>
      </w:r>
      <w:r w:rsidR="00D743F2" w:rsidRPr="00B14F56">
        <w:t>I have</w:t>
      </w:r>
      <w:r w:rsidRPr="00B14F56">
        <w:t xml:space="preserve"> previously expressed scepticism of this aspect of the </w:t>
      </w:r>
      <w:r w:rsidRPr="00B14F56">
        <w:rPr>
          <w:i/>
          <w:iCs/>
        </w:rPr>
        <w:t>Nicaragua</w:t>
      </w:r>
      <w:r w:rsidRPr="00B14F56">
        <w:t xml:space="preserve"> decision</w:t>
      </w:r>
      <w:r w:rsidR="00D743F2" w:rsidRPr="00B14F56">
        <w:t xml:space="preserve"> myself</w:t>
      </w:r>
      <w:r w:rsidRPr="00B14F56">
        <w:t xml:space="preserve">, stating, in </w:t>
      </w:r>
      <w:r w:rsidR="00173E12">
        <w:t>the same</w:t>
      </w:r>
      <w:r w:rsidRPr="00B14F56">
        <w:t xml:space="preserve"> article co-authored with Francis Grimal</w:t>
      </w:r>
      <w:r w:rsidR="00173E12">
        <w:t xml:space="preserve"> </w:t>
      </w:r>
      <w:r w:rsidR="004D0E30">
        <w:t xml:space="preserve">previously </w:t>
      </w:r>
      <w:r w:rsidR="00173E12">
        <w:t>mentioned</w:t>
      </w:r>
      <w:r w:rsidRPr="00B14F56">
        <w:t xml:space="preserve">, </w:t>
      </w:r>
      <w:proofErr w:type="gramStart"/>
      <w:r w:rsidRPr="00B14F56">
        <w:t>that</w:t>
      </w:r>
      <w:proofErr w:type="gramEnd"/>
      <w:r w:rsidRPr="00B14F56">
        <w:t xml:space="preserve"> </w:t>
      </w:r>
    </w:p>
    <w:p w14:paraId="5BBC8412" w14:textId="77777777" w:rsidR="00CC3D69" w:rsidRPr="00B14F56" w:rsidRDefault="00CC3D69" w:rsidP="00B14F56">
      <w:pPr>
        <w:spacing w:line="360" w:lineRule="auto"/>
        <w:jc w:val="both"/>
      </w:pPr>
    </w:p>
    <w:p w14:paraId="6A237BA8" w14:textId="77777777" w:rsidR="00CC3D69" w:rsidRPr="00B14F56" w:rsidRDefault="00CC3D69" w:rsidP="00B14F56">
      <w:pPr>
        <w:spacing w:line="360" w:lineRule="auto"/>
        <w:ind w:left="720"/>
        <w:jc w:val="both"/>
      </w:pPr>
      <w:r w:rsidRPr="00B14F56">
        <w:lastRenderedPageBreak/>
        <w:t>[</w:t>
      </w:r>
      <w:proofErr w:type="spellStart"/>
      <w:r w:rsidRPr="00B14F56">
        <w:t>i</w:t>
      </w:r>
      <w:proofErr w:type="spellEnd"/>
      <w:r w:rsidRPr="00B14F56">
        <w:t>]t is unlikely that either the provision of weapons or other forms of logistical support involve the actual use of force. For example, if state A supplies machine guns to a paramilitary organization for use against state B, there has been no use of force by state A against state B, even indirectly.</w:t>
      </w:r>
      <w:r w:rsidRPr="00B14F56">
        <w:rPr>
          <w:rStyle w:val="FootnoteReference"/>
        </w:rPr>
        <w:footnoteReference w:id="53"/>
      </w:r>
    </w:p>
    <w:p w14:paraId="6E4BC30E" w14:textId="77777777" w:rsidR="00CC3D69" w:rsidRPr="00B14F56" w:rsidRDefault="00CC3D69" w:rsidP="00B14F56">
      <w:pPr>
        <w:spacing w:line="360" w:lineRule="auto"/>
        <w:jc w:val="both"/>
      </w:pPr>
    </w:p>
    <w:p w14:paraId="25FA024F" w14:textId="196912E4" w:rsidR="00B5756D" w:rsidRPr="001135D1" w:rsidRDefault="00CC3D69" w:rsidP="001135D1">
      <w:pPr>
        <w:spacing w:line="360" w:lineRule="auto"/>
        <w:jc w:val="both"/>
      </w:pPr>
      <w:r w:rsidRPr="00B14F56">
        <w:t xml:space="preserve">Others have pointed out that the Court’s pronouncement in </w:t>
      </w:r>
      <w:r w:rsidR="00784894" w:rsidRPr="00784894">
        <w:rPr>
          <w:i/>
          <w:iCs/>
        </w:rPr>
        <w:t>Nicaragua</w:t>
      </w:r>
      <w:r w:rsidR="00784894">
        <w:t xml:space="preserve"> concerning weapons and logistical support</w:t>
      </w:r>
      <w:r w:rsidRPr="00B14F56">
        <w:t xml:space="preserve"> relates specifically to the provision of such support to a non-state actor, in the context of </w:t>
      </w:r>
      <w:r w:rsidRPr="001135D1">
        <w:t>a non-international armed conflict.</w:t>
      </w:r>
      <w:r w:rsidRPr="001135D1">
        <w:rPr>
          <w:rStyle w:val="FootnoteReference"/>
        </w:rPr>
        <w:footnoteReference w:id="54"/>
      </w:r>
      <w:r w:rsidRPr="001135D1">
        <w:t xml:space="preserve"> This is perhaps not a material difference in terms of the logic of the ICJ’s analysis,</w:t>
      </w:r>
      <w:r w:rsidRPr="001135D1">
        <w:rPr>
          <w:rStyle w:val="FootnoteReference"/>
        </w:rPr>
        <w:footnoteReference w:id="55"/>
      </w:r>
      <w:r w:rsidRPr="001135D1">
        <w:t xml:space="preserve"> but </w:t>
      </w:r>
      <w:r w:rsidR="00751131">
        <w:t>it</w:t>
      </w:r>
      <w:r w:rsidR="00C84293" w:rsidRPr="001135D1">
        <w:t xml:space="preserve"> may indicate that </w:t>
      </w:r>
      <w:r w:rsidR="009C6F36" w:rsidRPr="001135D1">
        <w:t>the Court’s ‘position on arming and training is not definitively settled’</w:t>
      </w:r>
      <w:r w:rsidR="002E26CC" w:rsidRPr="001135D1">
        <w:rPr>
          <w:rStyle w:val="FootnoteReference"/>
        </w:rPr>
        <w:footnoteReference w:id="56"/>
      </w:r>
      <w:r w:rsidR="00C84293" w:rsidRPr="001135D1">
        <w:t xml:space="preserve"> in the context of the provision of arms to another state.</w:t>
      </w:r>
      <w:r w:rsidR="001135D1">
        <w:t xml:space="preserve"> </w:t>
      </w:r>
      <w:r w:rsidR="00212C16">
        <w:t>In this regard o</w:t>
      </w:r>
      <w:r w:rsidR="001135D1" w:rsidRPr="001135D1">
        <w:t>ne also might note</w:t>
      </w:r>
      <w:r w:rsidRPr="001135D1">
        <w:t xml:space="preserve"> that while the 1970 Friendly Relations Declaration makes it very clear that support for non</w:t>
      </w:r>
      <w:r w:rsidRPr="00B14F56">
        <w:t>-state actors can constitute an indirect ‘use of force’,</w:t>
      </w:r>
      <w:r w:rsidRPr="00B14F56">
        <w:rPr>
          <w:rStyle w:val="FootnoteReference"/>
        </w:rPr>
        <w:footnoteReference w:id="57"/>
      </w:r>
      <w:r w:rsidRPr="00B14F56">
        <w:t xml:space="preserve"> there is no equivalent provision (therein, or elsewhere) in relation to assistance provided to another state.</w:t>
      </w:r>
      <w:r w:rsidR="00212C16" w:rsidRPr="001135D1">
        <w:rPr>
          <w:rStyle w:val="FootnoteReference"/>
        </w:rPr>
        <w:footnoteReference w:id="58"/>
      </w:r>
    </w:p>
    <w:p w14:paraId="4307E475" w14:textId="22F06C57" w:rsidR="00CC3D69" w:rsidRPr="00B5756D" w:rsidRDefault="002B5F4B" w:rsidP="009157DD">
      <w:pPr>
        <w:spacing w:line="360" w:lineRule="auto"/>
        <w:ind w:firstLine="720"/>
        <w:jc w:val="both"/>
      </w:pPr>
      <w:r>
        <w:t>Equally, the</w:t>
      </w:r>
      <w:r w:rsidR="00CC3D69" w:rsidRPr="00B14F56">
        <w:t xml:space="preserve"> </w:t>
      </w:r>
      <w:r>
        <w:t xml:space="preserve">state </w:t>
      </w:r>
      <w:r w:rsidR="00CC3D69" w:rsidRPr="00B14F56">
        <w:t xml:space="preserve">practice in this regard is </w:t>
      </w:r>
      <w:r>
        <w:t xml:space="preserve">far from </w:t>
      </w:r>
      <w:r w:rsidR="00CC3D69" w:rsidRPr="00B14F56">
        <w:t xml:space="preserve">clear, </w:t>
      </w:r>
      <w:r>
        <w:t xml:space="preserve">and </w:t>
      </w:r>
      <w:r w:rsidR="002F6E21">
        <w:t xml:space="preserve">in my view </w:t>
      </w:r>
      <w:r>
        <w:t>it neither</w:t>
      </w:r>
      <w:r w:rsidR="00CC3D69" w:rsidRPr="00B14F56">
        <w:t xml:space="preserve"> conclusively establishes that </w:t>
      </w:r>
      <w:proofErr w:type="spellStart"/>
      <w:r w:rsidR="00CC3D69" w:rsidRPr="00B14F56">
        <w:rPr>
          <w:i/>
          <w:iCs/>
        </w:rPr>
        <w:t>minoris</w:t>
      </w:r>
      <w:proofErr w:type="spellEnd"/>
      <w:r w:rsidR="00CC3D69" w:rsidRPr="00B14F56">
        <w:rPr>
          <w:i/>
          <w:iCs/>
        </w:rPr>
        <w:t xml:space="preserve"> generis</w:t>
      </w:r>
      <w:r w:rsidR="00CC3D69" w:rsidRPr="00B14F56">
        <w:t xml:space="preserve"> assistance </w:t>
      </w:r>
      <w:r w:rsidR="009157DD">
        <w:t xml:space="preserve">to another state </w:t>
      </w:r>
      <w:r>
        <w:t xml:space="preserve">is or </w:t>
      </w:r>
      <w:r w:rsidR="009157DD">
        <w:t xml:space="preserve">is not a </w:t>
      </w:r>
      <w:r w:rsidR="009157DD" w:rsidRPr="002F6E21">
        <w:rPr>
          <w:i/>
          <w:iCs/>
        </w:rPr>
        <w:t>prima facie</w:t>
      </w:r>
      <w:r w:rsidR="009157DD">
        <w:t xml:space="preserve"> use of force</w:t>
      </w:r>
      <w:r w:rsidR="00CC3D69" w:rsidRPr="00B14F56">
        <w:t>. For example, in 2008, the European Union, in the abstract, concluded that ‘[s]</w:t>
      </w:r>
      <w:proofErr w:type="spellStart"/>
      <w:r w:rsidR="00CC3D69" w:rsidRPr="00B14F56">
        <w:rPr>
          <w:color w:val="000000"/>
          <w:shd w:val="clear" w:color="auto" w:fill="FFFFFF"/>
        </w:rPr>
        <w:t>tates</w:t>
      </w:r>
      <w:proofErr w:type="spellEnd"/>
      <w:r w:rsidR="00CC3D69" w:rsidRPr="00B14F56">
        <w:rPr>
          <w:color w:val="000000"/>
          <w:shd w:val="clear" w:color="auto" w:fill="FFFFFF"/>
        </w:rPr>
        <w:t xml:space="preserve"> have a right to transfer the means of self-defence, consistent with the right of self-defence recognised by the UN Charter.’</w:t>
      </w:r>
      <w:r w:rsidR="00CC3D69" w:rsidRPr="00B14F56">
        <w:rPr>
          <w:rStyle w:val="FootnoteReference"/>
          <w:color w:val="000000"/>
          <w:shd w:val="clear" w:color="auto" w:fill="FFFFFF"/>
        </w:rPr>
        <w:footnoteReference w:id="59"/>
      </w:r>
      <w:r w:rsidR="00CC3D69" w:rsidRPr="00B14F56">
        <w:rPr>
          <w:color w:val="000000"/>
          <w:shd w:val="clear" w:color="auto" w:fill="FFFFFF"/>
        </w:rPr>
        <w:t xml:space="preserve"> It is </w:t>
      </w:r>
      <w:r w:rsidR="007E0A2F">
        <w:rPr>
          <w:color w:val="000000"/>
          <w:shd w:val="clear" w:color="auto" w:fill="FFFFFF"/>
        </w:rPr>
        <w:t xml:space="preserve">equally </w:t>
      </w:r>
      <w:r w:rsidR="00CC3D69" w:rsidRPr="00B14F56">
        <w:rPr>
          <w:color w:val="000000"/>
          <w:shd w:val="clear" w:color="auto" w:fill="FFFFFF"/>
        </w:rPr>
        <w:t xml:space="preserve">possible to read this as referring to the idea that the provider of the equipment merely is facilitating the </w:t>
      </w:r>
      <w:r w:rsidR="00EB4EB7">
        <w:rPr>
          <w:color w:val="000000"/>
          <w:shd w:val="clear" w:color="auto" w:fill="FFFFFF"/>
        </w:rPr>
        <w:t>attacked</w:t>
      </w:r>
      <w:r w:rsidR="00CC3D69" w:rsidRPr="00B14F56">
        <w:rPr>
          <w:color w:val="000000"/>
          <w:shd w:val="clear" w:color="auto" w:fill="FFFFFF"/>
        </w:rPr>
        <w:t xml:space="preserve"> state’s right of individual self-defence, </w:t>
      </w:r>
      <w:r w:rsidR="007E0A2F">
        <w:rPr>
          <w:color w:val="000000"/>
          <w:shd w:val="clear" w:color="auto" w:fill="FFFFFF"/>
        </w:rPr>
        <w:t>or</w:t>
      </w:r>
      <w:r w:rsidR="00CC3D69" w:rsidRPr="00B14F56">
        <w:rPr>
          <w:color w:val="000000"/>
          <w:shd w:val="clear" w:color="auto" w:fill="FFFFFF"/>
        </w:rPr>
        <w:t xml:space="preserve"> as a reference to the transfer of arms as an exercise, in itself, of collective self-defence.</w:t>
      </w:r>
      <w:r w:rsidR="00CC3D69" w:rsidRPr="00B14F56">
        <w:rPr>
          <w:rStyle w:val="FootnoteReference"/>
          <w:color w:val="000000"/>
          <w:shd w:val="clear" w:color="auto" w:fill="FFFFFF"/>
        </w:rPr>
        <w:footnoteReference w:id="60"/>
      </w:r>
      <w:r w:rsidR="00240001" w:rsidRPr="00B14F56">
        <w:rPr>
          <w:color w:val="000000"/>
          <w:shd w:val="clear" w:color="auto" w:fill="FFFFFF"/>
        </w:rPr>
        <w:t xml:space="preserve"> </w:t>
      </w:r>
    </w:p>
    <w:p w14:paraId="7DA35CF6" w14:textId="77777777" w:rsidR="00B5756D" w:rsidRDefault="00B5756D" w:rsidP="00B14F56">
      <w:pPr>
        <w:spacing w:line="360" w:lineRule="auto"/>
        <w:jc w:val="both"/>
        <w:rPr>
          <w:b/>
          <w:bCs/>
        </w:rPr>
      </w:pPr>
    </w:p>
    <w:p w14:paraId="62EE2242" w14:textId="73EA2912" w:rsidR="00B10B9D" w:rsidRPr="00B14F56" w:rsidRDefault="00A92C95" w:rsidP="00B14F56">
      <w:pPr>
        <w:spacing w:line="360" w:lineRule="auto"/>
        <w:jc w:val="both"/>
        <w:rPr>
          <w:b/>
          <w:bCs/>
        </w:rPr>
      </w:pPr>
      <w:r>
        <w:rPr>
          <w:b/>
          <w:bCs/>
        </w:rPr>
        <w:t xml:space="preserve">4. The views of the states </w:t>
      </w:r>
      <w:r w:rsidR="00C733E9">
        <w:rPr>
          <w:b/>
          <w:bCs/>
        </w:rPr>
        <w:t>in relation to the support being provided to</w:t>
      </w:r>
      <w:r>
        <w:rPr>
          <w:b/>
          <w:bCs/>
        </w:rPr>
        <w:t xml:space="preserve"> Ukraine</w:t>
      </w:r>
    </w:p>
    <w:p w14:paraId="26077D45" w14:textId="77777777" w:rsidR="007B7EC5" w:rsidRPr="00B14F56" w:rsidRDefault="007B7EC5" w:rsidP="00B14F56">
      <w:pPr>
        <w:spacing w:line="360" w:lineRule="auto"/>
        <w:jc w:val="both"/>
      </w:pPr>
    </w:p>
    <w:p w14:paraId="7A89D964" w14:textId="367A72BB" w:rsidR="007E2A76" w:rsidRDefault="00AE70B0" w:rsidP="00B14F56">
      <w:pPr>
        <w:spacing w:line="360" w:lineRule="auto"/>
        <w:jc w:val="both"/>
      </w:pPr>
      <w:r w:rsidRPr="00B14F56">
        <w:lastRenderedPageBreak/>
        <w:t>Returning</w:t>
      </w:r>
      <w:r w:rsidR="0003408C" w:rsidRPr="00B14F56">
        <w:t xml:space="preserve"> to the specific situation of the current support </w:t>
      </w:r>
      <w:r w:rsidR="008F2674">
        <w:t xml:space="preserve">provided to </w:t>
      </w:r>
      <w:r w:rsidRPr="00B14F56">
        <w:t>Ukraine</w:t>
      </w:r>
      <w:r w:rsidR="008F2674">
        <w:t xml:space="preserve"> by NATO members </w:t>
      </w:r>
      <w:r w:rsidR="008F2674" w:rsidRPr="008F2674">
        <w:rPr>
          <w:i/>
          <w:iCs/>
        </w:rPr>
        <w:t>et al</w:t>
      </w:r>
      <w:r w:rsidR="0003408C" w:rsidRPr="00B14F56">
        <w:t xml:space="preserve">, it </w:t>
      </w:r>
      <w:r w:rsidR="00E706C7" w:rsidRPr="00B14F56">
        <w:t xml:space="preserve">has already </w:t>
      </w:r>
      <w:r w:rsidR="00440DB8">
        <w:t>b</w:t>
      </w:r>
      <w:r w:rsidR="00E706C7" w:rsidRPr="00B14F56">
        <w:t xml:space="preserve">een noted that the only absentee from the checklist of lawful requirements for the exercise of </w:t>
      </w:r>
      <w:r w:rsidRPr="00B14F56">
        <w:t>collective</w:t>
      </w:r>
      <w:r w:rsidR="00E706C7" w:rsidRPr="00B14F56">
        <w:t xml:space="preserve"> self-defence </w:t>
      </w:r>
      <w:r w:rsidR="00347038" w:rsidRPr="00B14F56">
        <w:t>is that the states providing support have failed to report this to the Security Council.</w:t>
      </w:r>
      <w:r w:rsidR="00440DB8">
        <w:rPr>
          <w:rStyle w:val="FootnoteReference"/>
        </w:rPr>
        <w:footnoteReference w:id="61"/>
      </w:r>
      <w:r w:rsidR="00347038" w:rsidRPr="00B14F56">
        <w:t xml:space="preserve"> This in </w:t>
      </w:r>
      <w:r w:rsidR="00E45B80" w:rsidRPr="00B14F56">
        <w:t>itself</w:t>
      </w:r>
      <w:r w:rsidR="00347038" w:rsidRPr="00B14F56">
        <w:t xml:space="preserve"> is not determinative as to the legal character of their actions, </w:t>
      </w:r>
      <w:r w:rsidR="00B2391E">
        <w:t xml:space="preserve">again, </w:t>
      </w:r>
      <w:r w:rsidR="00347038" w:rsidRPr="00B14F56">
        <w:t xml:space="preserve">not least because it is widely accepted that a failure to report </w:t>
      </w:r>
      <w:r w:rsidR="00E45B80" w:rsidRPr="00B14F56">
        <w:t>does not act to transform an otherwise lawful action of self-defence into an unlawful one.</w:t>
      </w:r>
      <w:r w:rsidR="00440DB8">
        <w:rPr>
          <w:rStyle w:val="FootnoteReference"/>
        </w:rPr>
        <w:footnoteReference w:id="62"/>
      </w:r>
      <w:r w:rsidR="00E45B80" w:rsidRPr="00B14F56">
        <w:t xml:space="preserve"> Nonetheless,</w:t>
      </w:r>
      <w:r w:rsidR="00B10B9D" w:rsidRPr="00B14F56">
        <w:t xml:space="preserve"> the fact that </w:t>
      </w:r>
      <w:r w:rsidR="00E45B80" w:rsidRPr="00B14F56">
        <w:t xml:space="preserve">the </w:t>
      </w:r>
      <w:r w:rsidR="00FE6122">
        <w:t>w</w:t>
      </w:r>
      <w:r w:rsidR="00E45B80" w:rsidRPr="00B14F56">
        <w:t>estern states involved</w:t>
      </w:r>
      <w:r w:rsidR="00B10B9D" w:rsidRPr="00B14F56">
        <w:t xml:space="preserve"> have not reported their acts as instances of collective self-defence is</w:t>
      </w:r>
      <w:r w:rsidR="00E45B80" w:rsidRPr="00B14F56">
        <w:t xml:space="preserve"> arguably </w:t>
      </w:r>
      <w:r w:rsidR="00B10B9D" w:rsidRPr="00B14F56">
        <w:t>an indication that they do not consider themselves to be acting in collective self-defence in the first place</w:t>
      </w:r>
      <w:r w:rsidR="000F0838">
        <w:t>.</w:t>
      </w:r>
      <w:r w:rsidR="000F0838" w:rsidRPr="00B14F56">
        <w:rPr>
          <w:rStyle w:val="FootnoteReference"/>
        </w:rPr>
        <w:footnoteReference w:id="63"/>
      </w:r>
      <w:r w:rsidR="000F0838">
        <w:t xml:space="preserve"> Again, this further would </w:t>
      </w:r>
      <w:r w:rsidR="001B267F" w:rsidRPr="00B14F56">
        <w:t xml:space="preserve">imply that they </w:t>
      </w:r>
      <w:r w:rsidR="007E2A76">
        <w:t>do</w:t>
      </w:r>
      <w:r w:rsidR="001B267F" w:rsidRPr="00B14F56">
        <w:t xml:space="preserve"> not consider themselves to be using unlawful force </w:t>
      </w:r>
      <w:r w:rsidR="000F0838">
        <w:t>(</w:t>
      </w:r>
      <w:r w:rsidR="001B267F" w:rsidRPr="00B14F56">
        <w:t>subject</w:t>
      </w:r>
      <w:r w:rsidR="000F0838">
        <w:t>, of course,</w:t>
      </w:r>
      <w:r w:rsidR="001B267F" w:rsidRPr="00B14F56">
        <w:t xml:space="preserve"> to </w:t>
      </w:r>
      <w:r w:rsidR="0044470F">
        <w:t>whether</w:t>
      </w:r>
      <w:r w:rsidR="001B267F" w:rsidRPr="00B14F56">
        <w:t xml:space="preserve"> one </w:t>
      </w:r>
      <w:r w:rsidR="0044470F">
        <w:t>accepts</w:t>
      </w:r>
      <w:r w:rsidR="001B267F" w:rsidRPr="00B14F56">
        <w:t xml:space="preserve"> Buchan’s </w:t>
      </w:r>
      <w:r w:rsidR="00446FAA">
        <w:t>diversion from the orthodox conception of self-defence</w:t>
      </w:r>
      <w:r w:rsidR="001B267F" w:rsidRPr="00B14F56">
        <w:t>).</w:t>
      </w:r>
      <w:r w:rsidR="00B10B9D" w:rsidRPr="00B14F56">
        <w:t xml:space="preserve"> </w:t>
      </w:r>
    </w:p>
    <w:p w14:paraId="3D35DAEA" w14:textId="5FED7654" w:rsidR="00B10B9D" w:rsidRPr="00B14F56" w:rsidRDefault="00B10B9D" w:rsidP="007E2A76">
      <w:pPr>
        <w:spacing w:line="360" w:lineRule="auto"/>
        <w:ind w:firstLine="720"/>
        <w:jc w:val="both"/>
      </w:pPr>
      <w:r w:rsidRPr="00B14F56">
        <w:t xml:space="preserve">Instead, the actions </w:t>
      </w:r>
      <w:r w:rsidR="00446FAA">
        <w:t xml:space="preserve">of the </w:t>
      </w:r>
      <w:r w:rsidR="00FE6122">
        <w:t>w</w:t>
      </w:r>
      <w:r w:rsidR="00446FAA">
        <w:t xml:space="preserve">estern states </w:t>
      </w:r>
      <w:r w:rsidRPr="00B14F56">
        <w:t xml:space="preserve">have been </w:t>
      </w:r>
      <w:r w:rsidR="00446FAA">
        <w:t>self-defined as</w:t>
      </w:r>
      <w:r w:rsidRPr="00B14F56">
        <w:t xml:space="preserve"> support for Ukraine’s right of individual self-defence. NATO has indicated that its members are ‘helping [Ukraine] to uphold its fundamental right to self-defence’,</w:t>
      </w:r>
      <w:r w:rsidRPr="00B14F56">
        <w:rPr>
          <w:rStyle w:val="FootnoteReference"/>
        </w:rPr>
        <w:footnoteReference w:id="64"/>
      </w:r>
      <w:r w:rsidRPr="00B14F56">
        <w:t xml:space="preserve"> rather than itself invoking collective self-defence. Individual member states have made the same point, with US President Joe Biden saying that the alliance has been ‘delivering critical military capabilities to Ukraine so it can defend itself’,</w:t>
      </w:r>
      <w:r w:rsidRPr="00B14F56">
        <w:rPr>
          <w:rStyle w:val="FootnoteReference"/>
        </w:rPr>
        <w:footnoteReference w:id="65"/>
      </w:r>
      <w:r w:rsidRPr="00B14F56">
        <w:t xml:space="preserve"> while German Foreign Minister </w:t>
      </w:r>
      <w:proofErr w:type="spellStart"/>
      <w:r w:rsidRPr="00B14F56">
        <w:t>Annalena</w:t>
      </w:r>
      <w:proofErr w:type="spellEnd"/>
      <w:r w:rsidRPr="00B14F56">
        <w:t xml:space="preserve"> Baerbock stated that ‘sei die </w:t>
      </w:r>
      <w:proofErr w:type="spellStart"/>
      <w:r w:rsidRPr="00B14F56">
        <w:t>Lieferung</w:t>
      </w:r>
      <w:proofErr w:type="spellEnd"/>
      <w:r w:rsidRPr="00B14F56">
        <w:t xml:space="preserve"> </w:t>
      </w:r>
      <w:proofErr w:type="spellStart"/>
      <w:r w:rsidRPr="00B14F56">
        <w:t>schwerer</w:t>
      </w:r>
      <w:proofErr w:type="spellEnd"/>
      <w:r w:rsidRPr="00B14F56">
        <w:t xml:space="preserve"> Waffen </w:t>
      </w:r>
      <w:proofErr w:type="spellStart"/>
      <w:r w:rsidRPr="00B14F56">
        <w:t>kein</w:t>
      </w:r>
      <w:proofErr w:type="spellEnd"/>
      <w:r w:rsidRPr="00B14F56">
        <w:t xml:space="preserve"> </w:t>
      </w:r>
      <w:proofErr w:type="spellStart"/>
      <w:r w:rsidRPr="00B14F56">
        <w:t>Kriegseintritt</w:t>
      </w:r>
      <w:proofErr w:type="spellEnd"/>
      <w:r w:rsidRPr="00B14F56">
        <w:t xml:space="preserve">, </w:t>
      </w:r>
      <w:proofErr w:type="spellStart"/>
      <w:r w:rsidRPr="00B14F56">
        <w:t>weil</w:t>
      </w:r>
      <w:proofErr w:type="spellEnd"/>
      <w:r w:rsidRPr="00B14F56">
        <w:t xml:space="preserve"> </w:t>
      </w:r>
      <w:proofErr w:type="spellStart"/>
      <w:r w:rsidRPr="00B14F56">
        <w:t>damit</w:t>
      </w:r>
      <w:proofErr w:type="spellEnd"/>
      <w:r w:rsidRPr="00B14F56">
        <w:t xml:space="preserve"> das in der UN-Charta </w:t>
      </w:r>
      <w:proofErr w:type="spellStart"/>
      <w:r w:rsidRPr="00B14F56">
        <w:t>verbriefte</w:t>
      </w:r>
      <w:proofErr w:type="spellEnd"/>
      <w:r w:rsidRPr="00B14F56">
        <w:t xml:space="preserve"> </w:t>
      </w:r>
      <w:proofErr w:type="spellStart"/>
      <w:r w:rsidRPr="00B14F56">
        <w:t>Recht</w:t>
      </w:r>
      <w:proofErr w:type="spellEnd"/>
      <w:r w:rsidRPr="00B14F56">
        <w:t xml:space="preserve"> der Ukraine auf </w:t>
      </w:r>
      <w:proofErr w:type="spellStart"/>
      <w:r w:rsidRPr="00B14F56">
        <w:t>Selbstverteidigung</w:t>
      </w:r>
      <w:proofErr w:type="spellEnd"/>
      <w:r w:rsidRPr="00B14F56">
        <w:t xml:space="preserve"> </w:t>
      </w:r>
      <w:proofErr w:type="spellStart"/>
      <w:r w:rsidRPr="00B14F56">
        <w:t>unterstützt</w:t>
      </w:r>
      <w:proofErr w:type="spellEnd"/>
      <w:r w:rsidRPr="00B14F56">
        <w:t xml:space="preserve"> </w:t>
      </w:r>
      <w:proofErr w:type="spellStart"/>
      <w:r w:rsidRPr="00B14F56">
        <w:t>werde</w:t>
      </w:r>
      <w:proofErr w:type="spellEnd"/>
      <w:r w:rsidRPr="00B14F56">
        <w:t>’.</w:t>
      </w:r>
      <w:r w:rsidRPr="00B14F56">
        <w:rPr>
          <w:rStyle w:val="FootnoteReference"/>
        </w:rPr>
        <w:footnoteReference w:id="66"/>
      </w:r>
      <w:r w:rsidRPr="00B14F56">
        <w:t xml:space="preserve"> Indeed, the German government has explicitly asserted that neither Germany nor its partners are acting in collective self-defence:</w:t>
      </w:r>
    </w:p>
    <w:p w14:paraId="561C0C83" w14:textId="77777777" w:rsidR="00B10B9D" w:rsidRPr="00B14F56" w:rsidRDefault="00B10B9D" w:rsidP="00B14F56">
      <w:pPr>
        <w:spacing w:line="360" w:lineRule="auto"/>
        <w:jc w:val="both"/>
      </w:pPr>
    </w:p>
    <w:p w14:paraId="0D18DEB3" w14:textId="77777777" w:rsidR="00B10B9D" w:rsidRPr="00A5552D" w:rsidRDefault="00B10B9D" w:rsidP="00B5135E">
      <w:pPr>
        <w:spacing w:line="360" w:lineRule="auto"/>
        <w:ind w:left="720"/>
        <w:jc w:val="both"/>
        <w:rPr>
          <w:lang w:val="de-LU"/>
        </w:rPr>
      </w:pPr>
      <w:r w:rsidRPr="00A5552D">
        <w:rPr>
          <w:lang w:val="de-LU"/>
        </w:rPr>
        <w:t xml:space="preserve">Die Bundesrepublik Deutschland und ihre Partner unterstützen die Ukraine durch die Lieferung von Waffen bei der Ausübung ihres individuellen Selbstverteidigungsrechts gegen den völkerrechtswidrigen Angriffskrieg Russlands. Diese </w:t>
      </w:r>
      <w:r w:rsidRPr="00A5552D">
        <w:rPr>
          <w:lang w:val="de-LU"/>
        </w:rPr>
        <w:lastRenderedPageBreak/>
        <w:t xml:space="preserve">völkerrechtskonformen Unterstützungsmaßnahmen </w:t>
      </w:r>
      <w:r w:rsidRPr="00A5552D">
        <w:rPr>
          <w:i/>
          <w:iCs/>
          <w:lang w:val="de-LU"/>
        </w:rPr>
        <w:t>überschreiten nicht die Schwelle zu einer kollektiven Ausübung des Selbstverteidigungsrechts</w:t>
      </w:r>
      <w:r w:rsidRPr="00A5552D">
        <w:rPr>
          <w:lang w:val="de-LU"/>
        </w:rPr>
        <w:t>.</w:t>
      </w:r>
      <w:r w:rsidRPr="00B14F56">
        <w:rPr>
          <w:rStyle w:val="FootnoteReference"/>
        </w:rPr>
        <w:footnoteReference w:id="67"/>
      </w:r>
    </w:p>
    <w:p w14:paraId="0E243C17" w14:textId="77777777" w:rsidR="00B10B9D" w:rsidRPr="00A5552D" w:rsidRDefault="00B10B9D" w:rsidP="00B5135E">
      <w:pPr>
        <w:spacing w:line="360" w:lineRule="auto"/>
        <w:jc w:val="both"/>
        <w:rPr>
          <w:rFonts w:eastAsiaTheme="minorHAnsi"/>
          <w:lang w:val="de-LU" w:eastAsia="en-US"/>
        </w:rPr>
      </w:pPr>
    </w:p>
    <w:p w14:paraId="1A820E62" w14:textId="2F7F3E3C" w:rsidR="00B5135E" w:rsidRDefault="00B5135E" w:rsidP="00B5135E">
      <w:pPr>
        <w:spacing w:line="360" w:lineRule="auto"/>
        <w:jc w:val="both"/>
      </w:pPr>
      <w:r>
        <w:t xml:space="preserve">Likewise, in debates in the UN Security Council, </w:t>
      </w:r>
      <w:r w:rsidR="00FE6122">
        <w:t>w</w:t>
      </w:r>
      <w:r>
        <w:t>estern support for Ukraine has generally been characterised as the furtherance of Ukraine’s own right of individual self-defence, rathe</w:t>
      </w:r>
      <w:r w:rsidR="00FE6122">
        <w:t>r</w:t>
      </w:r>
      <w:r>
        <w:t xml:space="preserve"> than as collective self-defence. For example, during the 8 September 2022 meeting, Ireland spoke of the lawfulness of the ‘military support provided by the European Union </w:t>
      </w:r>
      <w:r w:rsidRPr="00901591">
        <w:rPr>
          <w:i/>
          <w:iCs/>
        </w:rPr>
        <w:t>to help Ukraine exercise its inherent right of self-defence</w:t>
      </w:r>
      <w:r>
        <w:t xml:space="preserve"> and defend its territorial integrity and sovereignty.’</w:t>
      </w:r>
      <w:r>
        <w:rPr>
          <w:rStyle w:val="FootnoteReference"/>
        </w:rPr>
        <w:footnoteReference w:id="68"/>
      </w:r>
      <w:r>
        <w:t xml:space="preserve"> Also speaking at the Council in the same session, Mexico ‘acknowledge[d] the natural right to legitimate self-defence [possessed by Ukraine] and [</w:t>
      </w:r>
      <w:r w:rsidR="00FC57AA">
        <w:t xml:space="preserve">the right for it </w:t>
      </w:r>
      <w:r>
        <w:t>to] acquire arms to that end.’</w:t>
      </w:r>
      <w:r>
        <w:rPr>
          <w:rStyle w:val="FootnoteReference"/>
        </w:rPr>
        <w:footnoteReference w:id="69"/>
      </w:r>
      <w:r>
        <w:t xml:space="preserve"> A few weeks later, in another meeting of the Council, the US chose its words carefully </w:t>
      </w:r>
      <w:r w:rsidR="00267C87">
        <w:t xml:space="preserve">even while </w:t>
      </w:r>
      <w:r w:rsidR="00B8742A">
        <w:t xml:space="preserve">explicitly </w:t>
      </w:r>
      <w:r w:rsidR="00267C87">
        <w:t xml:space="preserve">invoking Article 51, </w:t>
      </w:r>
      <w:r>
        <w:t xml:space="preserve">in </w:t>
      </w:r>
      <w:r w:rsidR="00267C87">
        <w:t xml:space="preserve">that it </w:t>
      </w:r>
      <w:r>
        <w:t>assert</w:t>
      </w:r>
      <w:r w:rsidR="00267C87">
        <w:t>ed</w:t>
      </w:r>
      <w:r>
        <w:t xml:space="preserve"> that ‘more than 40 nations have come together </w:t>
      </w:r>
      <w:r w:rsidRPr="005E5695">
        <w:rPr>
          <w:i/>
          <w:iCs/>
        </w:rPr>
        <w:t>to help the Ukrainian people defend themselves</w:t>
      </w:r>
      <w:r>
        <w:t>, which is a right enshrined in Article 51 of the Charter.’</w:t>
      </w:r>
      <w:r>
        <w:rPr>
          <w:rStyle w:val="FootnoteReference"/>
        </w:rPr>
        <w:footnoteReference w:id="70"/>
      </w:r>
    </w:p>
    <w:p w14:paraId="200451E8" w14:textId="5930FD67" w:rsidR="00517BB2" w:rsidRPr="00B5135E" w:rsidRDefault="00B10B9D" w:rsidP="00374596">
      <w:pPr>
        <w:spacing w:line="360" w:lineRule="auto"/>
        <w:ind w:firstLine="720"/>
        <w:jc w:val="both"/>
      </w:pPr>
      <w:r w:rsidRPr="00B14F56">
        <w:rPr>
          <w:rFonts w:eastAsiaTheme="minorHAnsi"/>
          <w:lang w:eastAsia="en-US"/>
        </w:rPr>
        <w:t xml:space="preserve">This position </w:t>
      </w:r>
      <w:r w:rsidR="00B5135E">
        <w:rPr>
          <w:rFonts w:eastAsiaTheme="minorHAnsi"/>
          <w:lang w:eastAsia="en-US"/>
        </w:rPr>
        <w:t xml:space="preserve">on the part of (most) states </w:t>
      </w:r>
      <w:r w:rsidRPr="00B14F56">
        <w:rPr>
          <w:rFonts w:eastAsiaTheme="minorHAnsi"/>
          <w:lang w:eastAsia="en-US"/>
        </w:rPr>
        <w:t>is perhaps unsurprising, given the significant and inherent risks of any direct confrontation – actual or just perceived – between nuclear powers.</w:t>
      </w:r>
      <w:r w:rsidR="00273C93">
        <w:rPr>
          <w:rStyle w:val="FootnoteReference"/>
          <w:rFonts w:eastAsiaTheme="minorHAnsi"/>
          <w:lang w:eastAsia="en-US"/>
        </w:rPr>
        <w:footnoteReference w:id="71"/>
      </w:r>
      <w:r w:rsidRPr="00B14F56">
        <w:rPr>
          <w:rFonts w:eastAsiaTheme="minorHAnsi"/>
          <w:lang w:eastAsia="en-US"/>
        </w:rPr>
        <w:t xml:space="preserve"> Belligerent status to a conflict and </w:t>
      </w:r>
      <w:r w:rsidR="00782CEB">
        <w:rPr>
          <w:rFonts w:eastAsiaTheme="minorHAnsi"/>
          <w:lang w:eastAsia="en-US"/>
        </w:rPr>
        <w:t>rules of</w:t>
      </w:r>
      <w:r w:rsidRPr="00B14F56">
        <w:rPr>
          <w:rFonts w:eastAsiaTheme="minorHAnsi"/>
          <w:lang w:eastAsia="en-US"/>
        </w:rPr>
        <w:t xml:space="preserve"> </w:t>
      </w:r>
      <w:r w:rsidR="00782CEB" w:rsidRPr="00782CEB">
        <w:rPr>
          <w:rFonts w:eastAsiaTheme="minorHAnsi"/>
          <w:i/>
          <w:iCs/>
          <w:lang w:eastAsia="en-US"/>
        </w:rPr>
        <w:t>jus ad bellum</w:t>
      </w:r>
      <w:r w:rsidRPr="00B14F56">
        <w:rPr>
          <w:rFonts w:eastAsiaTheme="minorHAnsi"/>
          <w:lang w:eastAsia="en-US"/>
        </w:rPr>
        <w:t xml:space="preserve"> are differing legal considerations that do not necessarily overla</w:t>
      </w:r>
      <w:r w:rsidR="00782CEB">
        <w:rPr>
          <w:rFonts w:eastAsiaTheme="minorHAnsi"/>
          <w:lang w:eastAsia="en-US"/>
        </w:rPr>
        <w:t>p</w:t>
      </w:r>
      <w:r w:rsidRPr="00B14F56">
        <w:rPr>
          <w:rFonts w:eastAsiaTheme="minorHAnsi"/>
          <w:lang w:eastAsia="en-US"/>
        </w:rPr>
        <w:t>,</w:t>
      </w:r>
      <w:r w:rsidR="00782CEB">
        <w:rPr>
          <w:rFonts w:eastAsiaTheme="minorHAnsi"/>
          <w:lang w:eastAsia="en-US"/>
        </w:rPr>
        <w:t xml:space="preserve"> and</w:t>
      </w:r>
      <w:r w:rsidRPr="00B14F56">
        <w:rPr>
          <w:rFonts w:eastAsiaTheme="minorHAnsi"/>
          <w:lang w:eastAsia="en-US"/>
        </w:rPr>
        <w:t xml:space="preserve"> </w:t>
      </w:r>
      <w:bookmarkStart w:id="4" w:name="_Hlk119395478"/>
      <w:r w:rsidRPr="00B14F56">
        <w:rPr>
          <w:rFonts w:eastAsiaTheme="minorHAnsi"/>
          <w:lang w:eastAsia="en-US"/>
        </w:rPr>
        <w:t>the common view in scholarship is that the provision of weapons is, itself, insufficient to establish co-belligerency under International Humanitarian Law</w:t>
      </w:r>
      <w:bookmarkEnd w:id="4"/>
      <w:r w:rsidRPr="00B14F56">
        <w:rPr>
          <w:rFonts w:eastAsiaTheme="minorHAnsi"/>
          <w:lang w:eastAsia="en-US"/>
        </w:rPr>
        <w:t>.</w:t>
      </w:r>
      <w:r w:rsidRPr="00B14F56">
        <w:rPr>
          <w:rStyle w:val="FootnoteReference"/>
          <w:rFonts w:eastAsiaTheme="minorHAnsi"/>
          <w:lang w:eastAsia="en-US"/>
        </w:rPr>
        <w:footnoteReference w:id="72"/>
      </w:r>
      <w:r w:rsidRPr="00B14F56">
        <w:rPr>
          <w:rFonts w:eastAsiaTheme="minorHAnsi"/>
          <w:lang w:eastAsia="en-US"/>
        </w:rPr>
        <w:t xml:space="preserve"> Therefore, even if one takes the view that such actions do amount to </w:t>
      </w:r>
      <w:r w:rsidR="00782CEB">
        <w:rPr>
          <w:rFonts w:eastAsiaTheme="minorHAnsi"/>
          <w:lang w:eastAsia="en-US"/>
        </w:rPr>
        <w:t>uses of force</w:t>
      </w:r>
      <w:r w:rsidRPr="00B14F56">
        <w:rPr>
          <w:rFonts w:eastAsiaTheme="minorHAnsi"/>
          <w:lang w:eastAsia="en-US"/>
        </w:rPr>
        <w:t xml:space="preserve"> this would still not mean that states supplying weapons to Ukraine have thereby become parties to the conflict. </w:t>
      </w:r>
    </w:p>
    <w:p w14:paraId="09D9DB37" w14:textId="353167C3" w:rsidR="00374596" w:rsidRDefault="00B10B9D" w:rsidP="00374596">
      <w:pPr>
        <w:spacing w:line="360" w:lineRule="auto"/>
        <w:ind w:firstLine="720"/>
        <w:jc w:val="both"/>
        <w:rPr>
          <w:rFonts w:eastAsiaTheme="minorHAnsi"/>
          <w:lang w:eastAsia="en-US"/>
        </w:rPr>
      </w:pPr>
      <w:r w:rsidRPr="00B14F56">
        <w:rPr>
          <w:rFonts w:eastAsiaTheme="minorHAnsi"/>
          <w:lang w:eastAsia="en-US"/>
        </w:rPr>
        <w:lastRenderedPageBreak/>
        <w:t xml:space="preserve">However, in practice – and, crucially, in terms of perception – if a state can be said to be </w:t>
      </w:r>
      <w:r w:rsidRPr="00B14F56">
        <w:rPr>
          <w:rFonts w:eastAsiaTheme="minorHAnsi"/>
          <w:i/>
          <w:iCs/>
          <w:lang w:eastAsia="en-US"/>
        </w:rPr>
        <w:t>using force</w:t>
      </w:r>
      <w:r w:rsidRPr="00B14F56">
        <w:rPr>
          <w:rFonts w:eastAsiaTheme="minorHAnsi"/>
          <w:lang w:eastAsia="en-US"/>
        </w:rPr>
        <w:t xml:space="preserve"> (even if it is doing so lawfully in collective self-defence) this certainly would provide an opposing belligerent state a greater basis to advance a case that it had become a party to the conflict (meaning, not least, that it could be targeted).</w:t>
      </w:r>
      <w:r w:rsidRPr="00B14F56">
        <w:rPr>
          <w:rStyle w:val="FootnoteReference"/>
          <w:rFonts w:eastAsiaTheme="minorHAnsi"/>
          <w:lang w:eastAsia="en-US"/>
        </w:rPr>
        <w:footnoteReference w:id="73"/>
      </w:r>
      <w:r w:rsidRPr="00B14F56">
        <w:rPr>
          <w:rFonts w:eastAsiaTheme="minorHAnsi"/>
          <w:lang w:eastAsia="en-US"/>
        </w:rPr>
        <w:t xml:space="preserve"> </w:t>
      </w:r>
      <w:r w:rsidR="005E3FCF">
        <w:rPr>
          <w:rFonts w:eastAsiaTheme="minorHAnsi"/>
          <w:lang w:eastAsia="en-US"/>
        </w:rPr>
        <w:t xml:space="preserve">Again, therefore, </w:t>
      </w:r>
      <w:r w:rsidRPr="00B14F56">
        <w:rPr>
          <w:rFonts w:eastAsiaTheme="minorHAnsi"/>
          <w:lang w:eastAsia="en-US"/>
        </w:rPr>
        <w:t xml:space="preserve">it is hardly a shock </w:t>
      </w:r>
      <w:r w:rsidR="007647D5">
        <w:rPr>
          <w:rFonts w:eastAsiaTheme="minorHAnsi"/>
          <w:lang w:eastAsia="en-US"/>
        </w:rPr>
        <w:t xml:space="preserve">that NATO states </w:t>
      </w:r>
      <w:r w:rsidRPr="00B14F56">
        <w:rPr>
          <w:rFonts w:eastAsiaTheme="minorHAnsi"/>
          <w:lang w:eastAsia="en-US"/>
        </w:rPr>
        <w:t xml:space="preserve">have been keen to avoid, and in some instances have outright denied, any suggestion that they have been </w:t>
      </w:r>
      <w:r w:rsidR="00070404" w:rsidRPr="00B14F56">
        <w:rPr>
          <w:rFonts w:eastAsiaTheme="minorHAnsi"/>
          <w:lang w:eastAsia="en-US"/>
        </w:rPr>
        <w:t xml:space="preserve">using ‘force’ and/or </w:t>
      </w:r>
      <w:r w:rsidR="00BE1E94">
        <w:rPr>
          <w:rFonts w:eastAsiaTheme="minorHAnsi"/>
          <w:lang w:eastAsia="en-US"/>
        </w:rPr>
        <w:t xml:space="preserve">are </w:t>
      </w:r>
      <w:r w:rsidRPr="00B14F56">
        <w:rPr>
          <w:rFonts w:eastAsiaTheme="minorHAnsi"/>
          <w:lang w:eastAsia="en-US"/>
        </w:rPr>
        <w:t>acting in collective self-defence</w:t>
      </w:r>
      <w:r w:rsidR="005862C9">
        <w:rPr>
          <w:rFonts w:eastAsiaTheme="minorHAnsi"/>
          <w:lang w:eastAsia="en-US"/>
        </w:rPr>
        <w:t>.</w:t>
      </w:r>
      <w:r w:rsidR="003F6BF0">
        <w:rPr>
          <w:rFonts w:eastAsiaTheme="minorHAnsi"/>
          <w:lang w:eastAsia="en-US"/>
        </w:rPr>
        <w:t xml:space="preserve"> Nonetheless, </w:t>
      </w:r>
      <w:r w:rsidR="00AD0735">
        <w:rPr>
          <w:rFonts w:eastAsiaTheme="minorHAnsi"/>
          <w:lang w:eastAsia="en-US"/>
        </w:rPr>
        <w:t xml:space="preserve">the legal conceptualisations by states of </w:t>
      </w:r>
      <w:r w:rsidR="00BE1E94">
        <w:rPr>
          <w:rFonts w:eastAsiaTheme="minorHAnsi"/>
          <w:lang w:eastAsia="en-US"/>
        </w:rPr>
        <w:t>the support being provided to Ukraine</w:t>
      </w:r>
      <w:r w:rsidR="00AD0735">
        <w:rPr>
          <w:rFonts w:eastAsiaTheme="minorHAnsi"/>
          <w:lang w:eastAsia="en-US"/>
        </w:rPr>
        <w:t xml:space="preserve"> should not be dismissed </w:t>
      </w:r>
      <w:r w:rsidR="00891788">
        <w:rPr>
          <w:rFonts w:eastAsiaTheme="minorHAnsi"/>
          <w:lang w:eastAsia="en-US"/>
        </w:rPr>
        <w:t xml:space="preserve">as </w:t>
      </w:r>
      <w:r w:rsidR="00BE1E94">
        <w:rPr>
          <w:rFonts w:eastAsiaTheme="minorHAnsi"/>
          <w:lang w:eastAsia="en-US"/>
        </w:rPr>
        <w:t xml:space="preserve">legally </w:t>
      </w:r>
      <w:r w:rsidR="00891788">
        <w:rPr>
          <w:rFonts w:eastAsiaTheme="minorHAnsi"/>
          <w:lang w:eastAsia="en-US"/>
        </w:rPr>
        <w:t>immaterial</w:t>
      </w:r>
      <w:r w:rsidR="00BE1E94">
        <w:rPr>
          <w:rFonts w:eastAsiaTheme="minorHAnsi"/>
          <w:lang w:eastAsia="en-US"/>
        </w:rPr>
        <w:t xml:space="preserve"> simply because they are rooted in politics and strategy</w:t>
      </w:r>
      <w:r w:rsidR="00891788">
        <w:rPr>
          <w:rFonts w:eastAsiaTheme="minorHAnsi"/>
          <w:lang w:eastAsia="en-US"/>
        </w:rPr>
        <w:t xml:space="preserve">. That NATO </w:t>
      </w:r>
      <w:r w:rsidR="00891788" w:rsidRPr="0073551A">
        <w:rPr>
          <w:rFonts w:eastAsiaTheme="minorHAnsi"/>
          <w:i/>
          <w:iCs/>
          <w:lang w:eastAsia="en-US"/>
        </w:rPr>
        <w:t>et al</w:t>
      </w:r>
      <w:r w:rsidR="00891788">
        <w:rPr>
          <w:rFonts w:eastAsiaTheme="minorHAnsi"/>
          <w:lang w:eastAsia="en-US"/>
        </w:rPr>
        <w:t xml:space="preserve"> do not consider that they are using force </w:t>
      </w:r>
      <w:r w:rsidR="00704153" w:rsidRPr="00704153">
        <w:rPr>
          <w:rFonts w:eastAsiaTheme="minorHAnsi"/>
          <w:i/>
          <w:iCs/>
          <w:lang w:eastAsia="en-US"/>
        </w:rPr>
        <w:t>matters</w:t>
      </w:r>
      <w:r w:rsidR="00704153">
        <w:rPr>
          <w:rFonts w:eastAsiaTheme="minorHAnsi"/>
          <w:lang w:eastAsia="en-US"/>
        </w:rPr>
        <w:t xml:space="preserve"> terms of our understanding of the legal reality</w:t>
      </w:r>
      <w:r w:rsidR="00BE1E94">
        <w:rPr>
          <w:rFonts w:eastAsiaTheme="minorHAnsi"/>
          <w:lang w:eastAsia="en-US"/>
        </w:rPr>
        <w:t xml:space="preserve">, </w:t>
      </w:r>
      <w:r w:rsidR="00704153">
        <w:rPr>
          <w:rFonts w:eastAsiaTheme="minorHAnsi"/>
          <w:lang w:eastAsia="en-US"/>
        </w:rPr>
        <w:t>even if it is not wholly determinative of it.</w:t>
      </w:r>
    </w:p>
    <w:p w14:paraId="34E89E01" w14:textId="66E4A296" w:rsidR="001172E9" w:rsidRPr="00374596" w:rsidRDefault="00B45B12" w:rsidP="00374596">
      <w:pPr>
        <w:spacing w:line="360" w:lineRule="auto"/>
        <w:ind w:firstLine="720"/>
        <w:jc w:val="both"/>
        <w:rPr>
          <w:rFonts w:eastAsiaTheme="minorHAnsi"/>
          <w:lang w:eastAsia="en-US"/>
        </w:rPr>
      </w:pPr>
      <w:r>
        <w:rPr>
          <w:rFonts w:eastAsiaTheme="minorHAnsi"/>
          <w:lang w:eastAsia="en-US"/>
        </w:rPr>
        <w:t>It is worth noting that there</w:t>
      </w:r>
      <w:r w:rsidR="00B10B9D" w:rsidRPr="00B14F56">
        <w:rPr>
          <w:rFonts w:eastAsiaTheme="minorHAnsi"/>
          <w:lang w:eastAsia="en-US"/>
        </w:rPr>
        <w:t xml:space="preserve"> have been some mixed messages</w:t>
      </w:r>
      <w:r>
        <w:rPr>
          <w:rFonts w:eastAsiaTheme="minorHAnsi"/>
          <w:lang w:eastAsia="en-US"/>
        </w:rPr>
        <w:t xml:space="preserve"> in this regard</w:t>
      </w:r>
      <w:r w:rsidR="00B10B9D" w:rsidRPr="00B14F56">
        <w:rPr>
          <w:rFonts w:eastAsiaTheme="minorHAnsi"/>
          <w:lang w:eastAsia="en-US"/>
        </w:rPr>
        <w:t xml:space="preserve">, however. </w:t>
      </w:r>
      <w:r w:rsidR="001172E9">
        <w:t>For example, returning to discussions in Security Council meeting</w:t>
      </w:r>
      <w:r>
        <w:t>s</w:t>
      </w:r>
      <w:r w:rsidR="001172E9">
        <w:t xml:space="preserve"> during September 2022, while many states, as noted previously, were careful to situate the provision of weapons and logistical support as the furtherance of </w:t>
      </w:r>
      <w:r w:rsidR="001172E9" w:rsidRPr="00D14E55">
        <w:rPr>
          <w:i/>
          <w:iCs/>
        </w:rPr>
        <w:t>Ukraine’s</w:t>
      </w:r>
      <w:r w:rsidR="001172E9">
        <w:t xml:space="preserve"> right of individual self-defence, other</w:t>
      </w:r>
      <w:r w:rsidR="008258FF">
        <w:t>s</w:t>
      </w:r>
      <w:r w:rsidR="001172E9">
        <w:t xml:space="preserve"> used language that could be interpreted as referencing the exercise of collective self-defence by the states supporting it. Norway, for instance, stated </w:t>
      </w:r>
      <w:proofErr w:type="gramStart"/>
      <w:r w:rsidR="001172E9">
        <w:t>that</w:t>
      </w:r>
      <w:proofErr w:type="gramEnd"/>
    </w:p>
    <w:p w14:paraId="5B024B01" w14:textId="77777777" w:rsidR="001172E9" w:rsidRDefault="001172E9" w:rsidP="00374596">
      <w:pPr>
        <w:spacing w:line="360" w:lineRule="auto"/>
        <w:jc w:val="both"/>
      </w:pPr>
    </w:p>
    <w:p w14:paraId="02043983" w14:textId="77777777" w:rsidR="001172E9" w:rsidRDefault="001172E9" w:rsidP="00374596">
      <w:pPr>
        <w:spacing w:line="360" w:lineRule="auto"/>
        <w:ind w:left="720"/>
        <w:jc w:val="both"/>
      </w:pPr>
      <w:r>
        <w:t xml:space="preserve">Ukraine has a right to defend itself against Russia’s armed attack, as enshrined in Article 51 of the Charter of the United Nations. </w:t>
      </w:r>
      <w:r w:rsidRPr="00D14E55">
        <w:rPr>
          <w:i/>
          <w:iCs/>
        </w:rPr>
        <w:t xml:space="preserve">Other States are entitled to respond positively to Ukraine’s call for assistance </w:t>
      </w:r>
      <w:r w:rsidRPr="002A2460">
        <w:t>in the exercise of its legitimate right to self-defence.</w:t>
      </w:r>
      <w:r>
        <w:rPr>
          <w:rStyle w:val="FootnoteReference"/>
        </w:rPr>
        <w:footnoteReference w:id="74"/>
      </w:r>
    </w:p>
    <w:p w14:paraId="771F0963" w14:textId="77777777" w:rsidR="001172E9" w:rsidRDefault="001172E9" w:rsidP="00374596">
      <w:pPr>
        <w:spacing w:line="360" w:lineRule="auto"/>
        <w:jc w:val="both"/>
      </w:pPr>
    </w:p>
    <w:p w14:paraId="676C5C7A" w14:textId="5ABF7429" w:rsidR="001172E9" w:rsidRDefault="001172E9" w:rsidP="00374596">
      <w:pPr>
        <w:spacing w:line="360" w:lineRule="auto"/>
        <w:jc w:val="both"/>
      </w:pPr>
      <w:r>
        <w:t xml:space="preserve">A few weeks later, also in the Council, Norway further noted that it would ‘stand up for Ukraine’s right to defend itself against onslaught and aggression, just as we will defend </w:t>
      </w:r>
      <w:r w:rsidRPr="00D14E55">
        <w:rPr>
          <w:i/>
          <w:iCs/>
        </w:rPr>
        <w:t>our right to support Ukraine</w:t>
      </w:r>
      <w:r>
        <w:t xml:space="preserve"> in its self-defence.’</w:t>
      </w:r>
      <w:r>
        <w:rPr>
          <w:rStyle w:val="FootnoteReference"/>
        </w:rPr>
        <w:footnoteReference w:id="75"/>
      </w:r>
      <w:r w:rsidR="00374596">
        <w:t xml:space="preserve"> </w:t>
      </w:r>
      <w:r>
        <w:t xml:space="preserve">Albania used similar language: </w:t>
      </w:r>
    </w:p>
    <w:p w14:paraId="4324A78F" w14:textId="77777777" w:rsidR="001172E9" w:rsidRDefault="001172E9" w:rsidP="00374596">
      <w:pPr>
        <w:spacing w:line="360" w:lineRule="auto"/>
        <w:jc w:val="both"/>
      </w:pPr>
    </w:p>
    <w:p w14:paraId="703D00B9" w14:textId="77777777" w:rsidR="001172E9" w:rsidRDefault="001172E9" w:rsidP="00374596">
      <w:pPr>
        <w:spacing w:line="360" w:lineRule="auto"/>
        <w:ind w:left="720"/>
        <w:jc w:val="both"/>
      </w:pPr>
      <w:r>
        <w:t>Article 51 of the Charter is clear. It provides an unquestionable legal basis for individual States to offer any assistance to a country exercising its inherent rights to self-defence and the defence of its sovereignty and territorial integrity.</w:t>
      </w:r>
      <w:r>
        <w:rPr>
          <w:rStyle w:val="FootnoteReference"/>
        </w:rPr>
        <w:footnoteReference w:id="76"/>
      </w:r>
    </w:p>
    <w:p w14:paraId="6F51A8FF" w14:textId="77777777" w:rsidR="001172E9" w:rsidRDefault="001172E9" w:rsidP="00374596">
      <w:pPr>
        <w:spacing w:line="360" w:lineRule="auto"/>
        <w:jc w:val="both"/>
      </w:pPr>
    </w:p>
    <w:p w14:paraId="2ACD3F24" w14:textId="32A745A0" w:rsidR="001172E9" w:rsidRDefault="005313CC" w:rsidP="00374596">
      <w:pPr>
        <w:spacing w:line="360" w:lineRule="auto"/>
        <w:jc w:val="both"/>
      </w:pPr>
      <w:r>
        <w:t>These passages</w:t>
      </w:r>
      <w:r w:rsidR="00E04978">
        <w:t xml:space="preserve"> can</w:t>
      </w:r>
      <w:r w:rsidR="001172E9">
        <w:t xml:space="preserve"> certainly </w:t>
      </w:r>
      <w:r>
        <w:t>be read as</w:t>
      </w:r>
      <w:r w:rsidR="001172E9">
        <w:t xml:space="preserve"> amount</w:t>
      </w:r>
      <w:r>
        <w:t>ing</w:t>
      </w:r>
      <w:r w:rsidR="001172E9">
        <w:t xml:space="preserve"> to the invocation of collective self-defence</w:t>
      </w:r>
      <w:r w:rsidR="00821D10">
        <w:t>,</w:t>
      </w:r>
      <w:r w:rsidR="001172E9">
        <w:t xml:space="preserve"> truly so-called, </w:t>
      </w:r>
      <w:r>
        <w:t>but</w:t>
      </w:r>
      <w:r w:rsidR="001172E9">
        <w:t xml:space="preserve"> </w:t>
      </w:r>
      <w:r w:rsidR="00821D10">
        <w:t>they</w:t>
      </w:r>
      <w:r w:rsidR="001172E9">
        <w:t xml:space="preserve"> also could be viewed as just other ways of phrasing the ‘in support of individual self-defence’ conceptualisation </w:t>
      </w:r>
      <w:r w:rsidR="00405533">
        <w:t xml:space="preserve">of the situation </w:t>
      </w:r>
      <w:r w:rsidR="001172E9">
        <w:t xml:space="preserve">that NATO has </w:t>
      </w:r>
      <w:r w:rsidR="00821D10">
        <w:t xml:space="preserve">very carefully </w:t>
      </w:r>
      <w:r w:rsidR="001172E9">
        <w:t xml:space="preserve">advanced. It is perhaps telling that </w:t>
      </w:r>
      <w:r w:rsidR="001172E9" w:rsidRPr="00D55919">
        <w:t>collective</w:t>
      </w:r>
      <w:r w:rsidR="001172E9">
        <w:t xml:space="preserve"> self-defence was not </w:t>
      </w:r>
      <w:r w:rsidR="001172E9" w:rsidRPr="00D55919">
        <w:rPr>
          <w:i/>
          <w:iCs/>
        </w:rPr>
        <w:t>explicitly</w:t>
      </w:r>
      <w:r w:rsidR="001172E9">
        <w:t xml:space="preserve"> advanced by </w:t>
      </w:r>
      <w:r w:rsidR="002C0202">
        <w:t xml:space="preserve">any of </w:t>
      </w:r>
      <w:r w:rsidR="001172E9">
        <w:t>the states discussing the matter in the Security Council</w:t>
      </w:r>
      <w:r w:rsidR="00F75BD8">
        <w:t>.</w:t>
      </w:r>
    </w:p>
    <w:p w14:paraId="6974F478" w14:textId="4DFCC9AF" w:rsidR="000B563F" w:rsidRDefault="00486D74" w:rsidP="00374596">
      <w:pPr>
        <w:spacing w:line="360" w:lineRule="auto"/>
        <w:ind w:firstLine="720"/>
        <w:jc w:val="both"/>
        <w:rPr>
          <w:color w:val="1E1E1F"/>
          <w:shd w:val="clear" w:color="auto" w:fill="FFFFFF"/>
        </w:rPr>
      </w:pPr>
      <w:r>
        <w:rPr>
          <w:rFonts w:eastAsiaTheme="minorHAnsi"/>
          <w:lang w:eastAsia="en-US"/>
        </w:rPr>
        <w:t xml:space="preserve">The </w:t>
      </w:r>
      <w:r w:rsidR="00B10B9D" w:rsidRPr="00B14F56">
        <w:rPr>
          <w:rFonts w:eastAsiaTheme="minorHAnsi"/>
          <w:lang w:eastAsia="en-US"/>
        </w:rPr>
        <w:t xml:space="preserve">European Parliament, </w:t>
      </w:r>
      <w:r>
        <w:rPr>
          <w:rFonts w:eastAsiaTheme="minorHAnsi"/>
          <w:lang w:eastAsia="en-US"/>
        </w:rPr>
        <w:t xml:space="preserve">however, </w:t>
      </w:r>
      <w:r w:rsidRPr="00486D74">
        <w:rPr>
          <w:rFonts w:eastAsiaTheme="minorHAnsi"/>
          <w:i/>
          <w:iCs/>
          <w:lang w:eastAsia="en-US"/>
        </w:rPr>
        <w:t>did</w:t>
      </w:r>
      <w:r>
        <w:rPr>
          <w:rFonts w:eastAsiaTheme="minorHAnsi"/>
          <w:lang w:eastAsia="en-US"/>
        </w:rPr>
        <w:t xml:space="preserve"> explicitly reference collective self-defence</w:t>
      </w:r>
      <w:r w:rsidR="00B10B9D" w:rsidRPr="00B14F56">
        <w:rPr>
          <w:rFonts w:eastAsiaTheme="minorHAnsi"/>
          <w:lang w:eastAsia="en-US"/>
        </w:rPr>
        <w:t>,</w:t>
      </w:r>
      <w:r>
        <w:rPr>
          <w:rFonts w:eastAsiaTheme="minorHAnsi"/>
          <w:lang w:eastAsia="en-US"/>
        </w:rPr>
        <w:t xml:space="preserve"> when it</w:t>
      </w:r>
      <w:r w:rsidR="00B10B9D" w:rsidRPr="00B14F56">
        <w:rPr>
          <w:rFonts w:eastAsiaTheme="minorHAnsi"/>
          <w:lang w:eastAsia="en-US"/>
        </w:rPr>
        <w:t xml:space="preserve"> adopted a report in June 2022 </w:t>
      </w:r>
      <w:r w:rsidR="00B10B9D" w:rsidRPr="00B14F56">
        <w:rPr>
          <w:color w:val="1E1E1F"/>
          <w:shd w:val="clear" w:color="auto" w:fill="FFFFFF"/>
        </w:rPr>
        <w:t xml:space="preserve">that asserted </w:t>
      </w:r>
      <w:proofErr w:type="gramStart"/>
      <w:r w:rsidR="00B10B9D" w:rsidRPr="00B14F56">
        <w:rPr>
          <w:color w:val="1E1E1F"/>
          <w:shd w:val="clear" w:color="auto" w:fill="FFFFFF"/>
        </w:rPr>
        <w:t>that</w:t>
      </w:r>
      <w:proofErr w:type="gramEnd"/>
    </w:p>
    <w:p w14:paraId="34ACB5CC" w14:textId="77777777" w:rsidR="000B563F" w:rsidRDefault="000B563F" w:rsidP="00374596">
      <w:pPr>
        <w:spacing w:line="360" w:lineRule="auto"/>
        <w:ind w:firstLine="720"/>
        <w:jc w:val="both"/>
        <w:rPr>
          <w:color w:val="1E1E1F"/>
          <w:shd w:val="clear" w:color="auto" w:fill="FFFFFF"/>
        </w:rPr>
      </w:pPr>
    </w:p>
    <w:p w14:paraId="26B33EAB" w14:textId="77777777" w:rsidR="000B563F" w:rsidRDefault="00B10B9D" w:rsidP="00374596">
      <w:pPr>
        <w:spacing w:line="360" w:lineRule="auto"/>
        <w:ind w:left="720"/>
        <w:jc w:val="both"/>
        <w:rPr>
          <w:color w:val="1E1E1F"/>
          <w:shd w:val="clear" w:color="auto" w:fill="FFFFFF"/>
        </w:rPr>
      </w:pPr>
      <w:r w:rsidRPr="00B14F56">
        <w:rPr>
          <w:color w:val="1E1E1F"/>
          <w:shd w:val="clear" w:color="auto" w:fill="FFFFFF"/>
        </w:rPr>
        <w:t xml:space="preserve">partners and allies should step up their military support to Ukraine and their provision of weapons, which is in line with Article 51 of the UN Charter that allows individual </w:t>
      </w:r>
      <w:r w:rsidRPr="00B14F56">
        <w:rPr>
          <w:i/>
          <w:iCs/>
          <w:color w:val="1E1E1F"/>
          <w:shd w:val="clear" w:color="auto" w:fill="FFFFFF"/>
        </w:rPr>
        <w:t xml:space="preserve">and collective </w:t>
      </w:r>
      <w:r w:rsidRPr="00B14F56">
        <w:rPr>
          <w:color w:val="1E1E1F"/>
          <w:shd w:val="clear" w:color="auto" w:fill="FFFFFF"/>
        </w:rPr>
        <w:t>self-defence.</w:t>
      </w:r>
      <w:r w:rsidRPr="00B14F56">
        <w:rPr>
          <w:rStyle w:val="FootnoteReference"/>
          <w:color w:val="1E1E1F"/>
          <w:shd w:val="clear" w:color="auto" w:fill="FFFFFF"/>
        </w:rPr>
        <w:footnoteReference w:id="77"/>
      </w:r>
      <w:r w:rsidRPr="00B14F56">
        <w:rPr>
          <w:color w:val="1E1E1F"/>
          <w:shd w:val="clear" w:color="auto" w:fill="FFFFFF"/>
        </w:rPr>
        <w:t xml:space="preserve"> </w:t>
      </w:r>
    </w:p>
    <w:p w14:paraId="25E5C616" w14:textId="77777777" w:rsidR="000B563F" w:rsidRDefault="000B563F" w:rsidP="00374596">
      <w:pPr>
        <w:spacing w:line="360" w:lineRule="auto"/>
        <w:jc w:val="both"/>
        <w:rPr>
          <w:color w:val="1E1E1F"/>
          <w:shd w:val="clear" w:color="auto" w:fill="FFFFFF"/>
        </w:rPr>
      </w:pPr>
    </w:p>
    <w:p w14:paraId="47FB0C4C" w14:textId="099C895E" w:rsidR="00B10B9D" w:rsidRDefault="00B10B9D" w:rsidP="00374596">
      <w:pPr>
        <w:spacing w:line="360" w:lineRule="auto"/>
        <w:jc w:val="both"/>
        <w:rPr>
          <w:color w:val="1E1E1F"/>
          <w:shd w:val="clear" w:color="auto" w:fill="FFFFFF"/>
        </w:rPr>
      </w:pPr>
      <w:r w:rsidRPr="00B14F56">
        <w:rPr>
          <w:color w:val="1E1E1F"/>
          <w:shd w:val="clear" w:color="auto" w:fill="FFFFFF"/>
        </w:rPr>
        <w:t xml:space="preserve">This </w:t>
      </w:r>
      <w:r w:rsidR="000B563F">
        <w:rPr>
          <w:color w:val="1E1E1F"/>
          <w:shd w:val="clear" w:color="auto" w:fill="FFFFFF"/>
        </w:rPr>
        <w:t xml:space="preserve">could </w:t>
      </w:r>
      <w:r w:rsidRPr="00B14F56">
        <w:rPr>
          <w:color w:val="1E1E1F"/>
          <w:shd w:val="clear" w:color="auto" w:fill="FFFFFF"/>
        </w:rPr>
        <w:t>impl</w:t>
      </w:r>
      <w:r w:rsidR="000B563F">
        <w:rPr>
          <w:color w:val="1E1E1F"/>
          <w:shd w:val="clear" w:color="auto" w:fill="FFFFFF"/>
        </w:rPr>
        <w:t>y</w:t>
      </w:r>
      <w:r w:rsidRPr="00B14F56">
        <w:rPr>
          <w:color w:val="1E1E1F"/>
          <w:shd w:val="clear" w:color="auto" w:fill="FFFFFF"/>
        </w:rPr>
        <w:t xml:space="preserve"> that the EU may already consider </w:t>
      </w:r>
      <w:r w:rsidR="00FE6122">
        <w:rPr>
          <w:color w:val="1E1E1F"/>
          <w:shd w:val="clear" w:color="auto" w:fill="FFFFFF"/>
        </w:rPr>
        <w:t>w</w:t>
      </w:r>
      <w:r w:rsidRPr="00B14F56">
        <w:rPr>
          <w:color w:val="1E1E1F"/>
          <w:shd w:val="clear" w:color="auto" w:fill="FFFFFF"/>
        </w:rPr>
        <w:t>estern support for Ukraine to be an exercise in collective self-defence</w:t>
      </w:r>
      <w:r w:rsidR="000B563F">
        <w:rPr>
          <w:color w:val="1E1E1F"/>
          <w:shd w:val="clear" w:color="auto" w:fill="FFFFFF"/>
        </w:rPr>
        <w:t xml:space="preserve"> after all. O</w:t>
      </w:r>
      <w:r w:rsidR="00F31CE5">
        <w:rPr>
          <w:color w:val="1E1E1F"/>
          <w:shd w:val="clear" w:color="auto" w:fill="FFFFFF"/>
        </w:rPr>
        <w:t>nce more,</w:t>
      </w:r>
      <w:r w:rsidRPr="00B14F56">
        <w:rPr>
          <w:color w:val="1E1E1F"/>
          <w:shd w:val="clear" w:color="auto" w:fill="FFFFFF"/>
        </w:rPr>
        <w:t xml:space="preserve"> </w:t>
      </w:r>
      <w:r w:rsidR="000B563F">
        <w:rPr>
          <w:color w:val="1E1E1F"/>
          <w:shd w:val="clear" w:color="auto" w:fill="FFFFFF"/>
        </w:rPr>
        <w:t xml:space="preserve">though, </w:t>
      </w:r>
      <w:r w:rsidR="00B9048E">
        <w:rPr>
          <w:color w:val="1E1E1F"/>
          <w:shd w:val="clear" w:color="auto" w:fill="FFFFFF"/>
        </w:rPr>
        <w:t>this is uncertain: the language used could simply have amounted to</w:t>
      </w:r>
      <w:r w:rsidRPr="00B14F56">
        <w:rPr>
          <w:color w:val="1E1E1F"/>
          <w:shd w:val="clear" w:color="auto" w:fill="FFFFFF"/>
        </w:rPr>
        <w:t xml:space="preserve"> a rote reiteration of the wording of Article 51</w:t>
      </w:r>
      <w:r w:rsidR="00B9048E">
        <w:rPr>
          <w:color w:val="1E1E1F"/>
          <w:shd w:val="clear" w:color="auto" w:fill="FFFFFF"/>
        </w:rPr>
        <w:t xml:space="preserve">, noting the right of self-defence as it is presented therein, </w:t>
      </w:r>
      <w:r w:rsidR="00B9048E" w:rsidRPr="00B9048E">
        <w:rPr>
          <w:i/>
          <w:iCs/>
          <w:color w:val="1E1E1F"/>
          <w:shd w:val="clear" w:color="auto" w:fill="FFFFFF"/>
        </w:rPr>
        <w:t>in toto</w:t>
      </w:r>
      <w:r w:rsidRPr="00B14F56">
        <w:rPr>
          <w:color w:val="1E1E1F"/>
          <w:shd w:val="clear" w:color="auto" w:fill="FFFFFF"/>
        </w:rPr>
        <w:t>.</w:t>
      </w:r>
      <w:r w:rsidR="00DA361F">
        <w:rPr>
          <w:color w:val="1E1E1F"/>
          <w:shd w:val="clear" w:color="auto" w:fill="FFFFFF"/>
        </w:rPr>
        <w:t xml:space="preserve"> Moreover, it is worth </w:t>
      </w:r>
      <w:r w:rsidR="004D4303">
        <w:rPr>
          <w:color w:val="1E1E1F"/>
          <w:shd w:val="clear" w:color="auto" w:fill="FFFFFF"/>
        </w:rPr>
        <w:t>recalling</w:t>
      </w:r>
      <w:r w:rsidR="00DA361F">
        <w:rPr>
          <w:color w:val="1E1E1F"/>
          <w:shd w:val="clear" w:color="auto" w:fill="FFFFFF"/>
        </w:rPr>
        <w:t xml:space="preserve"> that </w:t>
      </w:r>
      <w:r w:rsidR="00DA361F" w:rsidRPr="00DA361F">
        <w:rPr>
          <w:color w:val="1E1E1F"/>
          <w:shd w:val="clear" w:color="auto" w:fill="FFFFFF"/>
        </w:rPr>
        <w:t xml:space="preserve">matters of foreign and security policy </w:t>
      </w:r>
      <w:r w:rsidR="00DA361F">
        <w:rPr>
          <w:color w:val="1E1E1F"/>
          <w:shd w:val="clear" w:color="auto" w:fill="FFFFFF"/>
        </w:rPr>
        <w:t xml:space="preserve">are more appropriately the remit the </w:t>
      </w:r>
      <w:r w:rsidR="00DA361F" w:rsidRPr="00DA361F">
        <w:rPr>
          <w:color w:val="1E1E1F"/>
          <w:shd w:val="clear" w:color="auto" w:fill="FFFFFF"/>
        </w:rPr>
        <w:t>Council of the EU rather than the European Parliament</w:t>
      </w:r>
      <w:r w:rsidR="004D4303">
        <w:rPr>
          <w:color w:val="1E1E1F"/>
          <w:shd w:val="clear" w:color="auto" w:fill="FFFFFF"/>
        </w:rPr>
        <w:t>.</w:t>
      </w:r>
      <w:r w:rsidR="004D4303">
        <w:rPr>
          <w:rStyle w:val="FootnoteReference"/>
          <w:color w:val="1E1E1F"/>
          <w:shd w:val="clear" w:color="auto" w:fill="FFFFFF"/>
        </w:rPr>
        <w:footnoteReference w:id="78"/>
      </w:r>
    </w:p>
    <w:p w14:paraId="018E6C06" w14:textId="2403499C" w:rsidR="008A0437" w:rsidRDefault="00F75BD8" w:rsidP="00C14798">
      <w:pPr>
        <w:spacing w:line="360" w:lineRule="auto"/>
        <w:jc w:val="both"/>
      </w:pPr>
      <w:r>
        <w:rPr>
          <w:color w:val="1E1E1F"/>
          <w:shd w:val="clear" w:color="auto" w:fill="FFFFFF"/>
        </w:rPr>
        <w:tab/>
      </w:r>
      <w:r w:rsidR="00884E14">
        <w:rPr>
          <w:color w:val="1E1E1F"/>
          <w:shd w:val="clear" w:color="auto" w:fill="FFFFFF"/>
        </w:rPr>
        <w:t>Taking all this together</w:t>
      </w:r>
      <w:r>
        <w:rPr>
          <w:color w:val="1E1E1F"/>
          <w:shd w:val="clear" w:color="auto" w:fill="FFFFFF"/>
        </w:rPr>
        <w:t xml:space="preserve">, the states supporting </w:t>
      </w:r>
      <w:r w:rsidR="00790522">
        <w:rPr>
          <w:color w:val="1E1E1F"/>
          <w:shd w:val="clear" w:color="auto" w:fill="FFFFFF"/>
        </w:rPr>
        <w:t>Ukraine</w:t>
      </w:r>
      <w:r>
        <w:rPr>
          <w:color w:val="1E1E1F"/>
          <w:shd w:val="clear" w:color="auto" w:fill="FFFFFF"/>
        </w:rPr>
        <w:t xml:space="preserve"> </w:t>
      </w:r>
      <w:r w:rsidR="00790522">
        <w:rPr>
          <w:color w:val="1E1E1F"/>
          <w:shd w:val="clear" w:color="auto" w:fill="FFFFFF"/>
        </w:rPr>
        <w:t xml:space="preserve">appear to </w:t>
      </w:r>
      <w:r>
        <w:rPr>
          <w:color w:val="1E1E1F"/>
          <w:shd w:val="clear" w:color="auto" w:fill="FFFFFF"/>
        </w:rPr>
        <w:t xml:space="preserve">have stopped short of </w:t>
      </w:r>
      <w:r w:rsidR="00790522">
        <w:rPr>
          <w:color w:val="1E1E1F"/>
          <w:shd w:val="clear" w:color="auto" w:fill="FFFFFF"/>
        </w:rPr>
        <w:t xml:space="preserve">suggesting that their provision of weapons and training can be seen as a use of force, and similarly have </w:t>
      </w:r>
      <w:r w:rsidR="00C14798">
        <w:rPr>
          <w:color w:val="1E1E1F"/>
          <w:shd w:val="clear" w:color="auto" w:fill="FFFFFF"/>
        </w:rPr>
        <w:t>not claimed (or even have denied) that</w:t>
      </w:r>
      <w:r w:rsidR="00790522">
        <w:rPr>
          <w:color w:val="1E1E1F"/>
          <w:shd w:val="clear" w:color="auto" w:fill="FFFFFF"/>
        </w:rPr>
        <w:t xml:space="preserve"> they are acting in collective self-defence.</w:t>
      </w:r>
      <w:r w:rsidR="00C14798">
        <w:rPr>
          <w:color w:val="1E1E1F"/>
          <w:shd w:val="clear" w:color="auto" w:fill="FFFFFF"/>
        </w:rPr>
        <w:t xml:space="preserve"> </w:t>
      </w:r>
      <w:r w:rsidR="003809C3">
        <w:rPr>
          <w:color w:val="1E1E1F"/>
          <w:shd w:val="clear" w:color="auto" w:fill="FFFFFF"/>
        </w:rPr>
        <w:t>Having said that</w:t>
      </w:r>
      <w:r w:rsidR="00C14798">
        <w:rPr>
          <w:color w:val="1E1E1F"/>
          <w:shd w:val="clear" w:color="auto" w:fill="FFFFFF"/>
        </w:rPr>
        <w:t xml:space="preserve">, </w:t>
      </w:r>
      <w:r w:rsidR="00C14798">
        <w:t>it has to be acknowledged that some of the ‘messaging’ in this regard has been far from clear.</w:t>
      </w:r>
    </w:p>
    <w:p w14:paraId="4D3084E5" w14:textId="196D0169" w:rsidR="005A5290" w:rsidRDefault="008A0437" w:rsidP="00C14798">
      <w:pPr>
        <w:spacing w:line="360" w:lineRule="auto"/>
        <w:jc w:val="both"/>
      </w:pPr>
      <w:r>
        <w:tab/>
        <w:t>It also is important to note Russia’s position, which has been</w:t>
      </w:r>
      <w:r w:rsidR="00684DD1">
        <w:t xml:space="preserve"> unsurprisingly very different to the </w:t>
      </w:r>
      <w:r w:rsidR="00D55919">
        <w:t>stance taken by</w:t>
      </w:r>
      <w:r w:rsidR="00684DD1">
        <w:t xml:space="preserve"> the NATO states </w:t>
      </w:r>
      <w:r w:rsidR="00684DD1" w:rsidRPr="00684DD1">
        <w:rPr>
          <w:i/>
          <w:iCs/>
        </w:rPr>
        <w:t>et al</w:t>
      </w:r>
      <w:r w:rsidR="00684DD1">
        <w:t xml:space="preserve">, </w:t>
      </w:r>
      <w:r w:rsidR="00D55919">
        <w:t>albeit that it could be said to be</w:t>
      </w:r>
      <w:r>
        <w:t xml:space="preserve"> </w:t>
      </w:r>
      <w:r w:rsidR="00343F3A">
        <w:t xml:space="preserve">equally </w:t>
      </w:r>
      <w:r>
        <w:t xml:space="preserve">unclear. So far as I can tell, Russia has not used explicit </w:t>
      </w:r>
      <w:r w:rsidRPr="008A0437">
        <w:rPr>
          <w:i/>
          <w:iCs/>
        </w:rPr>
        <w:t>ad bellum</w:t>
      </w:r>
      <w:r>
        <w:t xml:space="preserve"> language in </w:t>
      </w:r>
      <w:r w:rsidR="00343F3A">
        <w:t>the sense of</w:t>
      </w:r>
      <w:r w:rsidR="00684DD1">
        <w:t>, say,</w:t>
      </w:r>
      <w:r w:rsidR="00343F3A">
        <w:t xml:space="preserve"> </w:t>
      </w:r>
      <w:r>
        <w:t xml:space="preserve">arguing that western states are ‘using force </w:t>
      </w:r>
      <w:r w:rsidR="00684DD1">
        <w:t>in breach of Article 2(4)</w:t>
      </w:r>
      <w:r w:rsidR="00D55919">
        <w:t>’</w:t>
      </w:r>
      <w:r w:rsidR="00684DD1">
        <w:t xml:space="preserve"> </w:t>
      </w:r>
      <w:r>
        <w:t>by supplying arms to Ukraine</w:t>
      </w:r>
      <w:r w:rsidR="005A5290">
        <w:t>. N</w:t>
      </w:r>
      <w:r>
        <w:t xml:space="preserve">or has </w:t>
      </w:r>
      <w:r w:rsidR="005A5290">
        <w:t>Russia</w:t>
      </w:r>
      <w:r>
        <w:t xml:space="preserve"> </w:t>
      </w:r>
      <w:r w:rsidR="005A5290">
        <w:t>explicitly rejected</w:t>
      </w:r>
      <w:r>
        <w:t xml:space="preserve"> </w:t>
      </w:r>
      <w:r w:rsidR="005A5290">
        <w:t>the idea that support for Ukraine c</w:t>
      </w:r>
      <w:r w:rsidR="00684DD1">
        <w:t>ould</w:t>
      </w:r>
      <w:r w:rsidR="005A5290">
        <w:t xml:space="preserve"> justified as </w:t>
      </w:r>
      <w:r w:rsidR="00343F3A">
        <w:lastRenderedPageBreak/>
        <w:t>collective</w:t>
      </w:r>
      <w:r>
        <w:t xml:space="preserve"> self-defence</w:t>
      </w:r>
      <w:r w:rsidR="005A5290">
        <w:t>, as one might expect</w:t>
      </w:r>
      <w:r w:rsidR="00684DD1">
        <w:t>. G</w:t>
      </w:r>
      <w:r>
        <w:t xml:space="preserve">iven that NATO states </w:t>
      </w:r>
      <w:r w:rsidRPr="005A5290">
        <w:rPr>
          <w:i/>
          <w:iCs/>
        </w:rPr>
        <w:t>et al</w:t>
      </w:r>
      <w:r>
        <w:t xml:space="preserve"> appear not to have advanced </w:t>
      </w:r>
      <w:r w:rsidR="005A5290">
        <w:t>the justification of collective self-defence</w:t>
      </w:r>
      <w:r>
        <w:t xml:space="preserve">, </w:t>
      </w:r>
      <w:r w:rsidR="00684DD1">
        <w:t xml:space="preserve">though, </w:t>
      </w:r>
      <w:r>
        <w:t xml:space="preserve">that is perhaps not </w:t>
      </w:r>
      <w:r w:rsidR="005A5290">
        <w:t xml:space="preserve">as </w:t>
      </w:r>
      <w:r>
        <w:t>surprising</w:t>
      </w:r>
      <w:r w:rsidR="005A5290">
        <w:t xml:space="preserve"> as it initially might appea</w:t>
      </w:r>
      <w:r w:rsidR="00684DD1">
        <w:t xml:space="preserve">r: to denounce it would serve merely to raise (and thus highlight the potential applicability of) </w:t>
      </w:r>
      <w:r w:rsidR="00D55919">
        <w:t>it</w:t>
      </w:r>
      <w:r w:rsidR="00684DD1">
        <w:t>.</w:t>
      </w:r>
    </w:p>
    <w:p w14:paraId="0510AB10" w14:textId="57715DED" w:rsidR="008A0437" w:rsidRDefault="00B56E14" w:rsidP="005A5290">
      <w:pPr>
        <w:spacing w:line="360" w:lineRule="auto"/>
        <w:ind w:firstLine="720"/>
        <w:jc w:val="both"/>
      </w:pPr>
      <w:r>
        <w:t>However, w</w:t>
      </w:r>
      <w:r w:rsidR="00684DD1">
        <w:t xml:space="preserve">here </w:t>
      </w:r>
      <w:r w:rsidR="008A0437">
        <w:t>Russia has been explicit</w:t>
      </w:r>
      <w:r>
        <w:t xml:space="preserve"> </w:t>
      </w:r>
      <w:r w:rsidR="005A5290">
        <w:t>(</w:t>
      </w:r>
      <w:r w:rsidR="008A0437">
        <w:t>on more than one occasion</w:t>
      </w:r>
      <w:r w:rsidR="005A5290">
        <w:t xml:space="preserve">) </w:t>
      </w:r>
      <w:r>
        <w:t xml:space="preserve">is in asserting </w:t>
      </w:r>
      <w:r w:rsidR="008A0437">
        <w:t xml:space="preserve">that it </w:t>
      </w:r>
      <w:r w:rsidR="00D55919">
        <w:t xml:space="preserve">currently </w:t>
      </w:r>
      <w:r w:rsidR="008A0437">
        <w:t xml:space="preserve">considers itself to be ‘at war’ not just with </w:t>
      </w:r>
      <w:r w:rsidR="00343F3A">
        <w:t>Ukraine</w:t>
      </w:r>
      <w:r w:rsidR="008A0437">
        <w:t xml:space="preserve"> but </w:t>
      </w:r>
      <w:r w:rsidR="008A0437" w:rsidRPr="005A5290">
        <w:rPr>
          <w:i/>
          <w:iCs/>
        </w:rPr>
        <w:t>with NATO</w:t>
      </w:r>
      <w:r w:rsidR="008A0437">
        <w:t>.</w:t>
      </w:r>
      <w:r>
        <w:rPr>
          <w:rStyle w:val="FootnoteReference"/>
        </w:rPr>
        <w:footnoteReference w:id="79"/>
      </w:r>
      <w:r w:rsidR="00343F3A">
        <w:t xml:space="preserve"> Irrespective of whether Russia has used </w:t>
      </w:r>
      <w:r w:rsidR="00343F3A" w:rsidRPr="005A5290">
        <w:rPr>
          <w:i/>
          <w:iCs/>
        </w:rPr>
        <w:t>ad bellum</w:t>
      </w:r>
      <w:r w:rsidR="00343F3A">
        <w:t xml:space="preserve"> language in framing this conceptualisation, it </w:t>
      </w:r>
      <w:r w:rsidR="00D55919">
        <w:t>would</w:t>
      </w:r>
      <w:r w:rsidR="00343F3A">
        <w:t xml:space="preserve"> at least imply that it considers NATO to be using </w:t>
      </w:r>
      <w:r w:rsidR="005A5290">
        <w:t xml:space="preserve">unlawful </w:t>
      </w:r>
      <w:r w:rsidR="00343F3A">
        <w:t>force against it</w:t>
      </w:r>
      <w:r w:rsidR="005A5290">
        <w:t>.</w:t>
      </w:r>
    </w:p>
    <w:p w14:paraId="7D1BB45A" w14:textId="0026F355" w:rsidR="00F75BD8" w:rsidRPr="00B14F56" w:rsidRDefault="00F75BD8" w:rsidP="00374596">
      <w:pPr>
        <w:spacing w:line="360" w:lineRule="auto"/>
        <w:jc w:val="both"/>
        <w:rPr>
          <w:rFonts w:eastAsiaTheme="minorHAnsi"/>
          <w:lang w:eastAsia="en-US"/>
        </w:rPr>
      </w:pPr>
    </w:p>
    <w:p w14:paraId="0AC2224A" w14:textId="1C80F1ED" w:rsidR="00CC3D69" w:rsidRPr="00B14F56" w:rsidRDefault="00F31CE5" w:rsidP="00374596">
      <w:pPr>
        <w:spacing w:line="360" w:lineRule="auto"/>
        <w:jc w:val="both"/>
        <w:rPr>
          <w:b/>
          <w:bCs/>
        </w:rPr>
      </w:pPr>
      <w:r>
        <w:rPr>
          <w:b/>
          <w:bCs/>
        </w:rPr>
        <w:t xml:space="preserve">5. </w:t>
      </w:r>
      <w:r w:rsidR="007B7EC5" w:rsidRPr="00B14F56">
        <w:rPr>
          <w:b/>
          <w:bCs/>
        </w:rPr>
        <w:t>Conclusion</w:t>
      </w:r>
    </w:p>
    <w:p w14:paraId="54AA1526" w14:textId="77777777" w:rsidR="00CC3D69" w:rsidRPr="00B14F56" w:rsidRDefault="00CC3D69" w:rsidP="00374596">
      <w:pPr>
        <w:spacing w:line="360" w:lineRule="auto"/>
        <w:jc w:val="both"/>
      </w:pPr>
    </w:p>
    <w:bookmarkEnd w:id="0"/>
    <w:p w14:paraId="7AEBB68C" w14:textId="7688856F" w:rsidR="00B5756D" w:rsidRDefault="00884E14" w:rsidP="00B14F56">
      <w:pPr>
        <w:spacing w:line="360" w:lineRule="auto"/>
        <w:jc w:val="both"/>
        <w:rPr>
          <w:rFonts w:eastAsiaTheme="minorHAnsi"/>
          <w:lang w:eastAsia="en-US"/>
        </w:rPr>
      </w:pPr>
      <w:r>
        <w:rPr>
          <w:rFonts w:eastAsiaTheme="minorHAnsi"/>
          <w:lang w:eastAsia="en-US"/>
        </w:rPr>
        <w:t xml:space="preserve">Ultimately, </w:t>
      </w:r>
      <w:r w:rsidR="007C18B7" w:rsidRPr="00B14F56">
        <w:rPr>
          <w:rFonts w:eastAsiaTheme="minorHAnsi"/>
          <w:lang w:eastAsia="en-US"/>
        </w:rPr>
        <w:t xml:space="preserve">I remain sceptical of the view expressed by the ICJ (and applied to the Ukraine situation by Heller and </w:t>
      </w:r>
      <w:proofErr w:type="spellStart"/>
      <w:r w:rsidR="00641359" w:rsidRPr="00B14F56">
        <w:t>Trabucco</w:t>
      </w:r>
      <w:proofErr w:type="spellEnd"/>
      <w:r w:rsidR="005667A4">
        <w:t xml:space="preserve">, </w:t>
      </w:r>
      <w:r w:rsidR="00C34E9B">
        <w:t>amongst</w:t>
      </w:r>
      <w:r w:rsidR="005667A4">
        <w:t xml:space="preserve"> others</w:t>
      </w:r>
      <w:r w:rsidR="00641359">
        <w:t xml:space="preserve">) </w:t>
      </w:r>
      <w:r w:rsidR="005667A4">
        <w:t xml:space="preserve">that </w:t>
      </w:r>
      <w:r w:rsidR="00ED43AD" w:rsidRPr="00B14F56">
        <w:rPr>
          <w:rFonts w:eastAsiaTheme="minorHAnsi"/>
          <w:lang w:eastAsia="en-US"/>
        </w:rPr>
        <w:t xml:space="preserve">the mere provision of </w:t>
      </w:r>
      <w:r w:rsidR="005667A4" w:rsidRPr="005667A4">
        <w:t>weapons or logistical</w:t>
      </w:r>
      <w:r w:rsidR="005667A4">
        <w:rPr>
          <w:i/>
          <w:iCs/>
        </w:rPr>
        <w:t xml:space="preserve"> </w:t>
      </w:r>
      <w:r w:rsidR="005667A4" w:rsidRPr="005667A4">
        <w:t>support</w:t>
      </w:r>
      <w:r w:rsidR="00ED43AD" w:rsidRPr="00B14F56">
        <w:t xml:space="preserve"> </w:t>
      </w:r>
      <w:r w:rsidR="00ED43AD" w:rsidRPr="00B14F56">
        <w:rPr>
          <w:rFonts w:eastAsiaTheme="minorHAnsi"/>
          <w:lang w:eastAsia="en-US"/>
        </w:rPr>
        <w:t>constitute</w:t>
      </w:r>
      <w:r w:rsidR="007C18B7" w:rsidRPr="00B14F56">
        <w:rPr>
          <w:rFonts w:eastAsiaTheme="minorHAnsi"/>
          <w:lang w:eastAsia="en-US"/>
        </w:rPr>
        <w:t>s a use of force</w:t>
      </w:r>
      <w:r w:rsidR="00194827">
        <w:rPr>
          <w:rFonts w:eastAsiaTheme="minorHAnsi"/>
          <w:lang w:eastAsia="en-US"/>
        </w:rPr>
        <w:t xml:space="preserve">. I am not sure I am convinced by </w:t>
      </w:r>
      <w:r w:rsidR="00513701" w:rsidRPr="00B14F56">
        <w:rPr>
          <w:rFonts w:eastAsiaTheme="minorHAnsi"/>
          <w:lang w:eastAsia="en-US"/>
        </w:rPr>
        <w:t xml:space="preserve">the </w:t>
      </w:r>
      <w:r w:rsidR="005667A4">
        <w:rPr>
          <w:rFonts w:eastAsiaTheme="minorHAnsi"/>
          <w:lang w:eastAsia="en-US"/>
        </w:rPr>
        <w:t>associated conclusion th</w:t>
      </w:r>
      <w:r w:rsidR="00513701" w:rsidRPr="00B14F56">
        <w:rPr>
          <w:rFonts w:eastAsiaTheme="minorHAnsi"/>
          <w:lang w:eastAsia="en-US"/>
        </w:rPr>
        <w:t>at NATO state</w:t>
      </w:r>
      <w:r w:rsidR="005667A4">
        <w:rPr>
          <w:rFonts w:eastAsiaTheme="minorHAnsi"/>
          <w:lang w:eastAsia="en-US"/>
        </w:rPr>
        <w:t>s</w:t>
      </w:r>
      <w:r w:rsidR="00513701" w:rsidRPr="00B14F56">
        <w:rPr>
          <w:rFonts w:eastAsiaTheme="minorHAnsi"/>
          <w:lang w:eastAsia="en-US"/>
        </w:rPr>
        <w:t xml:space="preserve"> </w:t>
      </w:r>
      <w:r w:rsidR="00513701" w:rsidRPr="005667A4">
        <w:rPr>
          <w:rFonts w:eastAsiaTheme="minorHAnsi"/>
          <w:i/>
          <w:iCs/>
          <w:lang w:eastAsia="en-US"/>
        </w:rPr>
        <w:t>et al</w:t>
      </w:r>
      <w:r w:rsidR="00513701" w:rsidRPr="00B14F56">
        <w:rPr>
          <w:rFonts w:eastAsiaTheme="minorHAnsi"/>
          <w:lang w:eastAsia="en-US"/>
        </w:rPr>
        <w:t xml:space="preserve"> are</w:t>
      </w:r>
      <w:r w:rsidR="00ED43AD" w:rsidRPr="00B14F56">
        <w:rPr>
          <w:rFonts w:eastAsiaTheme="minorHAnsi"/>
          <w:lang w:eastAsia="en-US"/>
        </w:rPr>
        <w:t xml:space="preserve"> </w:t>
      </w:r>
      <w:r w:rsidR="009E02D0">
        <w:rPr>
          <w:rFonts w:eastAsiaTheme="minorHAnsi"/>
          <w:lang w:eastAsia="en-US"/>
        </w:rPr>
        <w:t xml:space="preserve">currently </w:t>
      </w:r>
      <w:r w:rsidR="00ED43AD" w:rsidRPr="00B14F56">
        <w:rPr>
          <w:rFonts w:eastAsiaTheme="minorHAnsi"/>
          <w:lang w:eastAsia="en-US"/>
        </w:rPr>
        <w:t>exercis</w:t>
      </w:r>
      <w:r w:rsidR="00513701" w:rsidRPr="00B14F56">
        <w:rPr>
          <w:rFonts w:eastAsiaTheme="minorHAnsi"/>
          <w:lang w:eastAsia="en-US"/>
        </w:rPr>
        <w:t>ing</w:t>
      </w:r>
      <w:r w:rsidR="00ED43AD" w:rsidRPr="00B14F56">
        <w:rPr>
          <w:rFonts w:eastAsiaTheme="minorHAnsi"/>
          <w:lang w:eastAsia="en-US"/>
        </w:rPr>
        <w:t xml:space="preserve"> collective self-defence in </w:t>
      </w:r>
      <w:r w:rsidR="009E02D0">
        <w:rPr>
          <w:rFonts w:eastAsiaTheme="minorHAnsi"/>
          <w:lang w:eastAsia="en-US"/>
        </w:rPr>
        <w:t>relation to the war in</w:t>
      </w:r>
      <w:r w:rsidR="00ED43AD" w:rsidRPr="00B14F56">
        <w:rPr>
          <w:rFonts w:eastAsiaTheme="minorHAnsi"/>
          <w:lang w:eastAsia="en-US"/>
        </w:rPr>
        <w:t xml:space="preserve"> Ukraine</w:t>
      </w:r>
      <w:r w:rsidR="00C34E9B">
        <w:rPr>
          <w:rFonts w:eastAsiaTheme="minorHAnsi"/>
          <w:lang w:eastAsia="en-US"/>
        </w:rPr>
        <w:t xml:space="preserve"> either</w:t>
      </w:r>
      <w:r w:rsidR="00ED43AD" w:rsidRPr="00B14F56">
        <w:rPr>
          <w:rFonts w:eastAsiaTheme="minorHAnsi"/>
          <w:lang w:eastAsia="en-US"/>
        </w:rPr>
        <w:t xml:space="preserve">. </w:t>
      </w:r>
      <w:r w:rsidR="0074435B" w:rsidRPr="00B14F56">
        <w:rPr>
          <w:rFonts w:eastAsiaTheme="minorHAnsi"/>
          <w:lang w:eastAsia="en-US"/>
        </w:rPr>
        <w:t>T</w:t>
      </w:r>
      <w:r w:rsidR="00ED43AD" w:rsidRPr="00B14F56">
        <w:rPr>
          <w:rFonts w:eastAsiaTheme="minorHAnsi"/>
          <w:lang w:eastAsia="en-US"/>
        </w:rPr>
        <w:t xml:space="preserve">his is </w:t>
      </w:r>
      <w:r w:rsidR="001F5239">
        <w:rPr>
          <w:rFonts w:eastAsiaTheme="minorHAnsi"/>
          <w:lang w:eastAsia="en-US"/>
        </w:rPr>
        <w:t xml:space="preserve">not least </w:t>
      </w:r>
      <w:r w:rsidR="00ED43AD" w:rsidRPr="00B14F56">
        <w:rPr>
          <w:rFonts w:eastAsiaTheme="minorHAnsi"/>
          <w:lang w:eastAsia="en-US"/>
        </w:rPr>
        <w:t xml:space="preserve">because there is little evidence that </w:t>
      </w:r>
      <w:r w:rsidR="001F5239">
        <w:rPr>
          <w:rFonts w:eastAsiaTheme="minorHAnsi"/>
          <w:lang w:eastAsia="en-US"/>
        </w:rPr>
        <w:t xml:space="preserve">the </w:t>
      </w:r>
      <w:r w:rsidR="00ED43AD" w:rsidRPr="00B14F56">
        <w:rPr>
          <w:rFonts w:eastAsiaTheme="minorHAnsi"/>
          <w:lang w:eastAsia="en-US"/>
        </w:rPr>
        <w:t xml:space="preserve">states </w:t>
      </w:r>
      <w:r w:rsidR="001F5239">
        <w:rPr>
          <w:rFonts w:eastAsiaTheme="minorHAnsi"/>
          <w:lang w:eastAsia="en-US"/>
        </w:rPr>
        <w:t xml:space="preserve">involved </w:t>
      </w:r>
      <w:r w:rsidR="00ED43AD" w:rsidRPr="00B14F56">
        <w:rPr>
          <w:rFonts w:eastAsiaTheme="minorHAnsi"/>
          <w:lang w:eastAsia="en-US"/>
        </w:rPr>
        <w:t>themselves perceive such action in these terms</w:t>
      </w:r>
      <w:r w:rsidR="001F5239">
        <w:rPr>
          <w:rFonts w:eastAsiaTheme="minorHAnsi"/>
          <w:lang w:eastAsia="en-US"/>
        </w:rPr>
        <w:t xml:space="preserve">. </w:t>
      </w:r>
      <w:r w:rsidR="00410E2C" w:rsidRPr="00B14F56">
        <w:rPr>
          <w:rFonts w:eastAsiaTheme="minorHAnsi"/>
          <w:lang w:eastAsia="en-US"/>
        </w:rPr>
        <w:t>Th</w:t>
      </w:r>
      <w:r w:rsidR="00B329F6">
        <w:rPr>
          <w:rFonts w:eastAsiaTheme="minorHAnsi"/>
          <w:lang w:eastAsia="en-US"/>
        </w:rPr>
        <w:t xml:space="preserve">e ICJ’s approach </w:t>
      </w:r>
      <w:r w:rsidR="00410E2C" w:rsidRPr="00B14F56">
        <w:rPr>
          <w:rFonts w:eastAsiaTheme="minorHAnsi"/>
          <w:lang w:eastAsia="en-US"/>
        </w:rPr>
        <w:t>also lead</w:t>
      </w:r>
      <w:r w:rsidR="00B329F6">
        <w:rPr>
          <w:rFonts w:eastAsiaTheme="minorHAnsi"/>
          <w:lang w:eastAsia="en-US"/>
        </w:rPr>
        <w:t>s</w:t>
      </w:r>
      <w:r w:rsidR="00410E2C" w:rsidRPr="00B14F56">
        <w:rPr>
          <w:rFonts w:eastAsiaTheme="minorHAnsi"/>
          <w:lang w:eastAsia="en-US"/>
        </w:rPr>
        <w:t xml:space="preserve"> to </w:t>
      </w:r>
      <w:r w:rsidR="001F5239">
        <w:rPr>
          <w:rFonts w:eastAsiaTheme="minorHAnsi"/>
          <w:lang w:eastAsia="en-US"/>
        </w:rPr>
        <w:t>a</w:t>
      </w:r>
      <w:r w:rsidR="00410E2C" w:rsidRPr="00B14F56">
        <w:rPr>
          <w:rFonts w:eastAsiaTheme="minorHAnsi"/>
          <w:lang w:eastAsia="en-US"/>
        </w:rPr>
        <w:t xml:space="preserve"> need to make hair-thin distinctions between the </w:t>
      </w:r>
      <w:r w:rsidR="00410E2C" w:rsidRPr="00C01DBD">
        <w:rPr>
          <w:rFonts w:eastAsiaTheme="minorHAnsi"/>
          <w:i/>
          <w:iCs/>
          <w:lang w:eastAsia="en-US"/>
        </w:rPr>
        <w:t>provision</w:t>
      </w:r>
      <w:r w:rsidR="00410E2C" w:rsidRPr="00B14F56">
        <w:rPr>
          <w:rFonts w:eastAsiaTheme="minorHAnsi"/>
          <w:lang w:eastAsia="en-US"/>
        </w:rPr>
        <w:t xml:space="preserve"> of weapons and </w:t>
      </w:r>
      <w:r w:rsidR="00410E2C" w:rsidRPr="00C01DBD">
        <w:rPr>
          <w:rFonts w:eastAsiaTheme="minorHAnsi"/>
          <w:i/>
          <w:iCs/>
          <w:lang w:eastAsia="en-US"/>
        </w:rPr>
        <w:t>funding</w:t>
      </w:r>
      <w:r w:rsidR="00410E2C" w:rsidRPr="00B14F56">
        <w:rPr>
          <w:rFonts w:eastAsiaTheme="minorHAnsi"/>
          <w:lang w:eastAsia="en-US"/>
        </w:rPr>
        <w:t xml:space="preserve"> for weapons,</w:t>
      </w:r>
      <w:r w:rsidR="00C01DBD">
        <w:rPr>
          <w:rFonts w:eastAsiaTheme="minorHAnsi"/>
          <w:lang w:eastAsia="en-US"/>
        </w:rPr>
        <w:t xml:space="preserve"> which I have always struggled with. It </w:t>
      </w:r>
      <w:r w:rsidR="00410E2C" w:rsidRPr="00B14F56">
        <w:rPr>
          <w:rFonts w:eastAsiaTheme="minorHAnsi"/>
          <w:lang w:eastAsia="en-US"/>
        </w:rPr>
        <w:t xml:space="preserve">potentially could risk </w:t>
      </w:r>
      <w:r w:rsidR="009C3BC1">
        <w:rPr>
          <w:rFonts w:eastAsiaTheme="minorHAnsi"/>
          <w:lang w:eastAsia="en-US"/>
        </w:rPr>
        <w:t xml:space="preserve">unnecessary </w:t>
      </w:r>
      <w:r w:rsidR="00410E2C" w:rsidRPr="00B14F56">
        <w:rPr>
          <w:rFonts w:eastAsiaTheme="minorHAnsi"/>
          <w:lang w:eastAsia="en-US"/>
        </w:rPr>
        <w:t>escalation</w:t>
      </w:r>
      <w:r w:rsidR="00C01DBD">
        <w:rPr>
          <w:rFonts w:eastAsiaTheme="minorHAnsi"/>
          <w:lang w:eastAsia="en-US"/>
        </w:rPr>
        <w:t>,</w:t>
      </w:r>
      <w:r w:rsidR="00410E2C" w:rsidRPr="00B14F56">
        <w:rPr>
          <w:rFonts w:eastAsiaTheme="minorHAnsi"/>
          <w:lang w:eastAsia="en-US"/>
        </w:rPr>
        <w:t xml:space="preserve"> </w:t>
      </w:r>
      <w:r w:rsidR="009C3BC1">
        <w:rPr>
          <w:rFonts w:eastAsiaTheme="minorHAnsi"/>
          <w:lang w:eastAsia="en-US"/>
        </w:rPr>
        <w:t xml:space="preserve">too, </w:t>
      </w:r>
      <w:r w:rsidR="00410E2C" w:rsidRPr="00B14F56">
        <w:rPr>
          <w:rFonts w:eastAsiaTheme="minorHAnsi"/>
          <w:lang w:eastAsia="en-US"/>
        </w:rPr>
        <w:t xml:space="preserve">when considered as a </w:t>
      </w:r>
      <w:r w:rsidR="00632D51">
        <w:rPr>
          <w:rFonts w:eastAsiaTheme="minorHAnsi"/>
          <w:lang w:eastAsia="en-US"/>
        </w:rPr>
        <w:t>matter</w:t>
      </w:r>
      <w:r w:rsidR="00410E2C" w:rsidRPr="00B14F56">
        <w:rPr>
          <w:rFonts w:eastAsiaTheme="minorHAnsi"/>
          <w:lang w:eastAsia="en-US"/>
        </w:rPr>
        <w:t xml:space="preserve"> of policy</w:t>
      </w:r>
      <w:r w:rsidR="00C01DBD">
        <w:rPr>
          <w:rFonts w:eastAsiaTheme="minorHAnsi"/>
          <w:lang w:eastAsia="en-US"/>
        </w:rPr>
        <w:t>,</w:t>
      </w:r>
      <w:r w:rsidR="00632D51">
        <w:rPr>
          <w:rFonts w:eastAsiaTheme="minorHAnsi"/>
          <w:lang w:eastAsia="en-US"/>
        </w:rPr>
        <w:t xml:space="preserve"> because it at least may create the perception (if </w:t>
      </w:r>
      <w:r w:rsidR="009C3BC1">
        <w:rPr>
          <w:rFonts w:eastAsiaTheme="minorHAnsi"/>
          <w:lang w:eastAsia="en-US"/>
        </w:rPr>
        <w:t>likely</w:t>
      </w:r>
      <w:r w:rsidR="00632D51">
        <w:rPr>
          <w:rFonts w:eastAsiaTheme="minorHAnsi"/>
          <w:lang w:eastAsia="en-US"/>
        </w:rPr>
        <w:t xml:space="preserve"> not the legal reality) that NATO states are party to the conflict</w:t>
      </w:r>
      <w:r w:rsidR="00410E2C" w:rsidRPr="00B14F56">
        <w:rPr>
          <w:rFonts w:eastAsiaTheme="minorHAnsi"/>
          <w:lang w:eastAsia="en-US"/>
        </w:rPr>
        <w:t>.</w:t>
      </w:r>
    </w:p>
    <w:p w14:paraId="1B2E5D76" w14:textId="3C928A6A" w:rsidR="00ED43AD" w:rsidRDefault="00BD30DF" w:rsidP="001A18A8">
      <w:pPr>
        <w:spacing w:line="360" w:lineRule="auto"/>
        <w:ind w:firstLine="720"/>
        <w:jc w:val="both"/>
        <w:rPr>
          <w:rFonts w:eastAsiaTheme="minorHAnsi"/>
          <w:lang w:eastAsia="en-US"/>
        </w:rPr>
      </w:pPr>
      <w:r w:rsidRPr="00B14F56">
        <w:rPr>
          <w:rFonts w:eastAsiaTheme="minorHAnsi"/>
          <w:lang w:eastAsia="en-US"/>
        </w:rPr>
        <w:t xml:space="preserve">That said, my view </w:t>
      </w:r>
      <w:r w:rsidR="0090393E">
        <w:rPr>
          <w:rFonts w:eastAsiaTheme="minorHAnsi"/>
          <w:lang w:eastAsia="en-US"/>
        </w:rPr>
        <w:t>on the question of whether the provision of weapons/support is a use of force (in regard to Ukraine or generally)</w:t>
      </w:r>
      <w:r w:rsidRPr="00B14F56">
        <w:rPr>
          <w:rFonts w:eastAsiaTheme="minorHAnsi"/>
          <w:lang w:eastAsia="en-US"/>
        </w:rPr>
        <w:t xml:space="preserve"> is certainly open to question</w:t>
      </w:r>
      <w:r w:rsidR="0090393E">
        <w:rPr>
          <w:rFonts w:eastAsiaTheme="minorHAnsi"/>
          <w:lang w:eastAsia="en-US"/>
        </w:rPr>
        <w:t xml:space="preserve">. </w:t>
      </w:r>
      <w:r w:rsidR="00D55265">
        <w:rPr>
          <w:rFonts w:eastAsiaTheme="minorHAnsi"/>
          <w:lang w:eastAsia="en-US"/>
        </w:rPr>
        <w:t xml:space="preserve">Even leaving aside the ICJ’s view and the </w:t>
      </w:r>
      <w:r w:rsidR="00C34E9B">
        <w:rPr>
          <w:rFonts w:eastAsiaTheme="minorHAnsi"/>
          <w:lang w:eastAsia="en-US"/>
        </w:rPr>
        <w:t>general</w:t>
      </w:r>
      <w:r w:rsidR="00D55265">
        <w:rPr>
          <w:rFonts w:eastAsiaTheme="minorHAnsi"/>
          <w:lang w:eastAsia="en-US"/>
        </w:rPr>
        <w:t xml:space="preserve"> acceptance of it in scholarship, </w:t>
      </w:r>
      <w:r w:rsidRPr="003922A0">
        <w:rPr>
          <w:rFonts w:eastAsiaTheme="minorHAnsi"/>
          <w:lang w:eastAsia="en-US"/>
        </w:rPr>
        <w:t>the state practice can hardly be said to be entirely clear in this regard.</w:t>
      </w:r>
      <w:r w:rsidR="002D7047" w:rsidRPr="003922A0">
        <w:rPr>
          <w:rFonts w:eastAsiaTheme="minorHAnsi"/>
          <w:lang w:eastAsia="en-US"/>
        </w:rPr>
        <w:t xml:space="preserve"> </w:t>
      </w:r>
      <w:r w:rsidR="00641359" w:rsidRPr="003922A0">
        <w:rPr>
          <w:rFonts w:eastAsiaTheme="minorHAnsi"/>
          <w:lang w:eastAsia="en-US"/>
        </w:rPr>
        <w:t xml:space="preserve">There is </w:t>
      </w:r>
      <w:r w:rsidR="0090393E">
        <w:rPr>
          <w:rFonts w:eastAsiaTheme="minorHAnsi"/>
          <w:lang w:eastAsia="en-US"/>
        </w:rPr>
        <w:t xml:space="preserve">thus </w:t>
      </w:r>
      <w:r w:rsidR="00641359" w:rsidRPr="003922A0">
        <w:rPr>
          <w:rFonts w:eastAsiaTheme="minorHAnsi"/>
          <w:lang w:eastAsia="en-US"/>
        </w:rPr>
        <w:t xml:space="preserve">no question that the conclusion reached by </w:t>
      </w:r>
      <w:r w:rsidR="002D7047" w:rsidRPr="003922A0">
        <w:rPr>
          <w:rFonts w:eastAsiaTheme="minorHAnsi"/>
          <w:lang w:eastAsia="en-US"/>
        </w:rPr>
        <w:t xml:space="preserve">Heller and </w:t>
      </w:r>
      <w:proofErr w:type="spellStart"/>
      <w:r w:rsidR="00641359" w:rsidRPr="003922A0">
        <w:t>Trabucco</w:t>
      </w:r>
      <w:proofErr w:type="spellEnd"/>
      <w:r w:rsidR="00641359" w:rsidRPr="003922A0">
        <w:t xml:space="preserve"> </w:t>
      </w:r>
      <w:r w:rsidR="00C34E9B" w:rsidRPr="00C34E9B">
        <w:rPr>
          <w:i/>
          <w:iCs/>
        </w:rPr>
        <w:t>et al</w:t>
      </w:r>
      <w:r w:rsidR="0090393E">
        <w:t xml:space="preserve"> </w:t>
      </w:r>
      <w:r w:rsidR="002D7047" w:rsidRPr="003922A0">
        <w:rPr>
          <w:rFonts w:eastAsiaTheme="minorHAnsi"/>
          <w:lang w:eastAsia="en-US"/>
        </w:rPr>
        <w:t>on this</w:t>
      </w:r>
      <w:r w:rsidR="0090393E">
        <w:rPr>
          <w:rFonts w:eastAsiaTheme="minorHAnsi"/>
          <w:lang w:eastAsia="en-US"/>
        </w:rPr>
        <w:t xml:space="preserve"> point</w:t>
      </w:r>
      <w:r w:rsidR="002D7047" w:rsidRPr="003922A0">
        <w:rPr>
          <w:rFonts w:eastAsiaTheme="minorHAnsi"/>
          <w:lang w:eastAsia="en-US"/>
        </w:rPr>
        <w:t xml:space="preserve"> can be defended</w:t>
      </w:r>
      <w:r w:rsidR="0090393E">
        <w:rPr>
          <w:rFonts w:eastAsiaTheme="minorHAnsi"/>
          <w:lang w:eastAsia="en-US"/>
        </w:rPr>
        <w:t xml:space="preserve">: </w:t>
      </w:r>
      <w:r w:rsidR="002D7047" w:rsidRPr="003922A0">
        <w:rPr>
          <w:rFonts w:eastAsiaTheme="minorHAnsi"/>
          <w:lang w:eastAsia="en-US"/>
        </w:rPr>
        <w:t xml:space="preserve">as </w:t>
      </w:r>
      <w:r w:rsidR="003922A0" w:rsidRPr="003922A0">
        <w:t xml:space="preserve">Kreß </w:t>
      </w:r>
      <w:r w:rsidR="000105C8">
        <w:rPr>
          <w:rFonts w:eastAsiaTheme="minorHAnsi"/>
          <w:lang w:eastAsia="en-US"/>
        </w:rPr>
        <w:t>put</w:t>
      </w:r>
      <w:r w:rsidR="009679C7">
        <w:rPr>
          <w:rFonts w:eastAsiaTheme="minorHAnsi"/>
          <w:lang w:eastAsia="en-US"/>
        </w:rPr>
        <w:t xml:space="preserve"> it mildly</w:t>
      </w:r>
      <w:r w:rsidR="002D7047" w:rsidRPr="00B14F56">
        <w:rPr>
          <w:rFonts w:eastAsiaTheme="minorHAnsi"/>
          <w:lang w:eastAsia="en-US"/>
        </w:rPr>
        <w:t xml:space="preserve"> in the passage </w:t>
      </w:r>
      <w:r w:rsidR="00CE07E5">
        <w:rPr>
          <w:rFonts w:eastAsiaTheme="minorHAnsi"/>
          <w:lang w:eastAsia="en-US"/>
        </w:rPr>
        <w:t xml:space="preserve">that </w:t>
      </w:r>
      <w:r w:rsidR="000105C8">
        <w:rPr>
          <w:rFonts w:eastAsiaTheme="minorHAnsi"/>
          <w:lang w:eastAsia="en-US"/>
        </w:rPr>
        <w:t xml:space="preserve">I </w:t>
      </w:r>
      <w:r w:rsidR="002D7047" w:rsidRPr="00B14F56">
        <w:rPr>
          <w:rFonts w:eastAsiaTheme="minorHAnsi"/>
          <w:lang w:eastAsia="en-US"/>
        </w:rPr>
        <w:t xml:space="preserve">quoted </w:t>
      </w:r>
      <w:r w:rsidR="002D7047" w:rsidRPr="000105C8">
        <w:rPr>
          <w:rFonts w:eastAsiaTheme="minorHAnsi"/>
          <w:lang w:eastAsia="en-US"/>
        </w:rPr>
        <w:t>previously</w:t>
      </w:r>
      <w:r w:rsidR="000105C8" w:rsidRPr="000105C8">
        <w:rPr>
          <w:rFonts w:eastAsiaTheme="minorHAnsi"/>
          <w:lang w:eastAsia="en-US"/>
        </w:rPr>
        <w:t xml:space="preserve">, </w:t>
      </w:r>
      <w:r w:rsidR="000105C8" w:rsidRPr="000105C8">
        <w:t>‘[t]he delineation in question is not crystal clear</w:t>
      </w:r>
      <w:r w:rsidR="002D7047" w:rsidRPr="000105C8">
        <w:rPr>
          <w:rFonts w:eastAsiaTheme="minorHAnsi"/>
          <w:lang w:eastAsia="en-US"/>
        </w:rPr>
        <w:t>.</w:t>
      </w:r>
      <w:r w:rsidR="000105C8" w:rsidRPr="001A18A8">
        <w:rPr>
          <w:rFonts w:eastAsiaTheme="minorHAnsi"/>
          <w:lang w:eastAsia="en-US"/>
        </w:rPr>
        <w:t>’</w:t>
      </w:r>
      <w:r w:rsidR="000105C8" w:rsidRPr="001A18A8">
        <w:rPr>
          <w:rStyle w:val="FootnoteReference"/>
          <w:rFonts w:eastAsiaTheme="minorHAnsi"/>
          <w:lang w:eastAsia="en-US"/>
        </w:rPr>
        <w:footnoteReference w:id="80"/>
      </w:r>
      <w:r w:rsidR="002D7047" w:rsidRPr="001A18A8">
        <w:rPr>
          <w:rFonts w:eastAsiaTheme="minorHAnsi"/>
          <w:lang w:eastAsia="en-US"/>
        </w:rPr>
        <w:t xml:space="preserve"> As such, I suppose my issue was </w:t>
      </w:r>
      <w:r w:rsidR="00CE07E5">
        <w:rPr>
          <w:rFonts w:eastAsiaTheme="minorHAnsi"/>
          <w:lang w:eastAsia="en-US"/>
        </w:rPr>
        <w:t xml:space="preserve">not that </w:t>
      </w:r>
      <w:r w:rsidR="002D7047" w:rsidRPr="001A18A8">
        <w:rPr>
          <w:rFonts w:eastAsiaTheme="minorHAnsi"/>
          <w:lang w:eastAsia="en-US"/>
        </w:rPr>
        <w:t xml:space="preserve">Heller and </w:t>
      </w:r>
      <w:proofErr w:type="spellStart"/>
      <w:r w:rsidR="00234344" w:rsidRPr="001A18A8">
        <w:t>Trabucco</w:t>
      </w:r>
      <w:proofErr w:type="spellEnd"/>
      <w:r w:rsidR="002D7047" w:rsidRPr="001A18A8">
        <w:rPr>
          <w:rFonts w:eastAsiaTheme="minorHAnsi"/>
          <w:lang w:eastAsia="en-US"/>
        </w:rPr>
        <w:t xml:space="preserve"> </w:t>
      </w:r>
      <w:r w:rsidR="00CE07E5">
        <w:rPr>
          <w:rFonts w:eastAsiaTheme="minorHAnsi"/>
          <w:lang w:eastAsia="en-US"/>
        </w:rPr>
        <w:t>reached the conclusion that they did</w:t>
      </w:r>
      <w:r w:rsidR="00C34E9B">
        <w:rPr>
          <w:rFonts w:eastAsiaTheme="minorHAnsi"/>
          <w:lang w:eastAsia="en-US"/>
        </w:rPr>
        <w:t xml:space="preserve"> on this point</w:t>
      </w:r>
      <w:r w:rsidR="00CE07E5">
        <w:rPr>
          <w:rFonts w:eastAsiaTheme="minorHAnsi"/>
          <w:lang w:eastAsia="en-US"/>
        </w:rPr>
        <w:t>, but that they did so with such</w:t>
      </w:r>
      <w:r w:rsidR="00CE07E5" w:rsidRPr="001A18A8">
        <w:rPr>
          <w:rFonts w:eastAsiaTheme="minorHAnsi"/>
          <w:lang w:eastAsia="en-US"/>
        </w:rPr>
        <w:t xml:space="preserve"> certainty and brevity</w:t>
      </w:r>
      <w:r w:rsidR="00C34E9B">
        <w:rPr>
          <w:rFonts w:eastAsiaTheme="minorHAnsi"/>
          <w:lang w:eastAsia="en-US"/>
        </w:rPr>
        <w:t xml:space="preserve"> –</w:t>
      </w:r>
      <w:r w:rsidR="00234344" w:rsidRPr="001A18A8">
        <w:rPr>
          <w:rFonts w:eastAsiaTheme="minorHAnsi"/>
          <w:lang w:eastAsia="en-US"/>
        </w:rPr>
        <w:t xml:space="preserve"> given that for me it remains far from </w:t>
      </w:r>
      <w:r w:rsidR="0032380F">
        <w:rPr>
          <w:rFonts w:eastAsiaTheme="minorHAnsi"/>
          <w:lang w:eastAsia="en-US"/>
        </w:rPr>
        <w:t xml:space="preserve">a straightforward </w:t>
      </w:r>
      <w:r w:rsidR="008C685D">
        <w:rPr>
          <w:rFonts w:eastAsiaTheme="minorHAnsi"/>
          <w:lang w:eastAsia="en-US"/>
        </w:rPr>
        <w:t>matter</w:t>
      </w:r>
      <w:r w:rsidR="00234344" w:rsidRPr="001A18A8">
        <w:rPr>
          <w:rFonts w:eastAsiaTheme="minorHAnsi"/>
          <w:lang w:eastAsia="en-US"/>
        </w:rPr>
        <w:t>.</w:t>
      </w:r>
      <w:r w:rsidR="001A18A8" w:rsidRPr="001A18A8">
        <w:rPr>
          <w:rFonts w:eastAsiaTheme="minorHAnsi"/>
          <w:lang w:eastAsia="en-US"/>
        </w:rPr>
        <w:t xml:space="preserve"> On balance, my</w:t>
      </w:r>
      <w:r w:rsidR="00ED43AD" w:rsidRPr="001A18A8">
        <w:rPr>
          <w:rFonts w:eastAsiaTheme="minorHAnsi"/>
          <w:lang w:eastAsia="en-US"/>
        </w:rPr>
        <w:t xml:space="preserve"> </w:t>
      </w:r>
      <w:r w:rsidR="00C34E9B">
        <w:rPr>
          <w:rFonts w:eastAsiaTheme="minorHAnsi"/>
          <w:lang w:eastAsia="en-US"/>
        </w:rPr>
        <w:t xml:space="preserve">own </w:t>
      </w:r>
      <w:r w:rsidR="00ED43AD" w:rsidRPr="001A18A8">
        <w:rPr>
          <w:rFonts w:eastAsiaTheme="minorHAnsi"/>
          <w:lang w:eastAsia="en-US"/>
        </w:rPr>
        <w:t xml:space="preserve">view </w:t>
      </w:r>
      <w:r w:rsidR="0032380F">
        <w:rPr>
          <w:rFonts w:eastAsiaTheme="minorHAnsi"/>
          <w:lang w:eastAsia="en-US"/>
        </w:rPr>
        <w:t>is</w:t>
      </w:r>
      <w:r w:rsidR="001A18A8" w:rsidRPr="001A18A8">
        <w:rPr>
          <w:rFonts w:eastAsiaTheme="minorHAnsi"/>
          <w:lang w:eastAsia="en-US"/>
        </w:rPr>
        <w:t xml:space="preserve"> that </w:t>
      </w:r>
      <w:r w:rsidR="00C34E9B">
        <w:rPr>
          <w:rFonts w:eastAsiaTheme="minorHAnsi"/>
          <w:lang w:eastAsia="en-US"/>
        </w:rPr>
        <w:t xml:space="preserve">the current provision </w:t>
      </w:r>
      <w:r w:rsidR="001A18A8" w:rsidRPr="001A18A8">
        <w:rPr>
          <w:rFonts w:eastAsiaTheme="minorHAnsi"/>
          <w:lang w:eastAsia="en-US"/>
        </w:rPr>
        <w:t xml:space="preserve">weapons and </w:t>
      </w:r>
      <w:r w:rsidR="001A18A8" w:rsidRPr="001A18A8">
        <w:rPr>
          <w:rFonts w:eastAsiaTheme="minorHAnsi"/>
          <w:lang w:eastAsia="en-US"/>
        </w:rPr>
        <w:lastRenderedPageBreak/>
        <w:t xml:space="preserve">logistical support to Ukraine does not amount to an </w:t>
      </w:r>
      <w:r w:rsidR="001A18A8" w:rsidRPr="001A18A8">
        <w:rPr>
          <w:rFonts w:eastAsiaTheme="minorHAnsi"/>
          <w:i/>
          <w:iCs/>
          <w:lang w:eastAsia="en-US"/>
        </w:rPr>
        <w:t>ad bellum</w:t>
      </w:r>
      <w:r w:rsidR="00ED43AD" w:rsidRPr="001A18A8">
        <w:rPr>
          <w:rFonts w:eastAsiaTheme="minorHAnsi"/>
          <w:lang w:eastAsia="en-US"/>
        </w:rPr>
        <w:t xml:space="preserve"> use of force, and thus </w:t>
      </w:r>
      <w:r w:rsidR="001A18A8" w:rsidRPr="001A18A8">
        <w:rPr>
          <w:rFonts w:eastAsiaTheme="minorHAnsi"/>
          <w:lang w:eastAsia="en-US"/>
        </w:rPr>
        <w:t xml:space="preserve">that action </w:t>
      </w:r>
      <w:r w:rsidR="00ED43AD" w:rsidRPr="001A18A8">
        <w:rPr>
          <w:rFonts w:eastAsiaTheme="minorHAnsi"/>
          <w:lang w:eastAsia="en-US"/>
        </w:rPr>
        <w:t xml:space="preserve">need not be (and, </w:t>
      </w:r>
      <w:r w:rsidR="001A18A8" w:rsidRPr="001A18A8">
        <w:rPr>
          <w:rFonts w:eastAsiaTheme="minorHAnsi"/>
          <w:lang w:eastAsia="en-US"/>
        </w:rPr>
        <w:t>arguably</w:t>
      </w:r>
      <w:r w:rsidR="0078233E">
        <w:rPr>
          <w:rFonts w:eastAsiaTheme="minorHAnsi"/>
          <w:lang w:eastAsia="en-US"/>
        </w:rPr>
        <w:t>,</w:t>
      </w:r>
      <w:r w:rsidR="001A18A8" w:rsidRPr="001A18A8">
        <w:rPr>
          <w:rFonts w:eastAsiaTheme="minorHAnsi"/>
          <w:lang w:eastAsia="en-US"/>
        </w:rPr>
        <w:t xml:space="preserve"> </w:t>
      </w:r>
      <w:r w:rsidR="00ED43AD" w:rsidRPr="001A18A8">
        <w:rPr>
          <w:rFonts w:eastAsiaTheme="minorHAnsi"/>
          <w:i/>
          <w:iCs/>
          <w:lang w:eastAsia="en-US"/>
        </w:rPr>
        <w:t>cannot</w:t>
      </w:r>
      <w:r w:rsidR="00ED43AD" w:rsidRPr="001A18A8">
        <w:rPr>
          <w:rFonts w:eastAsiaTheme="minorHAnsi"/>
          <w:lang w:eastAsia="en-US"/>
        </w:rPr>
        <w:t xml:space="preserve"> be) an instance of collective self-defence</w:t>
      </w:r>
      <w:r w:rsidR="008B3B4B">
        <w:rPr>
          <w:rFonts w:eastAsiaTheme="minorHAnsi"/>
          <w:lang w:eastAsia="en-US"/>
        </w:rPr>
        <w:t xml:space="preserve"> either</w:t>
      </w:r>
      <w:r w:rsidR="00ED43AD" w:rsidRPr="001A18A8">
        <w:rPr>
          <w:rFonts w:eastAsiaTheme="minorHAnsi"/>
          <w:lang w:eastAsia="en-US"/>
        </w:rPr>
        <w:t>.</w:t>
      </w:r>
      <w:r w:rsidR="00ED43AD" w:rsidRPr="00B14F56">
        <w:rPr>
          <w:rFonts w:eastAsiaTheme="minorHAnsi"/>
          <w:lang w:eastAsia="en-US"/>
        </w:rPr>
        <w:t xml:space="preserve"> </w:t>
      </w:r>
    </w:p>
    <w:p w14:paraId="088CD326" w14:textId="3B096B8C" w:rsidR="007C67CA" w:rsidRDefault="007C67CA" w:rsidP="007C67CA">
      <w:pPr>
        <w:spacing w:line="360" w:lineRule="auto"/>
        <w:jc w:val="both"/>
        <w:rPr>
          <w:rFonts w:eastAsiaTheme="minorHAnsi"/>
          <w:lang w:eastAsia="en-US"/>
        </w:rPr>
      </w:pPr>
    </w:p>
    <w:p w14:paraId="736FA1F0" w14:textId="1B1DEDCD" w:rsidR="007C67CA" w:rsidRDefault="007C67CA" w:rsidP="007C67CA">
      <w:pPr>
        <w:spacing w:line="360" w:lineRule="auto"/>
        <w:jc w:val="both"/>
        <w:rPr>
          <w:rFonts w:eastAsiaTheme="minorHAnsi"/>
          <w:lang w:eastAsia="en-US"/>
        </w:rPr>
      </w:pPr>
    </w:p>
    <w:p w14:paraId="6638A4DE" w14:textId="77777777" w:rsidR="007C67CA" w:rsidRDefault="007C67CA" w:rsidP="007C67CA">
      <w:pPr>
        <w:spacing w:line="360" w:lineRule="auto"/>
        <w:jc w:val="both"/>
        <w:rPr>
          <w:rFonts w:eastAsiaTheme="minorHAnsi"/>
          <w:lang w:eastAsia="en-US"/>
        </w:rPr>
      </w:pPr>
    </w:p>
    <w:p w14:paraId="46735F75" w14:textId="448E1DE7" w:rsidR="007C67CA" w:rsidRPr="007C67CA" w:rsidRDefault="007C67CA" w:rsidP="007C67CA">
      <w:pPr>
        <w:spacing w:line="360" w:lineRule="auto"/>
        <w:jc w:val="both"/>
        <w:rPr>
          <w:rFonts w:eastAsiaTheme="minorHAnsi"/>
          <w:b/>
          <w:bCs/>
          <w:lang w:eastAsia="en-US"/>
        </w:rPr>
      </w:pPr>
      <w:r w:rsidRPr="007C67CA">
        <w:rPr>
          <w:rFonts w:eastAsiaTheme="minorHAnsi"/>
          <w:b/>
          <w:bCs/>
          <w:lang w:eastAsia="en-US"/>
        </w:rPr>
        <w:t>Acknowledgements</w:t>
      </w:r>
    </w:p>
    <w:p w14:paraId="7DD9D64C" w14:textId="28FF1C92" w:rsidR="007C67CA" w:rsidRDefault="007C67CA" w:rsidP="007C67CA">
      <w:pPr>
        <w:spacing w:line="360" w:lineRule="auto"/>
        <w:jc w:val="both"/>
        <w:rPr>
          <w:rFonts w:eastAsiaTheme="minorHAnsi"/>
          <w:lang w:eastAsia="en-US"/>
        </w:rPr>
      </w:pPr>
    </w:p>
    <w:p w14:paraId="5DF7C35C" w14:textId="23DF96E5" w:rsidR="007C67CA" w:rsidRPr="00B14F56" w:rsidRDefault="00F85FD3" w:rsidP="007C67CA">
      <w:pPr>
        <w:spacing w:line="360" w:lineRule="auto"/>
        <w:jc w:val="both"/>
        <w:rPr>
          <w:rFonts w:eastAsiaTheme="minorHAnsi"/>
          <w:lang w:eastAsia="en-US"/>
        </w:rPr>
      </w:pPr>
      <w:r>
        <w:rPr>
          <w:rFonts w:eastAsiaTheme="minorHAnsi"/>
          <w:lang w:eastAsia="en-US"/>
        </w:rPr>
        <w:t xml:space="preserve">This editorial includes some </w:t>
      </w:r>
      <w:r w:rsidR="001C7B64">
        <w:rPr>
          <w:rFonts w:eastAsiaTheme="minorHAnsi"/>
          <w:lang w:eastAsia="en-US"/>
        </w:rPr>
        <w:t>material</w:t>
      </w:r>
      <w:r>
        <w:rPr>
          <w:rFonts w:eastAsiaTheme="minorHAnsi"/>
          <w:lang w:eastAsia="en-US"/>
        </w:rPr>
        <w:t xml:space="preserve"> that was </w:t>
      </w:r>
      <w:r w:rsidR="001C7B64">
        <w:rPr>
          <w:rFonts w:eastAsiaTheme="minorHAnsi"/>
          <w:lang w:eastAsia="en-US"/>
        </w:rPr>
        <w:t>developed</w:t>
      </w:r>
      <w:r>
        <w:rPr>
          <w:rFonts w:eastAsiaTheme="minorHAnsi"/>
          <w:lang w:eastAsia="en-US"/>
        </w:rPr>
        <w:t xml:space="preserve"> while I was funded by a </w:t>
      </w:r>
      <w:r>
        <w:t>British Academy Mid-Career Fellowship [</w:t>
      </w:r>
      <w:r w:rsidRPr="004365EB">
        <w:t>MF21\210131</w:t>
      </w:r>
      <w:r>
        <w:t>]</w:t>
      </w:r>
      <w:r w:rsidR="001C7B64">
        <w:t xml:space="preserve"> to undertake a project entitled ‘Collective Self-Defence in International Law’. I</w:t>
      </w:r>
      <w:r>
        <w:t xml:space="preserve"> gratefully acknowledge</w:t>
      </w:r>
      <w:r w:rsidR="001C7B64">
        <w:t xml:space="preserve"> that funding from the British Academy. </w:t>
      </w:r>
      <w:r w:rsidR="001C7B64">
        <w:rPr>
          <w:rFonts w:eastAsiaTheme="minorHAnsi"/>
          <w:lang w:eastAsia="en-US"/>
        </w:rPr>
        <w:t>Thanks go to my fellow editor-in-chief, Tom Ruys, for the helpful comments that he provided on an initial draft of this editorial.</w:t>
      </w:r>
    </w:p>
    <w:p w14:paraId="49AC82DB" w14:textId="77777777" w:rsidR="00F466B0" w:rsidRPr="00B14F56" w:rsidRDefault="00F466B0" w:rsidP="00B14F56">
      <w:pPr>
        <w:spacing w:line="360" w:lineRule="auto"/>
        <w:jc w:val="both"/>
      </w:pPr>
    </w:p>
    <w:sectPr w:rsidR="00F466B0" w:rsidRPr="00B14F5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CBB6" w14:textId="77777777" w:rsidR="00CF5DAA" w:rsidRDefault="00CF5DAA" w:rsidP="00ED43AD">
      <w:r>
        <w:separator/>
      </w:r>
    </w:p>
  </w:endnote>
  <w:endnote w:type="continuationSeparator" w:id="0">
    <w:p w14:paraId="17B4E71F" w14:textId="77777777" w:rsidR="00CF5DAA" w:rsidRDefault="00CF5DAA" w:rsidP="00ED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734649"/>
      <w:docPartObj>
        <w:docPartGallery w:val="Page Numbers (Bottom of Page)"/>
        <w:docPartUnique/>
      </w:docPartObj>
    </w:sdtPr>
    <w:sdtEndPr>
      <w:rPr>
        <w:noProof/>
      </w:rPr>
    </w:sdtEndPr>
    <w:sdtContent>
      <w:p w14:paraId="6AFF5644" w14:textId="39E10462" w:rsidR="00A1555A" w:rsidRDefault="00A1555A">
        <w:pPr>
          <w:pStyle w:val="Footer"/>
          <w:jc w:val="center"/>
        </w:pPr>
        <w:r>
          <w:fldChar w:fldCharType="begin"/>
        </w:r>
        <w:r>
          <w:instrText xml:space="preserve"> PAGE   \* MERGEFORMAT </w:instrText>
        </w:r>
        <w:r>
          <w:fldChar w:fldCharType="separate"/>
        </w:r>
        <w:r w:rsidR="000A13F8">
          <w:rPr>
            <w:noProof/>
          </w:rPr>
          <w:t>14</w:t>
        </w:r>
        <w:r>
          <w:rPr>
            <w:noProof/>
          </w:rPr>
          <w:fldChar w:fldCharType="end"/>
        </w:r>
      </w:p>
    </w:sdtContent>
  </w:sdt>
  <w:p w14:paraId="4538FA46" w14:textId="77777777" w:rsidR="00A1555A" w:rsidRDefault="00A15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7D9F1" w14:textId="77777777" w:rsidR="00CF5DAA" w:rsidRDefault="00CF5DAA" w:rsidP="00ED43AD">
      <w:r>
        <w:separator/>
      </w:r>
    </w:p>
  </w:footnote>
  <w:footnote w:type="continuationSeparator" w:id="0">
    <w:p w14:paraId="2DA13172" w14:textId="77777777" w:rsidR="00CF5DAA" w:rsidRDefault="00CF5DAA" w:rsidP="00ED43AD">
      <w:r>
        <w:continuationSeparator/>
      </w:r>
    </w:p>
  </w:footnote>
  <w:footnote w:id="1">
    <w:p w14:paraId="7103502D" w14:textId="5268635F" w:rsidR="005F4AD8" w:rsidRPr="0094085B" w:rsidRDefault="005F4AD8" w:rsidP="0094085B">
      <w:pPr>
        <w:pStyle w:val="FootnoteText"/>
        <w:jc w:val="both"/>
      </w:pPr>
      <w:r w:rsidRPr="0094085B">
        <w:rPr>
          <w:rStyle w:val="FootnoteReference"/>
        </w:rPr>
        <w:sym w:font="Symbol" w:char="F02A"/>
      </w:r>
      <w:r w:rsidRPr="0094085B">
        <w:t xml:space="preserve"> All websites accessed 2</w:t>
      </w:r>
      <w:r w:rsidR="0086542D" w:rsidRPr="0094085B">
        <w:t>9</w:t>
      </w:r>
      <w:r w:rsidRPr="0094085B">
        <w:rPr>
          <w:vertAlign w:val="superscript"/>
        </w:rPr>
        <w:t xml:space="preserve"> </w:t>
      </w:r>
      <w:r w:rsidRPr="0094085B">
        <w:t>March 202</w:t>
      </w:r>
      <w:r w:rsidR="005B6DDC" w:rsidRPr="0094085B">
        <w:t>3</w:t>
      </w:r>
      <w:r w:rsidRPr="0094085B">
        <w:t>.</w:t>
      </w:r>
    </w:p>
  </w:footnote>
  <w:footnote w:id="2">
    <w:p w14:paraId="0E832DA2" w14:textId="77777777" w:rsidR="008E6861" w:rsidRPr="0094085B" w:rsidRDefault="008E6861" w:rsidP="0094085B">
      <w:pPr>
        <w:pStyle w:val="FootnoteText"/>
        <w:jc w:val="both"/>
      </w:pPr>
      <w:r w:rsidRPr="0094085B">
        <w:rPr>
          <w:rStyle w:val="FootnoteReference"/>
        </w:rPr>
        <w:footnoteRef/>
      </w:r>
      <w:r w:rsidRPr="0094085B">
        <w:t xml:space="preserve"> ‘Russia invades Ukraine’, </w:t>
      </w:r>
      <w:r w:rsidRPr="0094085B">
        <w:rPr>
          <w:i/>
          <w:iCs/>
        </w:rPr>
        <w:t>The Economist</w:t>
      </w:r>
      <w:r w:rsidRPr="0094085B">
        <w:t xml:space="preserve"> (24 February 2022) </w:t>
      </w:r>
      <w:hyperlink r:id="rId1" w:history="1">
        <w:r w:rsidRPr="0094085B">
          <w:rPr>
            <w:rStyle w:val="Hyperlink"/>
          </w:rPr>
          <w:t>www.economist.com/europe/2022/02/24/russia-invades-ukraine</w:t>
        </w:r>
      </w:hyperlink>
      <w:r w:rsidRPr="0094085B">
        <w:t xml:space="preserve">. </w:t>
      </w:r>
    </w:p>
  </w:footnote>
  <w:footnote w:id="3">
    <w:p w14:paraId="481BEC38" w14:textId="59A2B0CF" w:rsidR="00ED43AD" w:rsidRPr="0094085B" w:rsidRDefault="00ED43AD" w:rsidP="0094085B">
      <w:pPr>
        <w:jc w:val="both"/>
        <w:rPr>
          <w:sz w:val="20"/>
          <w:szCs w:val="20"/>
        </w:rPr>
      </w:pPr>
      <w:r w:rsidRPr="0094085B">
        <w:rPr>
          <w:rStyle w:val="FootnoteReference"/>
          <w:sz w:val="20"/>
          <w:szCs w:val="20"/>
        </w:rPr>
        <w:footnoteRef/>
      </w:r>
      <w:r w:rsidRPr="0094085B">
        <w:rPr>
          <w:sz w:val="20"/>
          <w:szCs w:val="20"/>
        </w:rPr>
        <w:t xml:space="preserve"> See</w:t>
      </w:r>
      <w:r w:rsidR="0018404A" w:rsidRPr="0094085B">
        <w:rPr>
          <w:sz w:val="20"/>
          <w:szCs w:val="20"/>
        </w:rPr>
        <w:t xml:space="preserve"> </w:t>
      </w:r>
      <w:r w:rsidRPr="0094085B">
        <w:rPr>
          <w:sz w:val="20"/>
          <w:szCs w:val="20"/>
        </w:rPr>
        <w:t xml:space="preserve">Claire Mills, ‘Military Assistance to Ukraine Since the Russian Invasion’ </w:t>
      </w:r>
      <w:r w:rsidRPr="0094085B">
        <w:rPr>
          <w:i/>
          <w:iCs/>
          <w:sz w:val="20"/>
          <w:szCs w:val="20"/>
        </w:rPr>
        <w:t>House of Commons Library</w:t>
      </w:r>
      <w:r w:rsidRPr="0094085B">
        <w:rPr>
          <w:sz w:val="20"/>
          <w:szCs w:val="20"/>
        </w:rPr>
        <w:t>, Research Briefing (17 October 2022).</w:t>
      </w:r>
    </w:p>
  </w:footnote>
  <w:footnote w:id="4">
    <w:p w14:paraId="59FC232C" w14:textId="2ABF63A7" w:rsidR="00767E87" w:rsidRPr="0094085B" w:rsidRDefault="00767E87" w:rsidP="0094085B">
      <w:pPr>
        <w:pStyle w:val="FootnoteText"/>
        <w:jc w:val="both"/>
      </w:pPr>
      <w:r w:rsidRPr="0094085B">
        <w:rPr>
          <w:rStyle w:val="FootnoteReference"/>
        </w:rPr>
        <w:footnoteRef/>
      </w:r>
      <w:r w:rsidRPr="0094085B">
        <w:t xml:space="preserve"> See David Brown, Jake Horton and Tural </w:t>
      </w:r>
      <w:proofErr w:type="spellStart"/>
      <w:r w:rsidRPr="0094085B">
        <w:t>Ahmedzade</w:t>
      </w:r>
      <w:proofErr w:type="spellEnd"/>
      <w:r w:rsidRPr="0094085B">
        <w:t xml:space="preserve">, ‘Ukraine weapons: What tanks and other equipment are the world giving?’, </w:t>
      </w:r>
      <w:r w:rsidRPr="0094085B">
        <w:rPr>
          <w:i/>
          <w:iCs/>
        </w:rPr>
        <w:t>BBC News</w:t>
      </w:r>
      <w:r w:rsidRPr="0094085B">
        <w:t xml:space="preserve"> (18 February 2023) </w:t>
      </w:r>
      <w:hyperlink r:id="rId2" w:history="1">
        <w:r w:rsidRPr="0094085B">
          <w:rPr>
            <w:rStyle w:val="Hyperlink"/>
          </w:rPr>
          <w:t>www.bbc.co.uk/news/world-europe-62002218</w:t>
        </w:r>
      </w:hyperlink>
      <w:r w:rsidR="00B70E1D" w:rsidRPr="0094085B">
        <w:t>; James Gregory</w:t>
      </w:r>
      <w:r w:rsidR="00C734F6" w:rsidRPr="0094085B">
        <w:t xml:space="preserve">, ‘EU gives Ukraine €2bn of ammunition after shell plea’, </w:t>
      </w:r>
      <w:r w:rsidR="00C734F6" w:rsidRPr="0094085B">
        <w:rPr>
          <w:i/>
          <w:iCs/>
        </w:rPr>
        <w:t>BBC News</w:t>
      </w:r>
      <w:r w:rsidR="00DB2051" w:rsidRPr="0094085B">
        <w:t xml:space="preserve"> (21 March 2023) </w:t>
      </w:r>
      <w:hyperlink r:id="rId3" w:history="1">
        <w:r w:rsidR="003A0260" w:rsidRPr="0094085B">
          <w:rPr>
            <w:rStyle w:val="Hyperlink"/>
          </w:rPr>
          <w:t>www.bbc.co.uk/news/world-europe-65018434</w:t>
        </w:r>
      </w:hyperlink>
      <w:r w:rsidR="003A0260" w:rsidRPr="0094085B">
        <w:t>.</w:t>
      </w:r>
    </w:p>
  </w:footnote>
  <w:footnote w:id="5">
    <w:p w14:paraId="777963B7" w14:textId="77777777" w:rsidR="009A686A" w:rsidRPr="0094085B" w:rsidRDefault="009A686A" w:rsidP="0094085B">
      <w:pPr>
        <w:pStyle w:val="FootnoteText"/>
        <w:jc w:val="both"/>
      </w:pPr>
      <w:r w:rsidRPr="0094085B">
        <w:rPr>
          <w:rStyle w:val="FootnoteReference"/>
        </w:rPr>
        <w:footnoteRef/>
      </w:r>
      <w:r w:rsidRPr="0094085B">
        <w:t xml:space="preserve"> See ‘Ukraine war: What support is China giving Russia?’, </w:t>
      </w:r>
      <w:r w:rsidRPr="0094085B">
        <w:rPr>
          <w:i/>
          <w:iCs/>
        </w:rPr>
        <w:t>BBC News</w:t>
      </w:r>
      <w:r w:rsidRPr="0094085B">
        <w:t xml:space="preserve"> (21 February 2023) </w:t>
      </w:r>
      <w:hyperlink r:id="rId4" w:history="1">
        <w:r w:rsidRPr="0094085B">
          <w:rPr>
            <w:rStyle w:val="Hyperlink"/>
          </w:rPr>
          <w:t>www.bbc.co.uk/news/60571253</w:t>
        </w:r>
      </w:hyperlink>
      <w:r w:rsidRPr="0094085B">
        <w:t>.</w:t>
      </w:r>
    </w:p>
  </w:footnote>
  <w:footnote w:id="6">
    <w:p w14:paraId="34FC3476" w14:textId="0D9BBCC1" w:rsidR="00FC570F" w:rsidRPr="0094085B" w:rsidRDefault="00FC570F" w:rsidP="0094085B">
      <w:pPr>
        <w:pStyle w:val="FootnoteText"/>
        <w:jc w:val="both"/>
      </w:pPr>
      <w:r w:rsidRPr="0094085B">
        <w:rPr>
          <w:rStyle w:val="FootnoteReference"/>
        </w:rPr>
        <w:footnoteRef/>
      </w:r>
      <w:r w:rsidRPr="0094085B">
        <w:t xml:space="preserve"> See </w:t>
      </w:r>
      <w:r w:rsidR="00EC0DA7" w:rsidRPr="0094085B">
        <w:rPr>
          <w:color w:val="000000"/>
        </w:rPr>
        <w:t xml:space="preserve">Patrick M Butchard and Jasmin J Nessa (eds), ‘Digest of State Practice: 1 January – 30 June 2022’ (2022) 9 </w:t>
      </w:r>
      <w:r w:rsidR="00EC0DA7" w:rsidRPr="0094085B">
        <w:rPr>
          <w:i/>
          <w:color w:val="000000"/>
        </w:rPr>
        <w:t>Journal on the Use of Force and International Law</w:t>
      </w:r>
      <w:r w:rsidR="00EC0DA7" w:rsidRPr="0094085B">
        <w:rPr>
          <w:color w:val="000000"/>
        </w:rPr>
        <w:t xml:space="preserve"> 423, </w:t>
      </w:r>
      <w:r w:rsidR="00707243" w:rsidRPr="0094085B">
        <w:t>446.</w:t>
      </w:r>
    </w:p>
  </w:footnote>
  <w:footnote w:id="7">
    <w:p w14:paraId="3A2DE8C4" w14:textId="4D282C6A" w:rsidR="008A4C89" w:rsidRPr="0094085B" w:rsidRDefault="008A4C89" w:rsidP="0094085B">
      <w:pPr>
        <w:pStyle w:val="FootnoteText"/>
        <w:jc w:val="both"/>
      </w:pPr>
      <w:r w:rsidRPr="0094085B">
        <w:rPr>
          <w:rStyle w:val="FootnoteReference"/>
        </w:rPr>
        <w:footnoteRef/>
      </w:r>
      <w:r w:rsidRPr="0094085B">
        <w:t xml:space="preserve"> See Mark Nevitt, ‘The Operational and Legal Risks of a No-Fly Zone Over Ukrainian Skies’, </w:t>
      </w:r>
      <w:r w:rsidRPr="0094085B">
        <w:rPr>
          <w:i/>
          <w:iCs/>
        </w:rPr>
        <w:t>Just Security</w:t>
      </w:r>
      <w:r w:rsidRPr="0094085B">
        <w:t xml:space="preserve"> (10 March 2022) </w:t>
      </w:r>
      <w:hyperlink r:id="rId5" w:history="1">
        <w:r w:rsidRPr="0094085B">
          <w:rPr>
            <w:rStyle w:val="Hyperlink"/>
          </w:rPr>
          <w:t>www.justsecurity.org/80641/the-operational-and-legal-risks-of-a-no-fly-zone-over-ukrainian-skies</w:t>
        </w:r>
      </w:hyperlink>
      <w:r w:rsidRPr="0094085B">
        <w:t xml:space="preserve">; </w:t>
      </w:r>
      <w:r w:rsidR="00F63903" w:rsidRPr="0094085B">
        <w:t xml:space="preserve">Michael N Schmitt, ‘Providing Arms and Materiel to Ukraine: Neutrality, Co-Belligerency, and the Use of Force’, </w:t>
      </w:r>
      <w:r w:rsidR="00F63903" w:rsidRPr="0094085B">
        <w:rPr>
          <w:i/>
          <w:iCs/>
        </w:rPr>
        <w:t>Articles of War</w:t>
      </w:r>
      <w:r w:rsidR="00F63903" w:rsidRPr="0094085B">
        <w:t xml:space="preserve"> (7 March 2022) </w:t>
      </w:r>
      <w:hyperlink r:id="rId6" w:history="1">
        <w:r w:rsidR="00F63903" w:rsidRPr="0094085B">
          <w:rPr>
            <w:rStyle w:val="Hyperlink"/>
          </w:rPr>
          <w:t>https://lieber.westpoint.edu/ukraine-neutrality-co-belligerency-use-of-force</w:t>
        </w:r>
      </w:hyperlink>
      <w:r w:rsidR="00F63903" w:rsidRPr="0094085B">
        <w:t>.</w:t>
      </w:r>
    </w:p>
  </w:footnote>
  <w:footnote w:id="8">
    <w:p w14:paraId="7218D520" w14:textId="5C69235B" w:rsidR="0096217D" w:rsidRPr="0094085B" w:rsidRDefault="0096217D" w:rsidP="0094085B">
      <w:pPr>
        <w:pStyle w:val="FootnoteText"/>
        <w:jc w:val="both"/>
      </w:pPr>
      <w:r w:rsidRPr="0094085B">
        <w:rPr>
          <w:rStyle w:val="FootnoteReference"/>
        </w:rPr>
        <w:footnoteRef/>
      </w:r>
      <w:r w:rsidRPr="0094085B">
        <w:t xml:space="preserve"> </w:t>
      </w:r>
      <w:r w:rsidR="009C7BF2" w:rsidRPr="0094085B">
        <w:t xml:space="preserve">See Pavel </w:t>
      </w:r>
      <w:proofErr w:type="spellStart"/>
      <w:r w:rsidR="009C7BF2" w:rsidRPr="0094085B">
        <w:t>Doubek</w:t>
      </w:r>
      <w:proofErr w:type="spellEnd"/>
      <w:r w:rsidR="009C7BF2" w:rsidRPr="0094085B">
        <w:t>, ‘War in Ukraine: Time for a Collective Self-</w:t>
      </w:r>
      <w:proofErr w:type="spellStart"/>
      <w:r w:rsidR="009C7BF2" w:rsidRPr="0094085B">
        <w:t>Defense</w:t>
      </w:r>
      <w:proofErr w:type="spellEnd"/>
      <w:r w:rsidR="009C7BF2" w:rsidRPr="0094085B">
        <w:t xml:space="preserve">?’, </w:t>
      </w:r>
      <w:r w:rsidR="009C7BF2" w:rsidRPr="0094085B">
        <w:rPr>
          <w:i/>
          <w:iCs/>
        </w:rPr>
        <w:t>Opinio Juris</w:t>
      </w:r>
      <w:r w:rsidR="009C7BF2" w:rsidRPr="0094085B">
        <w:t xml:space="preserve"> (29 March 2022) </w:t>
      </w:r>
      <w:hyperlink r:id="rId7" w:history="1">
        <w:r w:rsidR="009C7BF2" w:rsidRPr="0094085B">
          <w:rPr>
            <w:rStyle w:val="Hyperlink"/>
          </w:rPr>
          <w:t>http://opiniojuris.org/2022/03/29/war-in-ukraine-time-for-a-collective-self-defense</w:t>
        </w:r>
      </w:hyperlink>
      <w:r w:rsidR="009C7BF2" w:rsidRPr="0094085B">
        <w:rPr>
          <w:rStyle w:val="Hyperlink"/>
        </w:rPr>
        <w:t>.</w:t>
      </w:r>
    </w:p>
  </w:footnote>
  <w:footnote w:id="9">
    <w:p w14:paraId="215148A6" w14:textId="42C89BBD" w:rsidR="000815DA" w:rsidRPr="0094085B" w:rsidRDefault="000815DA" w:rsidP="0094085B">
      <w:pPr>
        <w:pStyle w:val="FootnoteText"/>
        <w:jc w:val="both"/>
      </w:pPr>
      <w:r w:rsidRPr="0094085B">
        <w:rPr>
          <w:rStyle w:val="FootnoteReference"/>
        </w:rPr>
        <w:footnoteRef/>
      </w:r>
      <w:r w:rsidRPr="0094085B">
        <w:t xml:space="preserve"> See, e.g. Agnieszka </w:t>
      </w:r>
      <w:proofErr w:type="spellStart"/>
      <w:r w:rsidRPr="0094085B">
        <w:t>Szpak</w:t>
      </w:r>
      <w:proofErr w:type="spellEnd"/>
      <w:r w:rsidRPr="0094085B">
        <w:t xml:space="preserve"> </w:t>
      </w:r>
      <w:r w:rsidRPr="0094085B">
        <w:rPr>
          <w:i/>
          <w:iCs/>
        </w:rPr>
        <w:t>et al</w:t>
      </w:r>
      <w:r w:rsidRPr="0094085B">
        <w:t xml:space="preserve">, ‘Reaction to the Russian Aggression against Ukraine: Cities as International Standards’ Supporters’ (2022) </w:t>
      </w:r>
      <w:r w:rsidRPr="0094085B">
        <w:rPr>
          <w:i/>
          <w:iCs/>
        </w:rPr>
        <w:t>Journal of Contemporary European Studies</w:t>
      </w:r>
      <w:r w:rsidRPr="0094085B">
        <w:t xml:space="preserve">, advance access version, </w:t>
      </w:r>
      <w:hyperlink r:id="rId8" w:history="1">
        <w:r w:rsidRPr="0094085B">
          <w:rPr>
            <w:rStyle w:val="Hyperlink"/>
          </w:rPr>
          <w:t>www.tandfonline.com/doi/full/10.1080/14782804.2022.2126445</w:t>
        </w:r>
      </w:hyperlink>
      <w:r w:rsidRPr="0094085B">
        <w:t xml:space="preserve">, 2; </w:t>
      </w:r>
      <w:r w:rsidR="00AF2F72" w:rsidRPr="0094085B">
        <w:t xml:space="preserve">Tomas Hamilton, ‘Defending Ukraine with EU Weapons: Arms Control Law in Times of Crisis’ (2022) 1 </w:t>
      </w:r>
      <w:r w:rsidR="00AF2F72" w:rsidRPr="0094085B">
        <w:rPr>
          <w:i/>
          <w:iCs/>
        </w:rPr>
        <w:t>European Law Open</w:t>
      </w:r>
      <w:r w:rsidR="00AF2F72" w:rsidRPr="0094085B">
        <w:t xml:space="preserve"> 635, </w:t>
      </w:r>
      <w:r w:rsidRPr="0094085B">
        <w:t>637, 641</w:t>
      </w:r>
      <w:r w:rsidR="0040567E" w:rsidRPr="0094085B">
        <w:t>–4</w:t>
      </w:r>
      <w:r w:rsidRPr="0094085B">
        <w:t xml:space="preserve">, 654; </w:t>
      </w:r>
      <w:r w:rsidR="00210140" w:rsidRPr="0094085B">
        <w:t xml:space="preserve">Kevin Jon Heller and Lena </w:t>
      </w:r>
      <w:proofErr w:type="spellStart"/>
      <w:r w:rsidR="00210140" w:rsidRPr="0094085B">
        <w:t>Trabucco</w:t>
      </w:r>
      <w:proofErr w:type="spellEnd"/>
      <w:r w:rsidR="00210140" w:rsidRPr="0094085B">
        <w:t xml:space="preserve">, ‘The Legality of Weapons Transfers to Ukraine Under International Law’ (2022) 13 </w:t>
      </w:r>
      <w:r w:rsidR="00210140" w:rsidRPr="0094085B">
        <w:rPr>
          <w:i/>
          <w:iCs/>
        </w:rPr>
        <w:t>Journal of International Humanitarian Legal Studies</w:t>
      </w:r>
      <w:r w:rsidR="00210140" w:rsidRPr="0094085B">
        <w:t xml:space="preserve"> 251,</w:t>
      </w:r>
      <w:r w:rsidRPr="0094085B">
        <w:t xml:space="preserve"> 254</w:t>
      </w:r>
      <w:r w:rsidR="0040567E" w:rsidRPr="0094085B">
        <w:t>–</w:t>
      </w:r>
      <w:r w:rsidRPr="0094085B">
        <w:t>5</w:t>
      </w:r>
      <w:r w:rsidR="009B4FC3" w:rsidRPr="0094085B">
        <w:t>.</w:t>
      </w:r>
    </w:p>
  </w:footnote>
  <w:footnote w:id="10">
    <w:p w14:paraId="1DBCCB25" w14:textId="04E49016" w:rsidR="002C3004" w:rsidRPr="0094085B" w:rsidRDefault="002C3004" w:rsidP="0094085B">
      <w:pPr>
        <w:pStyle w:val="FootnoteText"/>
        <w:jc w:val="both"/>
      </w:pPr>
      <w:r w:rsidRPr="0094085B">
        <w:rPr>
          <w:rStyle w:val="FootnoteReference"/>
        </w:rPr>
        <w:footnoteRef/>
      </w:r>
      <w:r w:rsidRPr="0094085B">
        <w:t xml:space="preserve"> </w:t>
      </w:r>
      <w:r w:rsidRPr="0094085B">
        <w:rPr>
          <w:i/>
          <w:iCs/>
        </w:rPr>
        <w:t>Ibid</w:t>
      </w:r>
      <w:r w:rsidRPr="0094085B">
        <w:t xml:space="preserve">, </w:t>
      </w:r>
      <w:r w:rsidR="00D24988" w:rsidRPr="0094085B">
        <w:t>25</w:t>
      </w:r>
      <w:r w:rsidRPr="0094085B">
        <w:t>4.</w:t>
      </w:r>
    </w:p>
  </w:footnote>
  <w:footnote w:id="11">
    <w:p w14:paraId="1B1CF849" w14:textId="196C3497" w:rsidR="007548CB" w:rsidRPr="0094085B" w:rsidRDefault="007548CB" w:rsidP="0094085B">
      <w:pPr>
        <w:pStyle w:val="FootnoteText"/>
        <w:jc w:val="both"/>
      </w:pPr>
      <w:r w:rsidRPr="0094085B">
        <w:rPr>
          <w:rStyle w:val="FootnoteReference"/>
        </w:rPr>
        <w:footnoteRef/>
      </w:r>
      <w:r w:rsidRPr="0094085B">
        <w:t xml:space="preserve"> </w:t>
      </w:r>
      <w:r w:rsidR="00AE0A2F" w:rsidRPr="0094085B">
        <w:rPr>
          <w:i/>
          <w:iCs/>
        </w:rPr>
        <w:t>Ibid</w:t>
      </w:r>
      <w:r w:rsidR="002C3004" w:rsidRPr="0094085B">
        <w:t>.</w:t>
      </w:r>
    </w:p>
  </w:footnote>
  <w:footnote w:id="12">
    <w:p w14:paraId="25CB632D" w14:textId="07B94679" w:rsidR="00664A19" w:rsidRPr="0094085B" w:rsidRDefault="00664A19" w:rsidP="0094085B">
      <w:pPr>
        <w:pStyle w:val="FootnoteText"/>
        <w:jc w:val="both"/>
      </w:pPr>
      <w:r w:rsidRPr="0094085B">
        <w:rPr>
          <w:rStyle w:val="FootnoteReference"/>
        </w:rPr>
        <w:footnoteRef/>
      </w:r>
      <w:r w:rsidRPr="0094085B">
        <w:t xml:space="preserve"> </w:t>
      </w:r>
      <w:r w:rsidRPr="0094085B">
        <w:rPr>
          <w:i/>
          <w:iCs/>
        </w:rPr>
        <w:t>Ibid</w:t>
      </w:r>
      <w:r w:rsidRPr="0094085B">
        <w:t xml:space="preserve">, </w:t>
      </w:r>
      <w:r w:rsidR="00AA5ACD" w:rsidRPr="0094085B">
        <w:t>254–5.</w:t>
      </w:r>
    </w:p>
  </w:footnote>
  <w:footnote w:id="13">
    <w:p w14:paraId="45AD223D" w14:textId="59259CE4" w:rsidR="00210140" w:rsidRPr="0094085B" w:rsidRDefault="00210140" w:rsidP="0094085B">
      <w:pPr>
        <w:pStyle w:val="FootnoteText"/>
        <w:jc w:val="both"/>
      </w:pPr>
      <w:r w:rsidRPr="0094085B">
        <w:rPr>
          <w:rStyle w:val="FootnoteReference"/>
        </w:rPr>
        <w:footnoteRef/>
      </w:r>
      <w:r w:rsidRPr="0094085B">
        <w:t xml:space="preserve"> See sources cited at n.</w:t>
      </w:r>
      <w:r w:rsidR="00CD5569" w:rsidRPr="0094085B">
        <w:t>8</w:t>
      </w:r>
      <w:r w:rsidRPr="0094085B">
        <w:t>.</w:t>
      </w:r>
    </w:p>
  </w:footnote>
  <w:footnote w:id="14">
    <w:p w14:paraId="49A0FF26" w14:textId="4E4B7BDB" w:rsidR="00ED43AD" w:rsidRPr="0094085B" w:rsidRDefault="00ED43AD" w:rsidP="0094085B">
      <w:pPr>
        <w:pStyle w:val="FootnoteText"/>
        <w:jc w:val="both"/>
      </w:pPr>
      <w:r w:rsidRPr="0094085B">
        <w:rPr>
          <w:rStyle w:val="FootnoteReference"/>
        </w:rPr>
        <w:footnoteRef/>
      </w:r>
      <w:r w:rsidRPr="0094085B">
        <w:t xml:space="preserve"> See </w:t>
      </w:r>
      <w:r w:rsidR="003C69DF" w:rsidRPr="0094085B">
        <w:t>UNGA Res ES-11/1, UN Doc A/RES/ES-11/1 (2 March 2022)</w:t>
      </w:r>
      <w:r w:rsidR="00094A10" w:rsidRPr="0094085B">
        <w:t xml:space="preserve">; </w:t>
      </w:r>
      <w:r w:rsidRPr="0094085B">
        <w:t xml:space="preserve">James A Green, Christian </w:t>
      </w:r>
      <w:proofErr w:type="gramStart"/>
      <w:r w:rsidRPr="0094085B">
        <w:t>Henderson</w:t>
      </w:r>
      <w:proofErr w:type="gramEnd"/>
      <w:r w:rsidRPr="0094085B">
        <w:t xml:space="preserve"> and Tom Ruys, ‘Russia’s Attack on Ukraine and the </w:t>
      </w:r>
      <w:r w:rsidRPr="0094085B">
        <w:rPr>
          <w:i/>
          <w:iCs/>
        </w:rPr>
        <w:t>Jus ad Bellum</w:t>
      </w:r>
      <w:r w:rsidRPr="0094085B">
        <w:t xml:space="preserve">’ (2022) 9 </w:t>
      </w:r>
      <w:r w:rsidRPr="0094085B">
        <w:rPr>
          <w:i/>
          <w:iCs/>
        </w:rPr>
        <w:t>Journal on the Use of Force and International Law</w:t>
      </w:r>
      <w:r w:rsidRPr="0094085B">
        <w:t xml:space="preserve"> 4.</w:t>
      </w:r>
    </w:p>
  </w:footnote>
  <w:footnote w:id="15">
    <w:p w14:paraId="40692222" w14:textId="0C434D93" w:rsidR="00ED43AD" w:rsidRPr="0094085B" w:rsidRDefault="00ED43AD" w:rsidP="0094085B">
      <w:pPr>
        <w:pStyle w:val="FootnoteText"/>
        <w:jc w:val="both"/>
      </w:pPr>
      <w:r w:rsidRPr="0094085B">
        <w:rPr>
          <w:rStyle w:val="FootnoteReference"/>
        </w:rPr>
        <w:footnoteRef/>
      </w:r>
      <w:r w:rsidRPr="0094085B">
        <w:t xml:space="preserve"> Heller and </w:t>
      </w:r>
      <w:proofErr w:type="spellStart"/>
      <w:r w:rsidRPr="0094085B">
        <w:t>Trabucco</w:t>
      </w:r>
      <w:proofErr w:type="spellEnd"/>
      <w:r w:rsidR="005F4AD8" w:rsidRPr="0094085B">
        <w:t xml:space="preserve"> (</w:t>
      </w:r>
      <w:r w:rsidR="002C2DB8" w:rsidRPr="0094085B">
        <w:t xml:space="preserve">n </w:t>
      </w:r>
      <w:r w:rsidR="006F7487" w:rsidRPr="0094085B">
        <w:t>8</w:t>
      </w:r>
      <w:r w:rsidR="005F4AD8" w:rsidRPr="0094085B">
        <w:t xml:space="preserve">) </w:t>
      </w:r>
      <w:r w:rsidRPr="0094085B">
        <w:t>254, 273.</w:t>
      </w:r>
    </w:p>
  </w:footnote>
  <w:footnote w:id="16">
    <w:p w14:paraId="1C4F3737" w14:textId="286A0745" w:rsidR="00ED43AD" w:rsidRPr="0094085B" w:rsidRDefault="00ED43AD" w:rsidP="0094085B">
      <w:pPr>
        <w:pStyle w:val="FootnoteText"/>
        <w:jc w:val="both"/>
      </w:pPr>
      <w:r w:rsidRPr="0094085B">
        <w:rPr>
          <w:rStyle w:val="FootnoteReference"/>
        </w:rPr>
        <w:footnoteRef/>
      </w:r>
      <w:r w:rsidRPr="0094085B">
        <w:t xml:space="preserve"> </w:t>
      </w:r>
      <w:proofErr w:type="spellStart"/>
      <w:r w:rsidRPr="0094085B">
        <w:t>Doubek</w:t>
      </w:r>
      <w:proofErr w:type="spellEnd"/>
      <w:r w:rsidR="009C7BF2" w:rsidRPr="0094085B">
        <w:t xml:space="preserve"> (</w:t>
      </w:r>
      <w:r w:rsidR="002C2DB8" w:rsidRPr="0094085B">
        <w:t xml:space="preserve">n </w:t>
      </w:r>
      <w:r w:rsidR="006F7487" w:rsidRPr="0094085B">
        <w:t>7</w:t>
      </w:r>
      <w:r w:rsidR="009C7BF2" w:rsidRPr="0094085B">
        <w:t>)</w:t>
      </w:r>
      <w:r w:rsidRPr="0094085B">
        <w:t>.</w:t>
      </w:r>
    </w:p>
  </w:footnote>
  <w:footnote w:id="17">
    <w:p w14:paraId="59CBFD1D" w14:textId="646AF8A0" w:rsidR="007C387D" w:rsidRPr="0094085B" w:rsidRDefault="007C387D" w:rsidP="0094085B">
      <w:pPr>
        <w:pStyle w:val="FootnoteText"/>
        <w:jc w:val="both"/>
      </w:pPr>
      <w:r w:rsidRPr="0094085B">
        <w:rPr>
          <w:rStyle w:val="FootnoteReference"/>
        </w:rPr>
        <w:footnoteRef/>
      </w:r>
      <w:r w:rsidRPr="0094085B">
        <w:t xml:space="preserve"> See </w:t>
      </w:r>
      <w:r w:rsidR="00252EBD" w:rsidRPr="0094085B">
        <w:rPr>
          <w:i/>
          <w:noProof/>
        </w:rPr>
        <w:t xml:space="preserve">Military and Paramilitary Activities in and Against Nicaragua </w:t>
      </w:r>
      <w:r w:rsidR="00252EBD" w:rsidRPr="0094085B">
        <w:rPr>
          <w:noProof/>
        </w:rPr>
        <w:t>(</w:t>
      </w:r>
      <w:r w:rsidR="00252EBD" w:rsidRPr="0094085B">
        <w:rPr>
          <w:i/>
          <w:noProof/>
        </w:rPr>
        <w:t>Nicaragua v United States of America</w:t>
      </w:r>
      <w:r w:rsidR="00252EBD" w:rsidRPr="0094085B">
        <w:rPr>
          <w:noProof/>
        </w:rPr>
        <w:t xml:space="preserve">) (merits) [1986] ICJ Rep 14, </w:t>
      </w:r>
      <w:r w:rsidR="00252EBD" w:rsidRPr="0094085B">
        <w:t>paras 165-166, 195, 199, 231</w:t>
      </w:r>
      <w:r w:rsidR="006017F2" w:rsidRPr="0094085B">
        <w:t xml:space="preserve">; James A Green, </w:t>
      </w:r>
      <w:r w:rsidR="00290F77" w:rsidRPr="0094085B">
        <w:rPr>
          <w:bCs/>
        </w:rPr>
        <w:t xml:space="preserve">‘The “Additional” Criteria for Collective Self-Defence: Request but not Declaration’ (2017) 4 </w:t>
      </w:r>
      <w:r w:rsidR="00290F77" w:rsidRPr="0094085B">
        <w:rPr>
          <w:bCs/>
          <w:i/>
          <w:iCs/>
        </w:rPr>
        <w:t>Journal on the Use of Force and International Law</w:t>
      </w:r>
      <w:r w:rsidR="00290F77" w:rsidRPr="0094085B">
        <w:rPr>
          <w:bCs/>
        </w:rPr>
        <w:t xml:space="preserve"> 4</w:t>
      </w:r>
      <w:r w:rsidR="006017F2" w:rsidRPr="0094085B">
        <w:rPr>
          <w:bCs/>
        </w:rPr>
        <w:t>.</w:t>
      </w:r>
    </w:p>
  </w:footnote>
  <w:footnote w:id="18">
    <w:p w14:paraId="2605E9B0" w14:textId="43E087BB" w:rsidR="00ED43AD" w:rsidRPr="0094085B" w:rsidRDefault="00ED43AD" w:rsidP="0094085B">
      <w:pPr>
        <w:pStyle w:val="FootnoteText"/>
        <w:jc w:val="both"/>
      </w:pPr>
      <w:r w:rsidRPr="0094085B">
        <w:rPr>
          <w:rStyle w:val="FootnoteReference"/>
        </w:rPr>
        <w:footnoteRef/>
      </w:r>
      <w:r w:rsidRPr="0094085B">
        <w:t xml:space="preserve"> See, e.g. ‘Ukraine’s Zelenskiy urges West to consider no-fly zone for Russian aircraft’, </w:t>
      </w:r>
      <w:r w:rsidRPr="0094085B">
        <w:rPr>
          <w:i/>
          <w:iCs/>
        </w:rPr>
        <w:t>Reuters</w:t>
      </w:r>
      <w:r w:rsidRPr="0094085B">
        <w:t xml:space="preserve"> (28 February 2022) </w:t>
      </w:r>
      <w:hyperlink r:id="rId9" w:history="1">
        <w:r w:rsidRPr="0094085B">
          <w:rPr>
            <w:rStyle w:val="Hyperlink"/>
          </w:rPr>
          <w:t>www.reuters.com/world/europe/ukraines-zelenskiy-says-it-is-time-consider-no-fly-zone-russian-aircraft-2022-02-28</w:t>
        </w:r>
      </w:hyperlink>
      <w:r w:rsidR="005D2BDD" w:rsidRPr="0094085B">
        <w:t xml:space="preserve">; ‘Zelenskiy attacks </w:t>
      </w:r>
      <w:proofErr w:type="spellStart"/>
      <w:r w:rsidR="005D2BDD" w:rsidRPr="0094085B">
        <w:t>Nato</w:t>
      </w:r>
      <w:proofErr w:type="spellEnd"/>
      <w:r w:rsidR="005D2BDD" w:rsidRPr="0094085B">
        <w:t xml:space="preserve"> “weakness” for refusing no-fly zone over Ukraine</w:t>
      </w:r>
      <w:r w:rsidR="00241E8C" w:rsidRPr="0094085B">
        <w:t xml:space="preserve"> </w:t>
      </w:r>
      <w:r w:rsidR="005D2BDD" w:rsidRPr="0094085B">
        <w:t>–</w:t>
      </w:r>
      <w:r w:rsidR="00241E8C" w:rsidRPr="0094085B">
        <w:t xml:space="preserve"> </w:t>
      </w:r>
      <w:r w:rsidR="005D2BDD" w:rsidRPr="0094085B">
        <w:t xml:space="preserve">video’, </w:t>
      </w:r>
      <w:r w:rsidR="005D2BDD" w:rsidRPr="0094085B">
        <w:rPr>
          <w:i/>
          <w:iCs/>
        </w:rPr>
        <w:t>The Guardian</w:t>
      </w:r>
      <w:r w:rsidR="005D2BDD" w:rsidRPr="0094085B">
        <w:t xml:space="preserve"> (5 March 2022) </w:t>
      </w:r>
      <w:hyperlink r:id="rId10" w:history="1">
        <w:r w:rsidR="005D2BDD" w:rsidRPr="0094085B">
          <w:rPr>
            <w:rStyle w:val="Hyperlink"/>
          </w:rPr>
          <w:t>www.theguardian.com/world/video/2022/mar/05/zelenskiy-attacks-nato-weakness-for-refusing-no-fly-zone-over-ukraine-video</w:t>
        </w:r>
      </w:hyperlink>
      <w:r w:rsidR="005D2BDD" w:rsidRPr="0094085B">
        <w:t>.</w:t>
      </w:r>
    </w:p>
  </w:footnote>
  <w:footnote w:id="19">
    <w:p w14:paraId="0A97A598" w14:textId="63B5C661" w:rsidR="00790E1D" w:rsidRPr="0094085B" w:rsidRDefault="00790E1D" w:rsidP="0094085B">
      <w:pPr>
        <w:pStyle w:val="FootnoteText"/>
        <w:jc w:val="both"/>
      </w:pPr>
      <w:r w:rsidRPr="0094085B">
        <w:rPr>
          <w:rStyle w:val="FootnoteReference"/>
        </w:rPr>
        <w:footnoteRef/>
      </w:r>
      <w:r w:rsidRPr="0094085B">
        <w:t xml:space="preserve"> For further discussion, see </w:t>
      </w:r>
      <w:r w:rsidR="0013208C" w:rsidRPr="0094085B">
        <w:t xml:space="preserve">n </w:t>
      </w:r>
      <w:r w:rsidR="006F7487" w:rsidRPr="0094085B">
        <w:t>60</w:t>
      </w:r>
      <w:r w:rsidR="0013208C" w:rsidRPr="0094085B">
        <w:t xml:space="preserve"> – n </w:t>
      </w:r>
      <w:r w:rsidR="006F7487" w:rsidRPr="0094085B">
        <w:t>62</w:t>
      </w:r>
      <w:r w:rsidR="0013208C" w:rsidRPr="0094085B">
        <w:t xml:space="preserve"> and accompanying text</w:t>
      </w:r>
      <w:r w:rsidRPr="0094085B">
        <w:t xml:space="preserve">. On the reporting requirement for self-defence in general, see </w:t>
      </w:r>
      <w:r w:rsidR="005B0750" w:rsidRPr="0094085B">
        <w:t xml:space="preserve">Nick van der </w:t>
      </w:r>
      <w:proofErr w:type="spellStart"/>
      <w:r w:rsidR="005B0750" w:rsidRPr="0094085B">
        <w:t>Steenhoven</w:t>
      </w:r>
      <w:proofErr w:type="spellEnd"/>
      <w:r w:rsidR="005B0750" w:rsidRPr="0094085B">
        <w:t xml:space="preserve">, ‘Conduct and Subsequent Practice by States in the Application of the Requirement to Report under UN Charter Article 51 (2019) 6 </w:t>
      </w:r>
      <w:r w:rsidR="005B0750" w:rsidRPr="0094085B">
        <w:rPr>
          <w:i/>
          <w:iCs/>
        </w:rPr>
        <w:t>Journal on the Use of Force and International Law</w:t>
      </w:r>
      <w:r w:rsidR="005B0750" w:rsidRPr="0094085B">
        <w:t xml:space="preserve"> 242; James A Green, ‘The Article 51 Reporting Requirement for Self-</w:t>
      </w:r>
      <w:proofErr w:type="spellStart"/>
      <w:r w:rsidR="005B0750" w:rsidRPr="0094085B">
        <w:t>Defense</w:t>
      </w:r>
      <w:proofErr w:type="spellEnd"/>
      <w:r w:rsidR="005B0750" w:rsidRPr="0094085B">
        <w:t xml:space="preserve"> Actions’ (2015) 55 </w:t>
      </w:r>
      <w:r w:rsidR="005B0750" w:rsidRPr="0094085B">
        <w:rPr>
          <w:i/>
          <w:iCs/>
        </w:rPr>
        <w:t xml:space="preserve">Virginia Journal of International Law </w:t>
      </w:r>
      <w:r w:rsidR="005B0750" w:rsidRPr="0094085B">
        <w:t>463.</w:t>
      </w:r>
    </w:p>
  </w:footnote>
  <w:footnote w:id="20">
    <w:p w14:paraId="0F34C977" w14:textId="67B3405A" w:rsidR="00790E1D" w:rsidRPr="0094085B" w:rsidRDefault="00790E1D" w:rsidP="0094085B">
      <w:pPr>
        <w:pStyle w:val="FootnoteText"/>
        <w:jc w:val="both"/>
      </w:pPr>
      <w:r w:rsidRPr="0094085B">
        <w:rPr>
          <w:rStyle w:val="FootnoteReference"/>
        </w:rPr>
        <w:footnoteRef/>
      </w:r>
      <w:r w:rsidRPr="0094085B">
        <w:t xml:space="preserve"> See </w:t>
      </w:r>
      <w:r w:rsidRPr="0094085B">
        <w:rPr>
          <w:i/>
          <w:iCs/>
        </w:rPr>
        <w:t>ibid</w:t>
      </w:r>
      <w:r w:rsidRPr="0094085B">
        <w:t xml:space="preserve">, 592–6; D W Greig, ‘Self-Defence and the Security Council: What Does Article 51 Require?’ (1991) 40 </w:t>
      </w:r>
      <w:r w:rsidRPr="0094085B">
        <w:rPr>
          <w:i/>
          <w:iCs/>
        </w:rPr>
        <w:t>International and Comparative Law Quarterly</w:t>
      </w:r>
      <w:r w:rsidRPr="0094085B">
        <w:t xml:space="preserve"> 366, 387–8.</w:t>
      </w:r>
    </w:p>
  </w:footnote>
  <w:footnote w:id="21">
    <w:p w14:paraId="0C50F346" w14:textId="1E578E44" w:rsidR="00263CF1" w:rsidRPr="0094085B" w:rsidRDefault="00263CF1" w:rsidP="0094085B">
      <w:pPr>
        <w:pStyle w:val="FootnoteText"/>
        <w:jc w:val="both"/>
      </w:pPr>
      <w:r w:rsidRPr="0094085B">
        <w:rPr>
          <w:rStyle w:val="FootnoteReference"/>
        </w:rPr>
        <w:footnoteRef/>
      </w:r>
      <w:r w:rsidRPr="0094085B">
        <w:t xml:space="preserve"> See, </w:t>
      </w:r>
      <w:proofErr w:type="gramStart"/>
      <w:r w:rsidRPr="0094085B">
        <w:t>e.g.</w:t>
      </w:r>
      <w:proofErr w:type="gramEnd"/>
      <w:r w:rsidRPr="0094085B">
        <w:t xml:space="preserve"> Claus Kreß, ‘The Ukraine War and the Prohibition of the Use of Force in International Law’ (2022) </w:t>
      </w:r>
      <w:proofErr w:type="spellStart"/>
      <w:r w:rsidRPr="0094085B">
        <w:rPr>
          <w:i/>
          <w:iCs/>
        </w:rPr>
        <w:t>Torkel</w:t>
      </w:r>
      <w:proofErr w:type="spellEnd"/>
      <w:r w:rsidRPr="0094085B">
        <w:rPr>
          <w:i/>
          <w:iCs/>
        </w:rPr>
        <w:t xml:space="preserve"> </w:t>
      </w:r>
      <w:proofErr w:type="spellStart"/>
      <w:r w:rsidRPr="0094085B">
        <w:rPr>
          <w:i/>
          <w:iCs/>
        </w:rPr>
        <w:t>Opsahl</w:t>
      </w:r>
      <w:proofErr w:type="spellEnd"/>
      <w:r w:rsidRPr="0094085B">
        <w:rPr>
          <w:i/>
          <w:iCs/>
        </w:rPr>
        <w:t xml:space="preserve"> Academic </w:t>
      </w:r>
      <w:proofErr w:type="spellStart"/>
      <w:r w:rsidRPr="0094085B">
        <w:rPr>
          <w:i/>
          <w:iCs/>
        </w:rPr>
        <w:t>EPublisher</w:t>
      </w:r>
      <w:proofErr w:type="spellEnd"/>
      <w:r w:rsidRPr="0094085B">
        <w:rPr>
          <w:i/>
          <w:iCs/>
        </w:rPr>
        <w:t>, Occasional Paper Series</w:t>
      </w:r>
      <w:r w:rsidRPr="0094085B">
        <w:t xml:space="preserve"> No. 13, 1, 12–9; </w:t>
      </w:r>
      <w:proofErr w:type="spellStart"/>
      <w:r w:rsidRPr="0094085B">
        <w:t>Doubek</w:t>
      </w:r>
      <w:proofErr w:type="spellEnd"/>
      <w:r w:rsidRPr="0094085B">
        <w:t xml:space="preserve"> (n </w:t>
      </w:r>
      <w:r w:rsidR="006F7487" w:rsidRPr="0094085B">
        <w:t>7</w:t>
      </w:r>
      <w:r w:rsidRPr="0094085B">
        <w:t>)</w:t>
      </w:r>
      <w:r w:rsidR="00475580" w:rsidRPr="0094085B">
        <w:t xml:space="preserve">; Schmitt (n </w:t>
      </w:r>
      <w:r w:rsidR="006F7487" w:rsidRPr="0094085B">
        <w:t>6</w:t>
      </w:r>
      <w:r w:rsidR="00475580" w:rsidRPr="0094085B">
        <w:t>).</w:t>
      </w:r>
    </w:p>
  </w:footnote>
  <w:footnote w:id="22">
    <w:p w14:paraId="14E147F7" w14:textId="4FB7D6CB" w:rsidR="00475580" w:rsidRPr="0094085B" w:rsidRDefault="00475580" w:rsidP="0094085B">
      <w:pPr>
        <w:pStyle w:val="FootnoteText"/>
        <w:jc w:val="both"/>
      </w:pPr>
      <w:r w:rsidRPr="0094085B">
        <w:rPr>
          <w:rStyle w:val="FootnoteReference"/>
        </w:rPr>
        <w:footnoteRef/>
      </w:r>
      <w:r w:rsidRPr="0094085B">
        <w:t xml:space="preserve"> </w:t>
      </w:r>
      <w:r w:rsidRPr="0094085B">
        <w:rPr>
          <w:i/>
          <w:iCs/>
        </w:rPr>
        <w:t>Ibid</w:t>
      </w:r>
      <w:r w:rsidRPr="0094085B">
        <w:t xml:space="preserve"> (emphasis in original).</w:t>
      </w:r>
    </w:p>
  </w:footnote>
  <w:footnote w:id="23">
    <w:p w14:paraId="179752BE" w14:textId="77777777" w:rsidR="00813456" w:rsidRPr="0094085B" w:rsidRDefault="00813456" w:rsidP="0094085B">
      <w:pPr>
        <w:pStyle w:val="FootnoteText"/>
        <w:jc w:val="both"/>
      </w:pPr>
      <w:r w:rsidRPr="0094085B">
        <w:rPr>
          <w:rStyle w:val="FootnoteReference"/>
        </w:rPr>
        <w:footnoteRef/>
      </w:r>
      <w:r w:rsidRPr="0094085B">
        <w:t xml:space="preserve"> Report of the International Law Commission, 32nd sess, UN Doc A/35/10 (1980).</w:t>
      </w:r>
    </w:p>
  </w:footnote>
  <w:footnote w:id="24">
    <w:p w14:paraId="234E06B0" w14:textId="402E27C0" w:rsidR="00813456" w:rsidRPr="0094085B" w:rsidRDefault="00813456" w:rsidP="0094085B">
      <w:pPr>
        <w:pStyle w:val="FootnoteText"/>
        <w:jc w:val="both"/>
      </w:pPr>
      <w:r w:rsidRPr="0094085B">
        <w:rPr>
          <w:rStyle w:val="FootnoteReference"/>
        </w:rPr>
        <w:footnoteRef/>
      </w:r>
      <w:r w:rsidRPr="0094085B">
        <w:t xml:space="preserve"> Text of the Draft Articles on Responsibility of States for Internationally Wrongful Acts, with commentaries, Report of the International Law Commission, 53rd sess, UN Doc A/56/10 (2001) 74 (commentary to Article 21)</w:t>
      </w:r>
      <w:r w:rsidR="00210140" w:rsidRPr="0094085B">
        <w:t xml:space="preserve">. </w:t>
      </w:r>
      <w:r w:rsidRPr="0094085B">
        <w:t xml:space="preserve">Having said this, see </w:t>
      </w:r>
      <w:r w:rsidRPr="0094085B">
        <w:rPr>
          <w:i/>
          <w:iCs/>
        </w:rPr>
        <w:t>ibid</w:t>
      </w:r>
      <w:r w:rsidRPr="0094085B">
        <w:t xml:space="preserve"> (‘[s]elf-defence may justify non-performance of certain obligations other than that under Article 2, paragraph 4, of the Charter of the United Nations, provided that such non-performance is related to the breach of that provision’).</w:t>
      </w:r>
    </w:p>
  </w:footnote>
  <w:footnote w:id="25">
    <w:p w14:paraId="295492F0" w14:textId="496156D5" w:rsidR="00622A2A" w:rsidRPr="0094085B" w:rsidRDefault="00622A2A" w:rsidP="0094085B">
      <w:pPr>
        <w:pStyle w:val="FootnoteText"/>
        <w:jc w:val="both"/>
      </w:pPr>
      <w:r w:rsidRPr="0094085B">
        <w:rPr>
          <w:rStyle w:val="FootnoteReference"/>
        </w:rPr>
        <w:footnoteRef/>
      </w:r>
      <w:r w:rsidRPr="0094085B">
        <w:t xml:space="preserve"> Russell Buchan, ‘Non-Forcible Measures and the Law of Self-Defence’ (2023) 72 </w:t>
      </w:r>
      <w:r w:rsidRPr="0094085B">
        <w:rPr>
          <w:i/>
          <w:iCs/>
        </w:rPr>
        <w:t>International and Comparative Law Quarterly</w:t>
      </w:r>
      <w:r w:rsidRPr="0094085B">
        <w:t xml:space="preserve"> 1.</w:t>
      </w:r>
    </w:p>
  </w:footnote>
  <w:footnote w:id="26">
    <w:p w14:paraId="265BAD75" w14:textId="62FDD413" w:rsidR="00EC3319" w:rsidRPr="0094085B" w:rsidRDefault="00EC3319" w:rsidP="0094085B">
      <w:pPr>
        <w:pStyle w:val="FootnoteText"/>
        <w:jc w:val="both"/>
      </w:pPr>
      <w:r w:rsidRPr="0094085B">
        <w:rPr>
          <w:rStyle w:val="FootnoteReference"/>
        </w:rPr>
        <w:footnoteRef/>
      </w:r>
      <w:r w:rsidRPr="0094085B">
        <w:t xml:space="preserve"> James A Green and Francis Grimal, ‘The Threat of Force as an Action in Self-</w:t>
      </w:r>
      <w:proofErr w:type="spellStart"/>
      <w:r w:rsidRPr="0094085B">
        <w:t>Defense</w:t>
      </w:r>
      <w:proofErr w:type="spellEnd"/>
      <w:r w:rsidRPr="0094085B">
        <w:t xml:space="preserve"> under International Law’ (2011) 44 </w:t>
      </w:r>
      <w:r w:rsidRPr="0094085B">
        <w:rPr>
          <w:i/>
          <w:iCs/>
        </w:rPr>
        <w:t>Vanderbilt Journal of Transnational Law</w:t>
      </w:r>
      <w:r w:rsidRPr="0094085B">
        <w:t xml:space="preserve"> 285.</w:t>
      </w:r>
    </w:p>
  </w:footnote>
  <w:footnote w:id="27">
    <w:p w14:paraId="55B277FB" w14:textId="27C28C41" w:rsidR="00F077DE" w:rsidRPr="0094085B" w:rsidRDefault="00F077DE" w:rsidP="0094085B">
      <w:pPr>
        <w:pStyle w:val="FootnoteText"/>
        <w:jc w:val="both"/>
      </w:pPr>
      <w:r w:rsidRPr="0094085B">
        <w:rPr>
          <w:rStyle w:val="FootnoteReference"/>
        </w:rPr>
        <w:footnoteRef/>
      </w:r>
      <w:r w:rsidRPr="0094085B">
        <w:t xml:space="preserve"> Buchan (n </w:t>
      </w:r>
      <w:r w:rsidR="006F7487" w:rsidRPr="0094085B">
        <w:t>24</w:t>
      </w:r>
      <w:r w:rsidRPr="0094085B">
        <w:t xml:space="preserve">) </w:t>
      </w:r>
      <w:r w:rsidR="00A14653" w:rsidRPr="0094085B">
        <w:t xml:space="preserve">2 </w:t>
      </w:r>
      <w:r w:rsidRPr="0094085B">
        <w:t>(</w:t>
      </w:r>
      <w:r w:rsidR="00847F94" w:rsidRPr="0094085B">
        <w:t>presenting</w:t>
      </w:r>
      <w:r w:rsidRPr="0094085B">
        <w:t xml:space="preserve"> the usual conception as being that self-defence ‘can be engaged only when States threaten or use </w:t>
      </w:r>
      <w:r w:rsidRPr="0094085B">
        <w:rPr>
          <w:i/>
          <w:iCs/>
        </w:rPr>
        <w:t>force</w:t>
      </w:r>
      <w:r w:rsidRPr="0094085B">
        <w:t xml:space="preserve"> to resist an armed attack</w:t>
      </w:r>
      <w:r w:rsidR="00847F94" w:rsidRPr="0094085B">
        <w:t>’, emphasis in original).</w:t>
      </w:r>
    </w:p>
  </w:footnote>
  <w:footnote w:id="28">
    <w:p w14:paraId="7377A043" w14:textId="3704B060" w:rsidR="00DF023A" w:rsidRPr="0094085B" w:rsidRDefault="00DF023A" w:rsidP="0094085B">
      <w:pPr>
        <w:pStyle w:val="FootnoteText"/>
        <w:jc w:val="both"/>
      </w:pPr>
      <w:r w:rsidRPr="0094085B">
        <w:rPr>
          <w:rStyle w:val="FootnoteReference"/>
        </w:rPr>
        <w:footnoteRef/>
      </w:r>
      <w:r w:rsidRPr="0094085B">
        <w:t xml:space="preserve"> </w:t>
      </w:r>
      <w:r w:rsidRPr="0094085B">
        <w:rPr>
          <w:i/>
          <w:iCs/>
        </w:rPr>
        <w:t>Ibid</w:t>
      </w:r>
      <w:r w:rsidRPr="0094085B">
        <w:t>.</w:t>
      </w:r>
    </w:p>
  </w:footnote>
  <w:footnote w:id="29">
    <w:p w14:paraId="74ECD8AC" w14:textId="6F8CB17E" w:rsidR="00DF023A" w:rsidRPr="0094085B" w:rsidRDefault="00DF023A" w:rsidP="0094085B">
      <w:pPr>
        <w:pStyle w:val="FootnoteText"/>
        <w:jc w:val="both"/>
      </w:pPr>
      <w:r w:rsidRPr="0094085B">
        <w:rPr>
          <w:rStyle w:val="FootnoteReference"/>
        </w:rPr>
        <w:footnoteRef/>
      </w:r>
      <w:r w:rsidRPr="0094085B">
        <w:t xml:space="preserve"> </w:t>
      </w:r>
      <w:r w:rsidR="00E96087" w:rsidRPr="0094085B">
        <w:rPr>
          <w:i/>
          <w:iCs/>
        </w:rPr>
        <w:t>Ibid</w:t>
      </w:r>
      <w:r w:rsidR="00E96087" w:rsidRPr="0094085B">
        <w:t>, 7–11.</w:t>
      </w:r>
    </w:p>
  </w:footnote>
  <w:footnote w:id="30">
    <w:p w14:paraId="30A508C8" w14:textId="457C0EFB" w:rsidR="00E96087" w:rsidRPr="0094085B" w:rsidRDefault="00E96087" w:rsidP="0094085B">
      <w:pPr>
        <w:pStyle w:val="FootnoteText"/>
        <w:jc w:val="both"/>
      </w:pPr>
      <w:r w:rsidRPr="0094085B">
        <w:rPr>
          <w:rStyle w:val="FootnoteReference"/>
        </w:rPr>
        <w:footnoteRef/>
      </w:r>
      <w:r w:rsidRPr="0094085B">
        <w:t xml:space="preserve"> </w:t>
      </w:r>
      <w:r w:rsidRPr="0094085B">
        <w:rPr>
          <w:i/>
          <w:iCs/>
        </w:rPr>
        <w:t>Ibid</w:t>
      </w:r>
      <w:r w:rsidRPr="0094085B">
        <w:t xml:space="preserve">, </w:t>
      </w:r>
      <w:r w:rsidR="006C3275" w:rsidRPr="0094085B">
        <w:t>11</w:t>
      </w:r>
      <w:r w:rsidRPr="0094085B">
        <w:t>–</w:t>
      </w:r>
      <w:r w:rsidR="006C3275" w:rsidRPr="0094085B">
        <w:t>2</w:t>
      </w:r>
      <w:r w:rsidRPr="0094085B">
        <w:t>.</w:t>
      </w:r>
    </w:p>
  </w:footnote>
  <w:footnote w:id="31">
    <w:p w14:paraId="3F169357" w14:textId="77777777" w:rsidR="00A91E61" w:rsidRPr="0094085B" w:rsidRDefault="00A91E61" w:rsidP="0094085B">
      <w:pPr>
        <w:pStyle w:val="FootnoteText"/>
        <w:jc w:val="both"/>
      </w:pPr>
      <w:r w:rsidRPr="0094085B">
        <w:rPr>
          <w:rStyle w:val="FootnoteReference"/>
        </w:rPr>
        <w:footnoteRef/>
      </w:r>
      <w:r w:rsidRPr="0094085B">
        <w:t xml:space="preserve"> </w:t>
      </w:r>
      <w:r w:rsidRPr="0094085B">
        <w:rPr>
          <w:i/>
          <w:iCs/>
        </w:rPr>
        <w:t>Ibid</w:t>
      </w:r>
      <w:r w:rsidRPr="0094085B">
        <w:t>, 13–21.</w:t>
      </w:r>
    </w:p>
  </w:footnote>
  <w:footnote w:id="32">
    <w:p w14:paraId="042683A2" w14:textId="26DCF8E2" w:rsidR="003922A0" w:rsidRPr="0094085B" w:rsidRDefault="003922A0" w:rsidP="0094085B">
      <w:pPr>
        <w:pStyle w:val="FootnoteText"/>
        <w:jc w:val="both"/>
      </w:pPr>
      <w:r w:rsidRPr="0094085B">
        <w:rPr>
          <w:rStyle w:val="FootnoteReference"/>
        </w:rPr>
        <w:footnoteRef/>
      </w:r>
      <w:r w:rsidRPr="0094085B">
        <w:t xml:space="preserve"> Kreß (n </w:t>
      </w:r>
      <w:r w:rsidR="006F7487" w:rsidRPr="0094085B">
        <w:t>20</w:t>
      </w:r>
      <w:r w:rsidRPr="0094085B">
        <w:t>) 15.</w:t>
      </w:r>
    </w:p>
  </w:footnote>
  <w:footnote w:id="33">
    <w:p w14:paraId="3377B586" w14:textId="20628199" w:rsidR="004619C5" w:rsidRPr="0094085B" w:rsidRDefault="004619C5" w:rsidP="0094085B">
      <w:pPr>
        <w:pStyle w:val="FootnoteText"/>
        <w:jc w:val="both"/>
      </w:pPr>
      <w:r w:rsidRPr="0094085B">
        <w:rPr>
          <w:rStyle w:val="FootnoteReference"/>
        </w:rPr>
        <w:footnoteRef/>
      </w:r>
      <w:r w:rsidRPr="0094085B">
        <w:t xml:space="preserve"> Enzo Cannizzaro and Aurora </w:t>
      </w:r>
      <w:proofErr w:type="spellStart"/>
      <w:r w:rsidRPr="0094085B">
        <w:t>Rasi</w:t>
      </w:r>
      <w:proofErr w:type="spellEnd"/>
      <w:r w:rsidRPr="0094085B">
        <w:t xml:space="preserve">, ‘Europe at War’ (2022), (2021) 6 </w:t>
      </w:r>
      <w:r w:rsidRPr="0094085B">
        <w:rPr>
          <w:i/>
          <w:iCs/>
        </w:rPr>
        <w:t>European Papers</w:t>
      </w:r>
      <w:r w:rsidRPr="0094085B">
        <w:t xml:space="preserve"> 1523, 1523–4; </w:t>
      </w:r>
      <w:r w:rsidR="006F7487" w:rsidRPr="0094085B">
        <w:t>Schmitt (n 6)</w:t>
      </w:r>
      <w:r w:rsidRPr="0094085B">
        <w:t xml:space="preserve">; Kreß (n </w:t>
      </w:r>
      <w:r w:rsidR="006F7487" w:rsidRPr="0094085B">
        <w:t>20</w:t>
      </w:r>
      <w:r w:rsidRPr="0094085B">
        <w:t>) 16–9</w:t>
      </w:r>
      <w:r w:rsidR="00632278" w:rsidRPr="0094085B">
        <w:t xml:space="preserve">; </w:t>
      </w:r>
      <w:r w:rsidR="006F7487" w:rsidRPr="0094085B">
        <w:t xml:space="preserve">Heller and </w:t>
      </w:r>
      <w:proofErr w:type="spellStart"/>
      <w:r w:rsidR="006F7487" w:rsidRPr="0094085B">
        <w:t>Trabucco</w:t>
      </w:r>
      <w:proofErr w:type="spellEnd"/>
      <w:r w:rsidR="006F7487" w:rsidRPr="0094085B">
        <w:t xml:space="preserve"> (n 8) </w:t>
      </w:r>
      <w:r w:rsidR="00632278" w:rsidRPr="0094085B">
        <w:t>255–63.</w:t>
      </w:r>
    </w:p>
  </w:footnote>
  <w:footnote w:id="34">
    <w:p w14:paraId="3FBCB9CA" w14:textId="5EB04E3C" w:rsidR="00596E12" w:rsidRPr="0094085B" w:rsidRDefault="00596E12" w:rsidP="0094085B">
      <w:pPr>
        <w:pStyle w:val="FootnoteText"/>
        <w:jc w:val="both"/>
      </w:pPr>
      <w:r w:rsidRPr="0094085B">
        <w:rPr>
          <w:rStyle w:val="FootnoteReference"/>
        </w:rPr>
        <w:footnoteRef/>
      </w:r>
      <w:r w:rsidRPr="0094085B">
        <w:t xml:space="preserve"> </w:t>
      </w:r>
      <w:r w:rsidR="00786D6F" w:rsidRPr="0094085B">
        <w:rPr>
          <w:i/>
          <w:iCs/>
        </w:rPr>
        <w:t>Ibid</w:t>
      </w:r>
      <w:r w:rsidR="00786D6F" w:rsidRPr="0094085B">
        <w:t>, 262.</w:t>
      </w:r>
    </w:p>
  </w:footnote>
  <w:footnote w:id="35">
    <w:p w14:paraId="4D6715D6" w14:textId="50E30B0D" w:rsidR="003E7D16" w:rsidRPr="0094085B" w:rsidRDefault="003E7D16" w:rsidP="0094085B">
      <w:pPr>
        <w:pStyle w:val="FootnoteText"/>
        <w:jc w:val="both"/>
      </w:pPr>
      <w:r w:rsidRPr="0094085B">
        <w:rPr>
          <w:rStyle w:val="FootnoteReference"/>
        </w:rPr>
        <w:footnoteRef/>
      </w:r>
      <w:r w:rsidRPr="0094085B">
        <w:t xml:space="preserve"> See </w:t>
      </w:r>
      <w:r w:rsidR="00632278" w:rsidRPr="0094085B">
        <w:rPr>
          <w:i/>
          <w:iCs/>
        </w:rPr>
        <w:t>ibid</w:t>
      </w:r>
      <w:r w:rsidR="00632278" w:rsidRPr="0094085B">
        <w:t xml:space="preserve">, </w:t>
      </w:r>
      <w:r w:rsidR="00F216C5" w:rsidRPr="0094085B">
        <w:t>269–71</w:t>
      </w:r>
      <w:r w:rsidR="00632278" w:rsidRPr="0094085B">
        <w:t xml:space="preserve">. See </w:t>
      </w:r>
      <w:r w:rsidRPr="0094085B">
        <w:t>generally UN Doc A/56/10 (</w:t>
      </w:r>
      <w:r w:rsidR="00C128A3" w:rsidRPr="0094085B">
        <w:t xml:space="preserve">n </w:t>
      </w:r>
      <w:r w:rsidR="006F7487" w:rsidRPr="0094085B">
        <w:t>23</w:t>
      </w:r>
      <w:r w:rsidRPr="0094085B">
        <w:t>) 65</w:t>
      </w:r>
      <w:r w:rsidR="00C128A3" w:rsidRPr="0094085B">
        <w:t>–</w:t>
      </w:r>
      <w:r w:rsidRPr="0094085B">
        <w:t xml:space="preserve">7 (Article 16 and commentary); Vladyslav </w:t>
      </w:r>
      <w:proofErr w:type="spellStart"/>
      <w:r w:rsidRPr="0094085B">
        <w:t>Lanovoy</w:t>
      </w:r>
      <w:proofErr w:type="spellEnd"/>
      <w:r w:rsidRPr="0094085B">
        <w:t xml:space="preserve">, </w:t>
      </w:r>
      <w:r w:rsidRPr="0094085B">
        <w:rPr>
          <w:i/>
          <w:iCs/>
        </w:rPr>
        <w:t>Complicity and its Limits in the Law of International Responsibility</w:t>
      </w:r>
      <w:r w:rsidRPr="0094085B">
        <w:t xml:space="preserve"> (Hart Publishing, 2016) particularly 92</w:t>
      </w:r>
      <w:r w:rsidR="00F216C5" w:rsidRPr="0094085B">
        <w:t>–</w:t>
      </w:r>
      <w:r w:rsidRPr="0094085B">
        <w:t>161</w:t>
      </w:r>
      <w:r w:rsidR="00F216C5" w:rsidRPr="0094085B">
        <w:t xml:space="preserve">; </w:t>
      </w:r>
      <w:r w:rsidRPr="0094085B">
        <w:t xml:space="preserve">Miles Jackson, </w:t>
      </w:r>
      <w:r w:rsidRPr="0094085B">
        <w:rPr>
          <w:i/>
          <w:iCs/>
        </w:rPr>
        <w:t>Complicity in International Law</w:t>
      </w:r>
      <w:r w:rsidRPr="0094085B">
        <w:t xml:space="preserve"> (Oxford University Press, 2015) 136</w:t>
      </w:r>
      <w:r w:rsidR="00F216C5" w:rsidRPr="0094085B">
        <w:t>–</w:t>
      </w:r>
      <w:r w:rsidRPr="0094085B">
        <w:t>47 (regarding, specifically, complicity in relation to an act of aggression).</w:t>
      </w:r>
    </w:p>
  </w:footnote>
  <w:footnote w:id="36">
    <w:p w14:paraId="1BFA2959" w14:textId="2971245B" w:rsidR="00CC3D69" w:rsidRPr="0094085B" w:rsidRDefault="00CC3D69" w:rsidP="0094085B">
      <w:pPr>
        <w:pStyle w:val="FootnoteText"/>
        <w:jc w:val="both"/>
      </w:pPr>
      <w:r w:rsidRPr="0094085B">
        <w:rPr>
          <w:rStyle w:val="FootnoteReference"/>
        </w:rPr>
        <w:footnoteRef/>
      </w:r>
      <w:r w:rsidRPr="0094085B">
        <w:t xml:space="preserve"> For discussion, see, e.g. ILA, Use of Force Committee (2010-2018), Final Report on Aggression and the Use of Force, Sydney Conference (2018) </w:t>
      </w:r>
      <w:hyperlink r:id="rId11" w:history="1">
        <w:r w:rsidRPr="0094085B">
          <w:rPr>
            <w:rStyle w:val="Hyperlink"/>
          </w:rPr>
          <w:t>https://ila.vettoreweb.com/Storage/Download.aspx?DbStorageId=11391&amp;StorageFileGuid=6a499340-074d-4d4b-851b-7a56871175d6</w:t>
        </w:r>
      </w:hyperlink>
      <w:r w:rsidRPr="0094085B">
        <w:t>, 4</w:t>
      </w:r>
      <w:r w:rsidR="007A175D" w:rsidRPr="0094085B">
        <w:t>–</w:t>
      </w:r>
      <w:r w:rsidRPr="0094085B">
        <w:t xml:space="preserve">5; </w:t>
      </w:r>
      <w:r w:rsidR="003B4FD0" w:rsidRPr="0094085B">
        <w:t xml:space="preserve">Christian Henderson, </w:t>
      </w:r>
      <w:r w:rsidR="003B4FD0" w:rsidRPr="0094085B">
        <w:rPr>
          <w:i/>
        </w:rPr>
        <w:t>The Use of Force and International Law</w:t>
      </w:r>
      <w:r w:rsidR="003B4FD0" w:rsidRPr="0094085B">
        <w:t xml:space="preserve"> (Cambridge University Press, 2018) </w:t>
      </w:r>
      <w:r w:rsidRPr="0094085B">
        <w:t>50</w:t>
      </w:r>
      <w:r w:rsidR="007A175D" w:rsidRPr="0094085B">
        <w:t>–</w:t>
      </w:r>
      <w:r w:rsidRPr="0094085B">
        <w:t xml:space="preserve">81; Andrzej </w:t>
      </w:r>
      <w:proofErr w:type="spellStart"/>
      <w:r w:rsidRPr="0094085B">
        <w:t>Jacewicz</w:t>
      </w:r>
      <w:proofErr w:type="spellEnd"/>
      <w:r w:rsidRPr="0094085B">
        <w:t>, ‘The Concept of Force in the United Nations Charter’ (1977</w:t>
      </w:r>
      <w:r w:rsidR="007A175D" w:rsidRPr="0094085B">
        <w:t>–</w:t>
      </w:r>
      <w:r w:rsidRPr="0094085B">
        <w:t xml:space="preserve">1978) 9 </w:t>
      </w:r>
      <w:r w:rsidRPr="0094085B">
        <w:rPr>
          <w:i/>
          <w:iCs/>
        </w:rPr>
        <w:t>Polish Yearbook of International Law</w:t>
      </w:r>
      <w:r w:rsidRPr="0094085B">
        <w:t xml:space="preserve"> 137.</w:t>
      </w:r>
    </w:p>
  </w:footnote>
  <w:footnote w:id="37">
    <w:p w14:paraId="5A1C2E10" w14:textId="77777777" w:rsidR="006647D4" w:rsidRPr="0094085B" w:rsidRDefault="006647D4" w:rsidP="0094085B">
      <w:pPr>
        <w:pStyle w:val="FootnoteText"/>
        <w:jc w:val="both"/>
      </w:pPr>
      <w:r w:rsidRPr="0094085B">
        <w:rPr>
          <w:rStyle w:val="FootnoteReference"/>
        </w:rPr>
        <w:footnoteRef/>
      </w:r>
      <w:r w:rsidRPr="0094085B">
        <w:t xml:space="preserve"> See, </w:t>
      </w:r>
      <w:proofErr w:type="gramStart"/>
      <w:r w:rsidRPr="0094085B">
        <w:t>e.g.</w:t>
      </w:r>
      <w:proofErr w:type="gramEnd"/>
      <w:r w:rsidRPr="0094085B">
        <w:t xml:space="preserve"> James A </w:t>
      </w:r>
      <w:proofErr w:type="spellStart"/>
      <w:r w:rsidRPr="0094085B">
        <w:t>Delanis</w:t>
      </w:r>
      <w:proofErr w:type="spellEnd"/>
      <w:r w:rsidRPr="0094085B">
        <w:t xml:space="preserve">, ‘“Force” under Article 2(4) of the United Nations Charter: The Question of Economic and Political Coercion’ (1979) 12 </w:t>
      </w:r>
      <w:r w:rsidRPr="0094085B">
        <w:rPr>
          <w:i/>
          <w:iCs/>
        </w:rPr>
        <w:t xml:space="preserve">Vanderbilt Journal of Transnational Law </w:t>
      </w:r>
      <w:r w:rsidRPr="0094085B">
        <w:t xml:space="preserve">101; Tom J Farer, ‘Political and Economic Coercion in Contemporary International Law’ (1985) 79 </w:t>
      </w:r>
      <w:r w:rsidRPr="0094085B">
        <w:rPr>
          <w:i/>
          <w:iCs/>
        </w:rPr>
        <w:t>American Journal of International Law</w:t>
      </w:r>
      <w:r w:rsidRPr="0094085B">
        <w:t xml:space="preserve"> 40.</w:t>
      </w:r>
    </w:p>
  </w:footnote>
  <w:footnote w:id="38">
    <w:p w14:paraId="061FF92D" w14:textId="77777777" w:rsidR="006647D4" w:rsidRPr="0094085B" w:rsidRDefault="006647D4" w:rsidP="0094085B">
      <w:pPr>
        <w:pStyle w:val="FootnoteText"/>
        <w:jc w:val="both"/>
      </w:pPr>
      <w:r w:rsidRPr="0094085B">
        <w:rPr>
          <w:rStyle w:val="FootnoteReference"/>
        </w:rPr>
        <w:footnoteRef/>
      </w:r>
      <w:r w:rsidRPr="0094085B">
        <w:t xml:space="preserve"> See, </w:t>
      </w:r>
      <w:proofErr w:type="gramStart"/>
      <w:r w:rsidRPr="0094085B">
        <w:t>e.g.</w:t>
      </w:r>
      <w:proofErr w:type="gramEnd"/>
      <w:r w:rsidRPr="0094085B">
        <w:t xml:space="preserve"> Michael N Schmitt, ‘Computer Network Attack and the Use of Force in International Law: Thoughts on a Normative Framework’ (1999) 37 </w:t>
      </w:r>
      <w:r w:rsidRPr="0094085B">
        <w:rPr>
          <w:i/>
          <w:iCs/>
        </w:rPr>
        <w:t>Columbia Journal of Transnational Law</w:t>
      </w:r>
      <w:r w:rsidRPr="0094085B">
        <w:t xml:space="preserve"> 885; James A Green, ‘The Regulation of Cyber Warfare under the </w:t>
      </w:r>
      <w:r w:rsidRPr="0094085B">
        <w:rPr>
          <w:i/>
          <w:iCs/>
        </w:rPr>
        <w:t>Jus ad Bellum</w:t>
      </w:r>
      <w:r w:rsidRPr="0094085B">
        <w:t xml:space="preserve">’, in James A Green (ed), </w:t>
      </w:r>
      <w:r w:rsidRPr="0094085B">
        <w:rPr>
          <w:i/>
          <w:iCs/>
        </w:rPr>
        <w:t>Cyber Warfare: A Multidisciplinary Analysis</w:t>
      </w:r>
      <w:r w:rsidRPr="0094085B">
        <w:t xml:space="preserve"> (Routledge, 2015), 96, 98–107.</w:t>
      </w:r>
    </w:p>
  </w:footnote>
  <w:footnote w:id="39">
    <w:p w14:paraId="13A6F344" w14:textId="77777777" w:rsidR="006647D4" w:rsidRPr="0094085B" w:rsidRDefault="006647D4" w:rsidP="0094085B">
      <w:pPr>
        <w:pStyle w:val="FootnoteText"/>
        <w:jc w:val="both"/>
      </w:pPr>
      <w:r w:rsidRPr="0094085B">
        <w:rPr>
          <w:rStyle w:val="FootnoteReference"/>
        </w:rPr>
        <w:footnoteRef/>
      </w:r>
      <w:r w:rsidRPr="0094085B">
        <w:t xml:space="preserve"> See, e.g. Tom Ruys, ‘The Meaning of Force and the Boundaries of the </w:t>
      </w:r>
      <w:r w:rsidRPr="0094085B">
        <w:rPr>
          <w:i/>
          <w:iCs/>
        </w:rPr>
        <w:t>Jus ad Bellum</w:t>
      </w:r>
      <w:r w:rsidRPr="0094085B">
        <w:t xml:space="preserve">: Are Minimal Uses of Force Excluded from UN Charter Article 2(4)’ (2014) 108 </w:t>
      </w:r>
      <w:r w:rsidRPr="0094085B">
        <w:rPr>
          <w:i/>
          <w:iCs/>
        </w:rPr>
        <w:t>American Journal of International Law</w:t>
      </w:r>
      <w:r w:rsidRPr="0094085B">
        <w:t xml:space="preserve"> 159; Mary Ellen O’Connell, ‘The True Meaning of Force’ (2014) 108 </w:t>
      </w:r>
      <w:r w:rsidRPr="0094085B">
        <w:rPr>
          <w:i/>
          <w:iCs/>
        </w:rPr>
        <w:t>AJIL Unbound</w:t>
      </w:r>
      <w:r w:rsidRPr="0094085B">
        <w:t xml:space="preserve"> 141; Tom Ruys, ‘The True Meaning of Force: A Reply to Mary Ellen O’Connell’ (2014) 108 </w:t>
      </w:r>
      <w:r w:rsidRPr="0094085B">
        <w:rPr>
          <w:i/>
          <w:iCs/>
        </w:rPr>
        <w:t>AJIL Unbound</w:t>
      </w:r>
      <w:r w:rsidRPr="0094085B">
        <w:t xml:space="preserve"> 148; Mary Ellen O’Connell, ‘The True Meaning of Force: A Further Response to Tom Ruys in the Interest of Peace’ (2014) 108 </w:t>
      </w:r>
      <w:r w:rsidRPr="0094085B">
        <w:rPr>
          <w:i/>
          <w:iCs/>
        </w:rPr>
        <w:t>AJIL Unbound</w:t>
      </w:r>
      <w:r w:rsidRPr="0094085B">
        <w:t xml:space="preserve"> 153; Olivier Corten, </w:t>
      </w:r>
      <w:r w:rsidRPr="0094085B">
        <w:rPr>
          <w:i/>
        </w:rPr>
        <w:t>The Law Against War: The Prohibition on the Use of Force in Contemporary International Law</w:t>
      </w:r>
      <w:r w:rsidRPr="0094085B">
        <w:t xml:space="preserve"> (Hart Publishing, 2nd </w:t>
      </w:r>
      <w:proofErr w:type="spellStart"/>
      <w:r w:rsidRPr="0094085B">
        <w:t>edn</w:t>
      </w:r>
      <w:proofErr w:type="spellEnd"/>
      <w:r w:rsidRPr="0094085B">
        <w:t xml:space="preserve"> 2021) 62–90.</w:t>
      </w:r>
    </w:p>
  </w:footnote>
  <w:footnote w:id="40">
    <w:p w14:paraId="1438383D" w14:textId="77777777" w:rsidR="00CC3D69" w:rsidRPr="0094085B" w:rsidRDefault="00CC3D69" w:rsidP="0094085B">
      <w:pPr>
        <w:pStyle w:val="FootnoteText"/>
        <w:jc w:val="both"/>
      </w:pPr>
      <w:r w:rsidRPr="0094085B">
        <w:rPr>
          <w:rStyle w:val="FootnoteReference"/>
        </w:rPr>
        <w:footnoteRef/>
      </w:r>
      <w:r w:rsidRPr="0094085B">
        <w:t xml:space="preserve"> </w:t>
      </w:r>
      <w:proofErr w:type="spellStart"/>
      <w:r w:rsidRPr="0094085B">
        <w:t>Pål</w:t>
      </w:r>
      <w:proofErr w:type="spellEnd"/>
      <w:r w:rsidRPr="0094085B">
        <w:t xml:space="preserve"> </w:t>
      </w:r>
      <w:proofErr w:type="spellStart"/>
      <w:r w:rsidRPr="0094085B">
        <w:t>Wrange</w:t>
      </w:r>
      <w:proofErr w:type="spellEnd"/>
      <w:r w:rsidRPr="0094085B">
        <w:t xml:space="preserve">, ‘Law, Force and Contingency – Notes on a Bold Monograph on Article 2(4) and the Problems of Finding a Proper Basis for International Legal Reasoning’ (1992-1993) 61 </w:t>
      </w:r>
      <w:r w:rsidRPr="0094085B">
        <w:rPr>
          <w:i/>
          <w:iCs/>
        </w:rPr>
        <w:t>Nordic Journal of International Law</w:t>
      </w:r>
      <w:r w:rsidRPr="0094085B">
        <w:t xml:space="preserve"> 83, 83.</w:t>
      </w:r>
    </w:p>
  </w:footnote>
  <w:footnote w:id="41">
    <w:p w14:paraId="6ED4198D" w14:textId="2DCB1630" w:rsidR="00CF5AE9" w:rsidRPr="0094085B" w:rsidRDefault="00CF5AE9" w:rsidP="0094085B">
      <w:pPr>
        <w:pStyle w:val="FootnoteText"/>
        <w:jc w:val="both"/>
      </w:pPr>
      <w:r w:rsidRPr="0094085B">
        <w:rPr>
          <w:rStyle w:val="FootnoteReference"/>
        </w:rPr>
        <w:footnoteRef/>
      </w:r>
      <w:r w:rsidRPr="0094085B">
        <w:t xml:space="preserve"> Kreß</w:t>
      </w:r>
      <w:r w:rsidR="003922A0" w:rsidRPr="0094085B">
        <w:t xml:space="preserve"> (n </w:t>
      </w:r>
      <w:r w:rsidR="006F7487" w:rsidRPr="0094085B">
        <w:t>20</w:t>
      </w:r>
      <w:r w:rsidR="003922A0" w:rsidRPr="0094085B">
        <w:t>)</w:t>
      </w:r>
      <w:r w:rsidRPr="0094085B">
        <w:t xml:space="preserve"> 15 (emphasis added).</w:t>
      </w:r>
    </w:p>
  </w:footnote>
  <w:footnote w:id="42">
    <w:p w14:paraId="4E37032E" w14:textId="599B29C8" w:rsidR="004860F5" w:rsidRPr="0094085B" w:rsidRDefault="004860F5" w:rsidP="0094085B">
      <w:pPr>
        <w:pStyle w:val="FootnoteText"/>
        <w:jc w:val="both"/>
      </w:pPr>
      <w:r w:rsidRPr="0094085B">
        <w:rPr>
          <w:rStyle w:val="FootnoteReference"/>
        </w:rPr>
        <w:footnoteRef/>
      </w:r>
      <w:r w:rsidRPr="0094085B">
        <w:t xml:space="preserve"> </w:t>
      </w:r>
      <w:r w:rsidR="006F7487" w:rsidRPr="0094085B">
        <w:t xml:space="preserve">Heller and </w:t>
      </w:r>
      <w:proofErr w:type="spellStart"/>
      <w:r w:rsidR="006F7487" w:rsidRPr="0094085B">
        <w:t>Trabucco</w:t>
      </w:r>
      <w:proofErr w:type="spellEnd"/>
      <w:r w:rsidR="006F7487" w:rsidRPr="0094085B">
        <w:t xml:space="preserve"> (n 8)</w:t>
      </w:r>
      <w:r w:rsidRPr="0094085B">
        <w:t xml:space="preserve"> 254.</w:t>
      </w:r>
    </w:p>
  </w:footnote>
  <w:footnote w:id="43">
    <w:p w14:paraId="31AF6D90" w14:textId="55FA84BF" w:rsidR="00CC3D69" w:rsidRPr="0094085B" w:rsidRDefault="00CC3D69" w:rsidP="0094085B">
      <w:pPr>
        <w:jc w:val="both"/>
        <w:rPr>
          <w:sz w:val="20"/>
          <w:szCs w:val="20"/>
        </w:rPr>
      </w:pPr>
      <w:r w:rsidRPr="0094085B">
        <w:rPr>
          <w:rStyle w:val="FootnoteReference"/>
          <w:sz w:val="20"/>
          <w:szCs w:val="20"/>
        </w:rPr>
        <w:footnoteRef/>
      </w:r>
      <w:r w:rsidRPr="0094085B">
        <w:rPr>
          <w:sz w:val="20"/>
          <w:szCs w:val="20"/>
        </w:rPr>
        <w:t xml:space="preserve"> </w:t>
      </w:r>
      <w:r w:rsidR="00252EBD" w:rsidRPr="0094085B">
        <w:rPr>
          <w:i/>
          <w:sz w:val="20"/>
          <w:szCs w:val="20"/>
        </w:rPr>
        <w:t>Nicaragua</w:t>
      </w:r>
      <w:r w:rsidR="00252EBD" w:rsidRPr="0094085B">
        <w:rPr>
          <w:sz w:val="20"/>
          <w:szCs w:val="20"/>
        </w:rPr>
        <w:t xml:space="preserve"> (merits) (n </w:t>
      </w:r>
      <w:r w:rsidR="006F7487" w:rsidRPr="0094085B">
        <w:rPr>
          <w:sz w:val="20"/>
          <w:szCs w:val="20"/>
        </w:rPr>
        <w:t>16</w:t>
      </w:r>
      <w:r w:rsidR="00252EBD" w:rsidRPr="0094085B">
        <w:rPr>
          <w:sz w:val="20"/>
          <w:szCs w:val="20"/>
        </w:rPr>
        <w:t xml:space="preserve">) </w:t>
      </w:r>
      <w:r w:rsidRPr="0094085B">
        <w:rPr>
          <w:sz w:val="20"/>
          <w:szCs w:val="20"/>
        </w:rPr>
        <w:t>para</w:t>
      </w:r>
      <w:r w:rsidR="004B0B04" w:rsidRPr="0094085B">
        <w:rPr>
          <w:sz w:val="20"/>
          <w:szCs w:val="20"/>
        </w:rPr>
        <w:t xml:space="preserve"> </w:t>
      </w:r>
      <w:r w:rsidRPr="0094085B">
        <w:rPr>
          <w:sz w:val="20"/>
          <w:szCs w:val="20"/>
        </w:rPr>
        <w:t>195.</w:t>
      </w:r>
    </w:p>
  </w:footnote>
  <w:footnote w:id="44">
    <w:p w14:paraId="320B0953" w14:textId="5A0465D5" w:rsidR="00CC3D69" w:rsidRPr="0094085B" w:rsidRDefault="00CC3D69" w:rsidP="0094085B">
      <w:pPr>
        <w:pStyle w:val="FootnoteText"/>
        <w:jc w:val="both"/>
      </w:pPr>
      <w:r w:rsidRPr="0094085B">
        <w:rPr>
          <w:rStyle w:val="FootnoteReference"/>
        </w:rPr>
        <w:footnoteRef/>
      </w:r>
      <w:r w:rsidRPr="0094085B">
        <w:t xml:space="preserve"> </w:t>
      </w:r>
      <w:r w:rsidRPr="0094085B">
        <w:rPr>
          <w:i/>
          <w:iCs/>
        </w:rPr>
        <w:t>Ibid</w:t>
      </w:r>
      <w:r w:rsidRPr="0094085B">
        <w:t>, para 228.</w:t>
      </w:r>
    </w:p>
  </w:footnote>
  <w:footnote w:id="45">
    <w:p w14:paraId="6C719116" w14:textId="75C38F51" w:rsidR="00CC3D69" w:rsidRPr="0094085B" w:rsidRDefault="00CC3D69" w:rsidP="0094085B">
      <w:pPr>
        <w:pStyle w:val="FootnoteText"/>
        <w:jc w:val="both"/>
      </w:pPr>
      <w:r w:rsidRPr="0094085B">
        <w:rPr>
          <w:rStyle w:val="FootnoteReference"/>
        </w:rPr>
        <w:footnoteRef/>
      </w:r>
      <w:r w:rsidRPr="0094085B">
        <w:t xml:space="preserve"> </w:t>
      </w:r>
      <w:r w:rsidRPr="0094085B">
        <w:rPr>
          <w:i/>
          <w:iCs/>
        </w:rPr>
        <w:t>Ibid</w:t>
      </w:r>
      <w:r w:rsidRPr="0094085B">
        <w:t>, para 229 (emphasis added).</w:t>
      </w:r>
    </w:p>
  </w:footnote>
  <w:footnote w:id="46">
    <w:p w14:paraId="5BD7F453" w14:textId="6A5E08B0" w:rsidR="00CC3D69" w:rsidRPr="0094085B" w:rsidRDefault="00CC3D69" w:rsidP="0094085B">
      <w:pPr>
        <w:pStyle w:val="FootnoteText"/>
        <w:jc w:val="both"/>
      </w:pPr>
      <w:r w:rsidRPr="0094085B">
        <w:rPr>
          <w:rStyle w:val="FootnoteReference"/>
        </w:rPr>
        <w:footnoteRef/>
      </w:r>
      <w:r w:rsidRPr="0094085B">
        <w:t xml:space="preserve"> </w:t>
      </w:r>
      <w:bookmarkStart w:id="1" w:name="_Hlk117495728"/>
      <w:r w:rsidRPr="0094085B">
        <w:rPr>
          <w:i/>
          <w:iCs/>
        </w:rPr>
        <w:t>Ibid</w:t>
      </w:r>
      <w:r w:rsidRPr="0094085B">
        <w:t xml:space="preserve">, </w:t>
      </w:r>
      <w:bookmarkEnd w:id="1"/>
      <w:r w:rsidRPr="0094085B">
        <w:t>paras 229-238.</w:t>
      </w:r>
    </w:p>
  </w:footnote>
  <w:footnote w:id="47">
    <w:p w14:paraId="06C4ED65" w14:textId="1508EBE3" w:rsidR="00CC3D69" w:rsidRPr="0094085B" w:rsidRDefault="00CC3D69" w:rsidP="0094085B">
      <w:pPr>
        <w:pStyle w:val="FootnoteText"/>
        <w:jc w:val="both"/>
      </w:pPr>
      <w:r w:rsidRPr="0094085B">
        <w:rPr>
          <w:rStyle w:val="FootnoteReference"/>
        </w:rPr>
        <w:footnoteRef/>
      </w:r>
      <w:r w:rsidRPr="0094085B">
        <w:t xml:space="preserve"> See, e.g. Louis B Sohn, ‘How New is the New International Legal Order’ (1992) 20 </w:t>
      </w:r>
      <w:r w:rsidRPr="0094085B">
        <w:rPr>
          <w:i/>
          <w:iCs/>
        </w:rPr>
        <w:t>Denver Journal of International Law a</w:t>
      </w:r>
      <w:r w:rsidR="00D43301" w:rsidRPr="0094085B">
        <w:rPr>
          <w:i/>
          <w:iCs/>
        </w:rPr>
        <w:t>n</w:t>
      </w:r>
      <w:r w:rsidRPr="0094085B">
        <w:rPr>
          <w:i/>
          <w:iCs/>
        </w:rPr>
        <w:t>d Policy</w:t>
      </w:r>
      <w:r w:rsidRPr="0094085B">
        <w:t xml:space="preserve"> 205, 210; </w:t>
      </w:r>
      <w:r w:rsidR="008170BB" w:rsidRPr="0094085B">
        <w:t>Terry D Gill, ‘The Second Gulf Crisis and the Relation between Collective Security and Collective Self-</w:t>
      </w:r>
      <w:proofErr w:type="spellStart"/>
      <w:r w:rsidR="008170BB" w:rsidRPr="0094085B">
        <w:t>Defense</w:t>
      </w:r>
      <w:proofErr w:type="spellEnd"/>
      <w:r w:rsidR="008170BB" w:rsidRPr="0094085B">
        <w:t xml:space="preserve">’ (1989) 10 </w:t>
      </w:r>
      <w:proofErr w:type="spellStart"/>
      <w:r w:rsidR="008170BB" w:rsidRPr="0094085B">
        <w:rPr>
          <w:i/>
          <w:iCs/>
        </w:rPr>
        <w:t>Grotiana</w:t>
      </w:r>
      <w:proofErr w:type="spellEnd"/>
      <w:r w:rsidR="008170BB" w:rsidRPr="0094085B">
        <w:t xml:space="preserve"> 47, </w:t>
      </w:r>
      <w:r w:rsidRPr="0094085B">
        <w:t xml:space="preserve">65; </w:t>
      </w:r>
      <w:bookmarkStart w:id="2" w:name="_Hlk116036231"/>
      <w:r w:rsidR="00D20B9F" w:rsidRPr="0094085B">
        <w:t xml:space="preserve">Eustace </w:t>
      </w:r>
      <w:proofErr w:type="spellStart"/>
      <w:r w:rsidR="00D20B9F" w:rsidRPr="0094085B">
        <w:t>Chikere</w:t>
      </w:r>
      <w:proofErr w:type="spellEnd"/>
      <w:r w:rsidR="00D20B9F" w:rsidRPr="0094085B">
        <w:t xml:space="preserve"> Azubuike, ‘Probing the Scope of Self </w:t>
      </w:r>
      <w:proofErr w:type="spellStart"/>
      <w:r w:rsidR="00D20B9F" w:rsidRPr="0094085B">
        <w:t>Defense</w:t>
      </w:r>
      <w:proofErr w:type="spellEnd"/>
      <w:r w:rsidR="00D20B9F" w:rsidRPr="0094085B">
        <w:t xml:space="preserve"> in International Law’ (2011) 17 </w:t>
      </w:r>
      <w:r w:rsidR="00D20B9F" w:rsidRPr="0094085B">
        <w:rPr>
          <w:i/>
          <w:iCs/>
        </w:rPr>
        <w:t>Annual Survey of International and Comparative Law</w:t>
      </w:r>
      <w:r w:rsidR="00D20B9F" w:rsidRPr="0094085B">
        <w:t xml:space="preserve"> 129, </w:t>
      </w:r>
      <w:bookmarkEnd w:id="2"/>
      <w:r w:rsidRPr="0094085B">
        <w:t xml:space="preserve">178; Abdul </w:t>
      </w:r>
      <w:proofErr w:type="spellStart"/>
      <w:r w:rsidRPr="0094085B">
        <w:t>Ghafur</w:t>
      </w:r>
      <w:proofErr w:type="spellEnd"/>
      <w:r w:rsidRPr="0094085B">
        <w:t xml:space="preserve"> Hamid and </w:t>
      </w:r>
      <w:proofErr w:type="spellStart"/>
      <w:r w:rsidRPr="0094085B">
        <w:t>Khin</w:t>
      </w:r>
      <w:proofErr w:type="spellEnd"/>
      <w:r w:rsidRPr="0094085B">
        <w:t xml:space="preserve"> </w:t>
      </w:r>
      <w:proofErr w:type="spellStart"/>
      <w:r w:rsidRPr="0094085B">
        <w:t>Maung</w:t>
      </w:r>
      <w:proofErr w:type="spellEnd"/>
      <w:r w:rsidRPr="0094085B">
        <w:t xml:space="preserve"> Sein, ‘Combating Terrorism and the Use of Force against a State: A Relook at the Contemporary World Order’ (2015) 8 </w:t>
      </w:r>
      <w:r w:rsidRPr="0094085B">
        <w:rPr>
          <w:i/>
          <w:iCs/>
        </w:rPr>
        <w:t>Journal of East Asia and International Law</w:t>
      </w:r>
      <w:r w:rsidRPr="0094085B">
        <w:t xml:space="preserve"> 107, 111. </w:t>
      </w:r>
      <w:r w:rsidR="0025664B" w:rsidRPr="0094085B">
        <w:t>Indeed, t</w:t>
      </w:r>
      <w:r w:rsidRPr="0094085B">
        <w:t xml:space="preserve">o the extent that there has been critique of this aspect of the decision, it has largely been focused on the idea that the provision of weapons and logistical support should </w:t>
      </w:r>
      <w:r w:rsidRPr="0094085B">
        <w:rPr>
          <w:i/>
          <w:iCs/>
        </w:rPr>
        <w:t>not only</w:t>
      </w:r>
      <w:r w:rsidRPr="0094085B">
        <w:t xml:space="preserve"> have been viewed as a use of force by the ICJ, but </w:t>
      </w:r>
      <w:r w:rsidRPr="0094085B">
        <w:rPr>
          <w:i/>
          <w:iCs/>
        </w:rPr>
        <w:t>also</w:t>
      </w:r>
      <w:r w:rsidRPr="0094085B">
        <w:t xml:space="preserve"> as an armed attack. See, </w:t>
      </w:r>
      <w:proofErr w:type="gramStart"/>
      <w:r w:rsidRPr="0094085B">
        <w:t>e.g.</w:t>
      </w:r>
      <w:proofErr w:type="gramEnd"/>
      <w:r w:rsidRPr="0094085B">
        <w:t xml:space="preserve"> </w:t>
      </w:r>
      <w:r w:rsidR="00E50B75" w:rsidRPr="0094085B">
        <w:rPr>
          <w:i/>
        </w:rPr>
        <w:t>Nicaragua</w:t>
      </w:r>
      <w:r w:rsidR="00E50B75" w:rsidRPr="0094085B">
        <w:t xml:space="preserve"> (merits) (n </w:t>
      </w:r>
      <w:r w:rsidR="006F7487" w:rsidRPr="0094085B">
        <w:t>16</w:t>
      </w:r>
      <w:r w:rsidR="00E50B75" w:rsidRPr="0094085B">
        <w:t xml:space="preserve">) </w:t>
      </w:r>
      <w:r w:rsidRPr="0094085B">
        <w:t xml:space="preserve">dissenting opinion of Judge </w:t>
      </w:r>
      <w:proofErr w:type="spellStart"/>
      <w:r w:rsidRPr="0094085B">
        <w:t>Schwebel</w:t>
      </w:r>
      <w:proofErr w:type="spellEnd"/>
      <w:r w:rsidRPr="0094085B">
        <w:t>, para 171; Nicholas Rostow, ‘</w:t>
      </w:r>
      <w:r w:rsidRPr="0094085B">
        <w:rPr>
          <w:i/>
          <w:iCs/>
        </w:rPr>
        <w:t>Nicaragua</w:t>
      </w:r>
      <w:r w:rsidRPr="0094085B">
        <w:t xml:space="preserve"> and the Law of Self-</w:t>
      </w:r>
      <w:proofErr w:type="spellStart"/>
      <w:r w:rsidRPr="0094085B">
        <w:t>Defense</w:t>
      </w:r>
      <w:proofErr w:type="spellEnd"/>
      <w:r w:rsidRPr="0094085B">
        <w:t xml:space="preserve"> Revisited’ (1986) 11 </w:t>
      </w:r>
      <w:r w:rsidRPr="0094085B">
        <w:rPr>
          <w:i/>
          <w:iCs/>
        </w:rPr>
        <w:t>Yale Journal of International Law</w:t>
      </w:r>
      <w:r w:rsidRPr="0094085B">
        <w:t xml:space="preserve"> 437, 453; John Norton Moore, ‘The Secret War in Central America and the Future of World Order’ (1986) 80 </w:t>
      </w:r>
      <w:r w:rsidRPr="0094085B">
        <w:rPr>
          <w:i/>
          <w:iCs/>
        </w:rPr>
        <w:t>American Journal of International Law</w:t>
      </w:r>
      <w:r w:rsidRPr="0094085B">
        <w:t xml:space="preserve"> 43, 89.</w:t>
      </w:r>
    </w:p>
  </w:footnote>
  <w:footnote w:id="48">
    <w:p w14:paraId="4BD3FBFB" w14:textId="7EFC2053" w:rsidR="00CC3D69" w:rsidRPr="0094085B" w:rsidRDefault="00CC3D69" w:rsidP="0094085B">
      <w:pPr>
        <w:jc w:val="both"/>
        <w:rPr>
          <w:sz w:val="20"/>
          <w:szCs w:val="20"/>
        </w:rPr>
      </w:pPr>
      <w:r w:rsidRPr="0094085B">
        <w:rPr>
          <w:rStyle w:val="FootnoteReference"/>
          <w:sz w:val="20"/>
          <w:szCs w:val="20"/>
        </w:rPr>
        <w:footnoteRef/>
      </w:r>
      <w:r w:rsidRPr="0094085B">
        <w:rPr>
          <w:sz w:val="20"/>
          <w:szCs w:val="20"/>
        </w:rPr>
        <w:t xml:space="preserve"> See </w:t>
      </w:r>
      <w:bookmarkStart w:id="3" w:name="_Hlk126242615"/>
      <w:r w:rsidRPr="0094085B">
        <w:rPr>
          <w:sz w:val="20"/>
          <w:szCs w:val="20"/>
        </w:rPr>
        <w:t xml:space="preserve">Statute of the International Court of Justice (1945) 33 UNTS 93, Article </w:t>
      </w:r>
      <w:bookmarkEnd w:id="3"/>
      <w:r w:rsidRPr="0094085B">
        <w:rPr>
          <w:sz w:val="20"/>
          <w:szCs w:val="20"/>
        </w:rPr>
        <w:t xml:space="preserve">59 (‘[t]he decision of the Court has no binding force except between the parties and in respect of that particular case’); James A Green, </w:t>
      </w:r>
      <w:r w:rsidRPr="0094085B">
        <w:rPr>
          <w:i/>
          <w:sz w:val="20"/>
          <w:szCs w:val="20"/>
        </w:rPr>
        <w:t xml:space="preserve">The International Court of </w:t>
      </w:r>
      <w:proofErr w:type="gramStart"/>
      <w:r w:rsidRPr="0094085B">
        <w:rPr>
          <w:i/>
          <w:sz w:val="20"/>
          <w:szCs w:val="20"/>
        </w:rPr>
        <w:t>Justice</w:t>
      </w:r>
      <w:proofErr w:type="gramEnd"/>
      <w:r w:rsidRPr="0094085B">
        <w:rPr>
          <w:i/>
          <w:sz w:val="20"/>
          <w:szCs w:val="20"/>
        </w:rPr>
        <w:t xml:space="preserve"> and Self-Defence in International Law</w:t>
      </w:r>
      <w:r w:rsidRPr="0094085B">
        <w:rPr>
          <w:sz w:val="20"/>
          <w:szCs w:val="20"/>
        </w:rPr>
        <w:t xml:space="preserve"> (Hart Publishing, 2009)</w:t>
      </w:r>
      <w:r w:rsidR="00FE6C6E" w:rsidRPr="0094085B">
        <w:rPr>
          <w:sz w:val="20"/>
          <w:szCs w:val="20"/>
        </w:rPr>
        <w:t xml:space="preserve"> </w:t>
      </w:r>
      <w:r w:rsidRPr="0094085B">
        <w:rPr>
          <w:sz w:val="20"/>
          <w:szCs w:val="20"/>
        </w:rPr>
        <w:t>24</w:t>
      </w:r>
      <w:r w:rsidR="00FE6C6E" w:rsidRPr="0094085B">
        <w:rPr>
          <w:sz w:val="20"/>
          <w:szCs w:val="20"/>
        </w:rPr>
        <w:t>–</w:t>
      </w:r>
      <w:r w:rsidRPr="0094085B">
        <w:rPr>
          <w:sz w:val="20"/>
          <w:szCs w:val="20"/>
        </w:rPr>
        <w:t>5</w:t>
      </w:r>
      <w:r w:rsidR="001D7B01" w:rsidRPr="0094085B">
        <w:rPr>
          <w:sz w:val="20"/>
          <w:szCs w:val="20"/>
        </w:rPr>
        <w:t xml:space="preserve">; </w:t>
      </w:r>
      <w:r w:rsidR="006F7487" w:rsidRPr="0094085B">
        <w:rPr>
          <w:sz w:val="20"/>
          <w:szCs w:val="20"/>
        </w:rPr>
        <w:t>Schmitt (n 6)</w:t>
      </w:r>
      <w:r w:rsidR="001D7B01" w:rsidRPr="0094085B">
        <w:rPr>
          <w:sz w:val="20"/>
          <w:szCs w:val="20"/>
        </w:rPr>
        <w:t>.</w:t>
      </w:r>
    </w:p>
  </w:footnote>
  <w:footnote w:id="49">
    <w:p w14:paraId="1E76A02E" w14:textId="11825465" w:rsidR="00CC3D69" w:rsidRPr="0094085B" w:rsidRDefault="00CC3D69" w:rsidP="0094085B">
      <w:pPr>
        <w:pStyle w:val="FootnoteText"/>
        <w:jc w:val="both"/>
      </w:pPr>
      <w:r w:rsidRPr="0094085B">
        <w:rPr>
          <w:rStyle w:val="FootnoteReference"/>
        </w:rPr>
        <w:footnoteRef/>
      </w:r>
      <w:r w:rsidRPr="0094085B">
        <w:t xml:space="preserve"> </w:t>
      </w:r>
      <w:r w:rsidRPr="0094085B">
        <w:rPr>
          <w:i/>
        </w:rPr>
        <w:t>Nicaragua</w:t>
      </w:r>
      <w:r w:rsidRPr="0094085B">
        <w:t xml:space="preserve"> (merits) (</w:t>
      </w:r>
      <w:r w:rsidR="002C2DB8" w:rsidRPr="0094085B">
        <w:t xml:space="preserve">n </w:t>
      </w:r>
      <w:r w:rsidR="006F7487" w:rsidRPr="0094085B">
        <w:t>16</w:t>
      </w:r>
      <w:r w:rsidRPr="0094085B">
        <w:t>) paras 228, 242.</w:t>
      </w:r>
    </w:p>
  </w:footnote>
  <w:footnote w:id="50">
    <w:p w14:paraId="47EBCFF0" w14:textId="016848A8" w:rsidR="00CC3D69" w:rsidRPr="0094085B" w:rsidRDefault="00CC3D69" w:rsidP="0094085B">
      <w:pPr>
        <w:pStyle w:val="FootnoteText"/>
        <w:jc w:val="both"/>
      </w:pPr>
      <w:r w:rsidRPr="0094085B">
        <w:rPr>
          <w:rStyle w:val="FootnoteReference"/>
        </w:rPr>
        <w:footnoteRef/>
      </w:r>
      <w:r w:rsidRPr="0094085B">
        <w:t xml:space="preserve"> See discussion in Green </w:t>
      </w:r>
      <w:r w:rsidR="003A5205" w:rsidRPr="0094085B">
        <w:t>(</w:t>
      </w:r>
      <w:r w:rsidR="002C2DB8" w:rsidRPr="0094085B">
        <w:t xml:space="preserve">n </w:t>
      </w:r>
      <w:r w:rsidR="006F7487" w:rsidRPr="0094085B">
        <w:t>47</w:t>
      </w:r>
      <w:r w:rsidR="003A5205" w:rsidRPr="0094085B">
        <w:t>)</w:t>
      </w:r>
      <w:r w:rsidRPr="0094085B">
        <w:t xml:space="preserve"> 36</w:t>
      </w:r>
      <w:r w:rsidR="003A5205" w:rsidRPr="0094085B">
        <w:t>–</w:t>
      </w:r>
      <w:r w:rsidRPr="0094085B">
        <w:t>7.</w:t>
      </w:r>
    </w:p>
  </w:footnote>
  <w:footnote w:id="51">
    <w:p w14:paraId="3C95121D" w14:textId="05A6CDB6" w:rsidR="00CC3D69" w:rsidRPr="0094085B" w:rsidRDefault="00CC3D69" w:rsidP="0094085B">
      <w:pPr>
        <w:pStyle w:val="FootnoteText"/>
        <w:jc w:val="both"/>
      </w:pPr>
      <w:r w:rsidRPr="0094085B">
        <w:rPr>
          <w:rStyle w:val="FootnoteReference"/>
        </w:rPr>
        <w:footnoteRef/>
      </w:r>
      <w:r w:rsidRPr="0094085B">
        <w:t xml:space="preserve"> </w:t>
      </w:r>
      <w:r w:rsidR="003A5205" w:rsidRPr="0094085B">
        <w:t xml:space="preserve">See </w:t>
      </w:r>
      <w:r w:rsidRPr="0094085B">
        <w:t>Henderson (</w:t>
      </w:r>
      <w:r w:rsidR="002C2DB8" w:rsidRPr="0094085B">
        <w:t xml:space="preserve">n </w:t>
      </w:r>
      <w:r w:rsidR="006F7487" w:rsidRPr="0094085B">
        <w:t>35</w:t>
      </w:r>
      <w:r w:rsidRPr="0094085B">
        <w:t>) 61.</w:t>
      </w:r>
    </w:p>
  </w:footnote>
  <w:footnote w:id="52">
    <w:p w14:paraId="3DE4B9E7" w14:textId="6DFEC771" w:rsidR="00CC3D69" w:rsidRPr="0094085B" w:rsidRDefault="00CC3D69" w:rsidP="0094085B">
      <w:pPr>
        <w:pStyle w:val="FootnoteText"/>
        <w:jc w:val="both"/>
      </w:pPr>
      <w:r w:rsidRPr="0094085B">
        <w:rPr>
          <w:rStyle w:val="FootnoteReference"/>
        </w:rPr>
        <w:footnoteRef/>
      </w:r>
      <w:r w:rsidRPr="0094085B">
        <w:t xml:space="preserve"> See, </w:t>
      </w:r>
      <w:proofErr w:type="gramStart"/>
      <w:r w:rsidRPr="0094085B">
        <w:t>e.g.</w:t>
      </w:r>
      <w:proofErr w:type="gramEnd"/>
      <w:r w:rsidRPr="0094085B">
        <w:t xml:space="preserve"> Paul S </w:t>
      </w:r>
      <w:proofErr w:type="spellStart"/>
      <w:r w:rsidRPr="0094085B">
        <w:t>Reichler</w:t>
      </w:r>
      <w:proofErr w:type="spellEnd"/>
      <w:r w:rsidRPr="0094085B">
        <w:t xml:space="preserve"> and David </w:t>
      </w:r>
      <w:proofErr w:type="spellStart"/>
      <w:r w:rsidRPr="0094085B">
        <w:t>Wippman</w:t>
      </w:r>
      <w:proofErr w:type="spellEnd"/>
      <w:r w:rsidRPr="0094085B">
        <w:t xml:space="preserve">, ‘United States Armed Intervention in </w:t>
      </w:r>
      <w:r w:rsidRPr="0094085B">
        <w:rPr>
          <w:i/>
          <w:iCs/>
        </w:rPr>
        <w:t>Nicaragua</w:t>
      </w:r>
      <w:r w:rsidRPr="0094085B">
        <w:t xml:space="preserve">: A Rejoinder’ (1986) 11 </w:t>
      </w:r>
      <w:r w:rsidRPr="0094085B">
        <w:rPr>
          <w:i/>
          <w:iCs/>
        </w:rPr>
        <w:t>Yale Journal of International Law</w:t>
      </w:r>
      <w:r w:rsidRPr="0094085B">
        <w:t xml:space="preserve"> 462, 470</w:t>
      </w:r>
      <w:r w:rsidR="00FE6C6E" w:rsidRPr="0094085B">
        <w:t>–</w:t>
      </w:r>
      <w:r w:rsidRPr="0094085B">
        <w:t xml:space="preserve">1; </w:t>
      </w:r>
      <w:r w:rsidR="001135D1" w:rsidRPr="0094085B">
        <w:t>Domingo E. Acevedo, ‘Collective Self-</w:t>
      </w:r>
      <w:proofErr w:type="spellStart"/>
      <w:r w:rsidR="001135D1" w:rsidRPr="0094085B">
        <w:t>Defense</w:t>
      </w:r>
      <w:proofErr w:type="spellEnd"/>
      <w:r w:rsidR="001135D1" w:rsidRPr="0094085B">
        <w:t xml:space="preserve"> and the Use of Regional or Subregional Authority as Justification for the Use of Force’ (1984) 78 </w:t>
      </w:r>
      <w:r w:rsidR="001135D1" w:rsidRPr="0094085B">
        <w:rPr>
          <w:i/>
          <w:iCs/>
        </w:rPr>
        <w:t>American Society of International Law Proceedings</w:t>
      </w:r>
      <w:r w:rsidR="001135D1" w:rsidRPr="0094085B">
        <w:t xml:space="preserve"> 69, 71; </w:t>
      </w:r>
      <w:r w:rsidRPr="0094085B">
        <w:t>Green and Grimal (</w:t>
      </w:r>
      <w:r w:rsidR="002C2DB8" w:rsidRPr="0094085B">
        <w:t xml:space="preserve">n </w:t>
      </w:r>
      <w:r w:rsidR="006F7487" w:rsidRPr="0094085B">
        <w:t>25</w:t>
      </w:r>
      <w:r w:rsidRPr="0094085B">
        <w:t>) 293.</w:t>
      </w:r>
    </w:p>
  </w:footnote>
  <w:footnote w:id="53">
    <w:p w14:paraId="0ABCA4D1" w14:textId="77777777" w:rsidR="00CC3D69" w:rsidRPr="0094085B" w:rsidRDefault="00CC3D69" w:rsidP="0094085B">
      <w:pPr>
        <w:pStyle w:val="FootnoteText"/>
        <w:jc w:val="both"/>
      </w:pPr>
      <w:r w:rsidRPr="0094085B">
        <w:rPr>
          <w:rStyle w:val="FootnoteReference"/>
        </w:rPr>
        <w:footnoteRef/>
      </w:r>
      <w:r w:rsidRPr="0094085B">
        <w:t xml:space="preserve"> </w:t>
      </w:r>
      <w:r w:rsidRPr="0094085B">
        <w:rPr>
          <w:i/>
          <w:iCs/>
        </w:rPr>
        <w:t>Ibid</w:t>
      </w:r>
      <w:r w:rsidRPr="0094085B">
        <w:t>.</w:t>
      </w:r>
    </w:p>
  </w:footnote>
  <w:footnote w:id="54">
    <w:p w14:paraId="020BADDC" w14:textId="603D79A9" w:rsidR="00CC3D69" w:rsidRPr="0094085B" w:rsidRDefault="00CC3D69" w:rsidP="0094085B">
      <w:pPr>
        <w:pStyle w:val="FootnoteText"/>
        <w:jc w:val="both"/>
      </w:pPr>
      <w:r w:rsidRPr="0094085B">
        <w:rPr>
          <w:rStyle w:val="FootnoteReference"/>
        </w:rPr>
        <w:footnoteRef/>
      </w:r>
      <w:r w:rsidRPr="0094085B">
        <w:t xml:space="preserve"> See, </w:t>
      </w:r>
      <w:proofErr w:type="gramStart"/>
      <w:r w:rsidRPr="0094085B">
        <w:t>e.g.</w:t>
      </w:r>
      <w:proofErr w:type="gramEnd"/>
      <w:r w:rsidRPr="0094085B">
        <w:t xml:space="preserve"> Kreß (</w:t>
      </w:r>
      <w:r w:rsidR="002C2DB8" w:rsidRPr="0094085B">
        <w:t xml:space="preserve">n </w:t>
      </w:r>
      <w:r w:rsidR="006F7487" w:rsidRPr="0094085B">
        <w:t>20</w:t>
      </w:r>
      <w:r w:rsidRPr="0094085B">
        <w:t xml:space="preserve">) 16; </w:t>
      </w:r>
      <w:r w:rsidR="006F7487" w:rsidRPr="0094085B">
        <w:t>Schmitt (n 6)</w:t>
      </w:r>
      <w:r w:rsidR="005778BA" w:rsidRPr="0094085B">
        <w:t>.</w:t>
      </w:r>
    </w:p>
  </w:footnote>
  <w:footnote w:id="55">
    <w:p w14:paraId="151992C9" w14:textId="40AB9651" w:rsidR="00CC3D69" w:rsidRPr="0094085B" w:rsidRDefault="00CC3D69" w:rsidP="0094085B">
      <w:pPr>
        <w:pStyle w:val="FootnoteText"/>
        <w:jc w:val="both"/>
      </w:pPr>
      <w:r w:rsidRPr="0094085B">
        <w:rPr>
          <w:rStyle w:val="FootnoteReference"/>
        </w:rPr>
        <w:footnoteRef/>
      </w:r>
      <w:r w:rsidRPr="0094085B">
        <w:t xml:space="preserve"> </w:t>
      </w:r>
      <w:r w:rsidRPr="0094085B">
        <w:rPr>
          <w:i/>
          <w:iCs/>
        </w:rPr>
        <w:t>Ibid</w:t>
      </w:r>
      <w:r w:rsidR="002E26CC" w:rsidRPr="0094085B">
        <w:t>.</w:t>
      </w:r>
    </w:p>
  </w:footnote>
  <w:footnote w:id="56">
    <w:p w14:paraId="3938FC25" w14:textId="77777777" w:rsidR="002E26CC" w:rsidRPr="0094085B" w:rsidRDefault="002E26CC" w:rsidP="0094085B">
      <w:pPr>
        <w:pStyle w:val="FootnoteText"/>
        <w:jc w:val="both"/>
      </w:pPr>
      <w:r w:rsidRPr="0094085B">
        <w:rPr>
          <w:rStyle w:val="FootnoteReference"/>
        </w:rPr>
        <w:footnoteRef/>
      </w:r>
      <w:r w:rsidRPr="0094085B">
        <w:t xml:space="preserve"> </w:t>
      </w:r>
      <w:r w:rsidRPr="0094085B">
        <w:rPr>
          <w:i/>
          <w:iCs/>
        </w:rPr>
        <w:t>Ibid</w:t>
      </w:r>
      <w:r w:rsidRPr="0094085B">
        <w:t>.</w:t>
      </w:r>
    </w:p>
  </w:footnote>
  <w:footnote w:id="57">
    <w:p w14:paraId="2540F341" w14:textId="77777777" w:rsidR="00CC3D69" w:rsidRPr="0094085B" w:rsidRDefault="00CC3D69" w:rsidP="0094085B">
      <w:pPr>
        <w:jc w:val="both"/>
        <w:rPr>
          <w:sz w:val="20"/>
          <w:szCs w:val="20"/>
        </w:rPr>
      </w:pPr>
      <w:r w:rsidRPr="0094085B">
        <w:rPr>
          <w:rStyle w:val="FootnoteReference"/>
          <w:sz w:val="20"/>
          <w:szCs w:val="20"/>
        </w:rPr>
        <w:footnoteRef/>
      </w:r>
      <w:r w:rsidRPr="0094085B">
        <w:rPr>
          <w:sz w:val="20"/>
          <w:szCs w:val="20"/>
        </w:rPr>
        <w:t xml:space="preserve"> Declaration on Principles of International Law Concerning Friendly Relations and Co-operation Among States in Accordance with the Charter of the United Nations, UNGA Res 2625 (XXV), UN Doc A/RES/2625 (24 October 1970) annex.</w:t>
      </w:r>
    </w:p>
  </w:footnote>
  <w:footnote w:id="58">
    <w:p w14:paraId="76E143E4" w14:textId="30D14A30" w:rsidR="00212C16" w:rsidRPr="0094085B" w:rsidRDefault="00212C16" w:rsidP="0094085B">
      <w:pPr>
        <w:pStyle w:val="FootnoteText"/>
        <w:jc w:val="both"/>
      </w:pPr>
      <w:r w:rsidRPr="0094085B">
        <w:rPr>
          <w:rStyle w:val="FootnoteReference"/>
        </w:rPr>
        <w:footnoteRef/>
      </w:r>
      <w:r w:rsidRPr="0094085B">
        <w:t xml:space="preserve"> Kreß (n </w:t>
      </w:r>
      <w:r w:rsidR="006F7487" w:rsidRPr="0094085B">
        <w:t>20</w:t>
      </w:r>
      <w:r w:rsidRPr="0094085B">
        <w:t>) 16, footnote 73.</w:t>
      </w:r>
    </w:p>
  </w:footnote>
  <w:footnote w:id="59">
    <w:p w14:paraId="47C0CBB8" w14:textId="2E6B81B7" w:rsidR="00CC3D69" w:rsidRPr="0094085B" w:rsidRDefault="00CC3D69" w:rsidP="0094085B">
      <w:pPr>
        <w:pStyle w:val="FootnoteText"/>
        <w:jc w:val="both"/>
      </w:pPr>
      <w:r w:rsidRPr="0094085B">
        <w:rPr>
          <w:rStyle w:val="FootnoteReference"/>
        </w:rPr>
        <w:footnoteRef/>
      </w:r>
      <w:r w:rsidRPr="0094085B">
        <w:t xml:space="preserve"> Council of the European Union, ‘Council Common Position 2008/944/CFSP of 8 December 2008 defining common rules governing control of exports of military technology and equipment’, </w:t>
      </w:r>
      <w:r w:rsidRPr="0094085B">
        <w:rPr>
          <w:i/>
          <w:iCs/>
        </w:rPr>
        <w:t>Official Journal of the European Union</w:t>
      </w:r>
      <w:r w:rsidRPr="0094085B">
        <w:t xml:space="preserve"> (13 December 2008) recital 12.</w:t>
      </w:r>
    </w:p>
  </w:footnote>
  <w:footnote w:id="60">
    <w:p w14:paraId="4A543A25" w14:textId="173A2C4C" w:rsidR="00CC3D69" w:rsidRPr="0094085B" w:rsidRDefault="00CC3D69" w:rsidP="0094085B">
      <w:pPr>
        <w:pStyle w:val="FootnoteText"/>
        <w:jc w:val="both"/>
      </w:pPr>
      <w:r w:rsidRPr="0094085B">
        <w:rPr>
          <w:rStyle w:val="FootnoteReference"/>
        </w:rPr>
        <w:footnoteRef/>
      </w:r>
      <w:r w:rsidRPr="0094085B">
        <w:t xml:space="preserve"> See, </w:t>
      </w:r>
      <w:proofErr w:type="gramStart"/>
      <w:r w:rsidRPr="0094085B">
        <w:t>e.g.</w:t>
      </w:r>
      <w:proofErr w:type="gramEnd"/>
      <w:r w:rsidRPr="0094085B">
        <w:t xml:space="preserve"> Hamilton</w:t>
      </w:r>
      <w:r w:rsidR="00AF2F72" w:rsidRPr="0094085B">
        <w:t xml:space="preserve"> (n</w:t>
      </w:r>
      <w:r w:rsidR="002C2DB8" w:rsidRPr="0094085B">
        <w:t xml:space="preserve"> </w:t>
      </w:r>
      <w:r w:rsidR="006F7487" w:rsidRPr="0094085B">
        <w:t>8</w:t>
      </w:r>
      <w:r w:rsidR="009C04A7" w:rsidRPr="0094085B">
        <w:t>)</w:t>
      </w:r>
      <w:r w:rsidRPr="0094085B">
        <w:t xml:space="preserve"> 642; </w:t>
      </w:r>
      <w:r w:rsidR="006F7487" w:rsidRPr="0094085B">
        <w:t xml:space="preserve">Heller and </w:t>
      </w:r>
      <w:proofErr w:type="spellStart"/>
      <w:r w:rsidR="006F7487" w:rsidRPr="0094085B">
        <w:t>Trabucco</w:t>
      </w:r>
      <w:proofErr w:type="spellEnd"/>
      <w:r w:rsidR="006F7487" w:rsidRPr="0094085B">
        <w:t xml:space="preserve"> (n 8)</w:t>
      </w:r>
      <w:r w:rsidRPr="0094085B">
        <w:t xml:space="preserve"> 254, footnote 14.</w:t>
      </w:r>
      <w:r w:rsidR="00C15EAC" w:rsidRPr="0094085B">
        <w:t xml:space="preserve"> </w:t>
      </w:r>
      <w:r w:rsidR="00C15EAC" w:rsidRPr="0094085B">
        <w:rPr>
          <w:color w:val="000000"/>
          <w:shd w:val="clear" w:color="auto" w:fill="FFFFFF"/>
        </w:rPr>
        <w:t>Of course, even if one takes the latter interpretation, whether this further implies the view on the part of the EU that such action is a use of force depends on whether or not one accepts Buchan’s arguments, as touched on in section 2.</w:t>
      </w:r>
    </w:p>
  </w:footnote>
  <w:footnote w:id="61">
    <w:p w14:paraId="7C62BC7E" w14:textId="61536AA0" w:rsidR="00440DB8" w:rsidRPr="0094085B" w:rsidRDefault="00440DB8" w:rsidP="0094085B">
      <w:pPr>
        <w:pStyle w:val="FootnoteText"/>
        <w:jc w:val="both"/>
      </w:pPr>
      <w:r w:rsidRPr="0094085B">
        <w:rPr>
          <w:rStyle w:val="FootnoteReference"/>
        </w:rPr>
        <w:footnoteRef/>
      </w:r>
      <w:r w:rsidRPr="0094085B">
        <w:t xml:space="preserve"> See n </w:t>
      </w:r>
      <w:r w:rsidR="006F7487" w:rsidRPr="0094085B">
        <w:t>12</w:t>
      </w:r>
      <w:r w:rsidRPr="0094085B">
        <w:t xml:space="preserve"> – n </w:t>
      </w:r>
      <w:r w:rsidR="006F7487" w:rsidRPr="0094085B">
        <w:t>19</w:t>
      </w:r>
      <w:r w:rsidRPr="0094085B">
        <w:t xml:space="preserve"> and accompanying text.</w:t>
      </w:r>
    </w:p>
  </w:footnote>
  <w:footnote w:id="62">
    <w:p w14:paraId="162BE05F" w14:textId="613EA57A" w:rsidR="00440DB8" w:rsidRPr="0094085B" w:rsidRDefault="00440DB8" w:rsidP="0094085B">
      <w:pPr>
        <w:pStyle w:val="FootnoteText"/>
        <w:jc w:val="both"/>
      </w:pPr>
      <w:r w:rsidRPr="0094085B">
        <w:rPr>
          <w:rStyle w:val="FootnoteReference"/>
        </w:rPr>
        <w:footnoteRef/>
      </w:r>
      <w:r w:rsidRPr="0094085B">
        <w:t xml:space="preserve"> </w:t>
      </w:r>
      <w:r w:rsidR="00F13749" w:rsidRPr="0094085B">
        <w:t xml:space="preserve">See </w:t>
      </w:r>
      <w:r w:rsidRPr="0094085B">
        <w:t xml:space="preserve">Green (n </w:t>
      </w:r>
      <w:r w:rsidR="006F7487" w:rsidRPr="0094085B">
        <w:t>18</w:t>
      </w:r>
      <w:r w:rsidRPr="0094085B">
        <w:t>) 592–6; Greig</w:t>
      </w:r>
      <w:r w:rsidR="00790E1D" w:rsidRPr="0094085B">
        <w:t xml:space="preserve"> (n </w:t>
      </w:r>
      <w:r w:rsidR="006F7487" w:rsidRPr="0094085B">
        <w:t>19</w:t>
      </w:r>
      <w:r w:rsidR="00790E1D" w:rsidRPr="0094085B">
        <w:t>)</w:t>
      </w:r>
      <w:r w:rsidRPr="0094085B">
        <w:t xml:space="preserve"> 387</w:t>
      </w:r>
      <w:r w:rsidR="00F13749" w:rsidRPr="0094085B">
        <w:t>–8.</w:t>
      </w:r>
    </w:p>
  </w:footnote>
  <w:footnote w:id="63">
    <w:p w14:paraId="7C5A568E" w14:textId="2A6BD87F" w:rsidR="000F0838" w:rsidRPr="0094085B" w:rsidRDefault="000F0838" w:rsidP="0094085B">
      <w:pPr>
        <w:pStyle w:val="FootnoteText"/>
        <w:jc w:val="both"/>
      </w:pPr>
      <w:r w:rsidRPr="0094085B">
        <w:rPr>
          <w:rStyle w:val="FootnoteReference"/>
        </w:rPr>
        <w:footnoteRef/>
      </w:r>
      <w:r w:rsidRPr="0094085B">
        <w:t xml:space="preserve"> Kreß (n </w:t>
      </w:r>
      <w:r w:rsidR="006F7487" w:rsidRPr="0094085B">
        <w:t>20</w:t>
      </w:r>
      <w:r w:rsidRPr="0094085B">
        <w:t>) 15–6 (making this point specifically with regard to Germany, but it applies to all of the states in question).</w:t>
      </w:r>
    </w:p>
  </w:footnote>
  <w:footnote w:id="64">
    <w:p w14:paraId="7D085005" w14:textId="1C642789" w:rsidR="00B10B9D" w:rsidRPr="0094085B" w:rsidRDefault="00B10B9D" w:rsidP="0094085B">
      <w:pPr>
        <w:pStyle w:val="FootnoteText"/>
        <w:jc w:val="both"/>
      </w:pPr>
      <w:r w:rsidRPr="0094085B">
        <w:rPr>
          <w:rStyle w:val="FootnoteReference"/>
        </w:rPr>
        <w:footnoteRef/>
      </w:r>
      <w:r w:rsidRPr="0094085B">
        <w:t xml:space="preserve"> ‘NATO’s response to Russia’s invasion of Ukraine’, </w:t>
      </w:r>
      <w:r w:rsidRPr="0094085B">
        <w:rPr>
          <w:i/>
          <w:iCs/>
        </w:rPr>
        <w:t>North Atlantic Treaty Organization</w:t>
      </w:r>
      <w:r w:rsidRPr="0094085B">
        <w:t xml:space="preserve">, statement (last updated </w:t>
      </w:r>
      <w:r w:rsidR="009C68B1" w:rsidRPr="0094085B">
        <w:t>24 February 2023)</w:t>
      </w:r>
      <w:r w:rsidRPr="0094085B">
        <w:t xml:space="preserve"> </w:t>
      </w:r>
      <w:hyperlink r:id="rId12" w:history="1">
        <w:r w:rsidRPr="0094085B">
          <w:rPr>
            <w:rStyle w:val="Hyperlink"/>
          </w:rPr>
          <w:t>www.nato.int/cps/en/natohq/topics_192648.htm</w:t>
        </w:r>
      </w:hyperlink>
      <w:r w:rsidRPr="0094085B">
        <w:t>.</w:t>
      </w:r>
    </w:p>
  </w:footnote>
  <w:footnote w:id="65">
    <w:p w14:paraId="42F2D6FD" w14:textId="35D8552E" w:rsidR="00B10B9D" w:rsidRPr="0094085B" w:rsidRDefault="00B10B9D" w:rsidP="0094085B">
      <w:pPr>
        <w:pStyle w:val="FootnoteText"/>
        <w:jc w:val="both"/>
      </w:pPr>
      <w:r w:rsidRPr="0094085B">
        <w:rPr>
          <w:rStyle w:val="FootnoteReference"/>
        </w:rPr>
        <w:footnoteRef/>
      </w:r>
      <w:r w:rsidRPr="0094085B">
        <w:t xml:space="preserve"> ‘Statement from the President on Delivery of Air </w:t>
      </w:r>
      <w:proofErr w:type="spellStart"/>
      <w:r w:rsidRPr="0094085B">
        <w:t>Defense</w:t>
      </w:r>
      <w:proofErr w:type="spellEnd"/>
      <w:r w:rsidRPr="0094085B">
        <w:t xml:space="preserve"> Systems to Ukraine’, </w:t>
      </w:r>
      <w:r w:rsidRPr="0094085B">
        <w:rPr>
          <w:i/>
          <w:iCs/>
        </w:rPr>
        <w:t>The White House</w:t>
      </w:r>
      <w:r w:rsidRPr="0094085B">
        <w:t xml:space="preserve">, Briefing Room, Statements and Releases (8 April 2022) </w:t>
      </w:r>
      <w:hyperlink r:id="rId13" w:history="1">
        <w:r w:rsidRPr="0094085B">
          <w:rPr>
            <w:rStyle w:val="Hyperlink"/>
          </w:rPr>
          <w:t>www.whitehouse.gov/briefing-room/statements-releases/2022/04/08/statement-from-the-president-on-delivery-of-air-defense-systems-to-ukraine</w:t>
        </w:r>
      </w:hyperlink>
      <w:r w:rsidRPr="0094085B">
        <w:t xml:space="preserve">. </w:t>
      </w:r>
    </w:p>
  </w:footnote>
  <w:footnote w:id="66">
    <w:p w14:paraId="792E7575" w14:textId="485CF30D" w:rsidR="00B10B9D" w:rsidRPr="0094085B" w:rsidRDefault="00B10B9D" w:rsidP="0094085B">
      <w:pPr>
        <w:pStyle w:val="FootnoteText"/>
        <w:jc w:val="both"/>
        <w:rPr>
          <w:lang w:val="de-LU"/>
        </w:rPr>
      </w:pPr>
      <w:r w:rsidRPr="0094085B">
        <w:rPr>
          <w:rStyle w:val="FootnoteReference"/>
        </w:rPr>
        <w:footnoteRef/>
      </w:r>
      <w:r w:rsidRPr="0094085B">
        <w:rPr>
          <w:lang w:val="de-LU"/>
        </w:rPr>
        <w:t xml:space="preserve"> ‘Baerbock zur Hilfe für Ukraine: Panzerlieferung war “kein Schnellschuss”’, </w:t>
      </w:r>
      <w:r w:rsidRPr="0094085B">
        <w:rPr>
          <w:i/>
          <w:iCs/>
          <w:lang w:val="de-LU"/>
        </w:rPr>
        <w:t>Tagesschau</w:t>
      </w:r>
      <w:r w:rsidRPr="0094085B">
        <w:rPr>
          <w:lang w:val="de-LU"/>
        </w:rPr>
        <w:t xml:space="preserve"> (27 April 2022) </w:t>
      </w:r>
      <w:hyperlink r:id="rId14" w:history="1">
        <w:r w:rsidRPr="0094085B">
          <w:rPr>
            <w:rStyle w:val="Hyperlink"/>
            <w:lang w:val="de-LU"/>
          </w:rPr>
          <w:t>www.tagesschau.de/inland/bundestag-baerbock-101.html</w:t>
        </w:r>
      </w:hyperlink>
      <w:r w:rsidRPr="0094085B">
        <w:rPr>
          <w:lang w:val="de-LU"/>
        </w:rPr>
        <w:t xml:space="preserve">. </w:t>
      </w:r>
    </w:p>
  </w:footnote>
  <w:footnote w:id="67">
    <w:p w14:paraId="065D09A3" w14:textId="4748A133" w:rsidR="00B10B9D" w:rsidRPr="0094085B" w:rsidRDefault="00B10B9D" w:rsidP="0094085B">
      <w:pPr>
        <w:pStyle w:val="FootnoteText"/>
        <w:jc w:val="both"/>
      </w:pPr>
      <w:r w:rsidRPr="0094085B">
        <w:rPr>
          <w:rStyle w:val="FootnoteReference"/>
        </w:rPr>
        <w:footnoteRef/>
      </w:r>
      <w:r w:rsidRPr="0094085B">
        <w:t xml:space="preserve"> </w:t>
      </w:r>
      <w:proofErr w:type="spellStart"/>
      <w:r w:rsidRPr="0094085B">
        <w:rPr>
          <w:i/>
          <w:iCs/>
        </w:rPr>
        <w:t>Deutscher</w:t>
      </w:r>
      <w:proofErr w:type="spellEnd"/>
      <w:r w:rsidRPr="0094085B">
        <w:rPr>
          <w:i/>
          <w:iCs/>
        </w:rPr>
        <w:t xml:space="preserve"> Bundestag</w:t>
      </w:r>
      <w:r w:rsidRPr="0094085B">
        <w:t xml:space="preserve">, </w:t>
      </w:r>
      <w:proofErr w:type="spellStart"/>
      <w:r w:rsidRPr="0094085B">
        <w:t>Drucksache</w:t>
      </w:r>
      <w:proofErr w:type="spellEnd"/>
      <w:r w:rsidRPr="0094085B">
        <w:t xml:space="preserve"> 20/1918, Susanne Baumann (Secretary of State at the Federal Foreign Office) (18 May 2022) 39 (response to question 56) (emphasis added).</w:t>
      </w:r>
    </w:p>
  </w:footnote>
  <w:footnote w:id="68">
    <w:p w14:paraId="35E7F7A8" w14:textId="77777777" w:rsidR="00B5135E" w:rsidRPr="0094085B" w:rsidRDefault="00B5135E" w:rsidP="0094085B">
      <w:pPr>
        <w:pStyle w:val="FootnoteText"/>
        <w:jc w:val="both"/>
      </w:pPr>
      <w:r w:rsidRPr="0094085B">
        <w:rPr>
          <w:rStyle w:val="FootnoteReference"/>
        </w:rPr>
        <w:footnoteRef/>
      </w:r>
      <w:r w:rsidRPr="0094085B">
        <w:t xml:space="preserve"> </w:t>
      </w:r>
      <w:r w:rsidRPr="0094085B">
        <w:rPr>
          <w:color w:val="000000"/>
        </w:rPr>
        <w:t xml:space="preserve">UNSC Verbatim Record, UN Doc S/PV.9127 (8 September 2022) </w:t>
      </w:r>
      <w:r w:rsidRPr="0094085B">
        <w:t>16 (emphasis added).</w:t>
      </w:r>
    </w:p>
  </w:footnote>
  <w:footnote w:id="69">
    <w:p w14:paraId="1F14B01D" w14:textId="77777777" w:rsidR="00B5135E" w:rsidRPr="0094085B" w:rsidRDefault="00B5135E" w:rsidP="0094085B">
      <w:pPr>
        <w:pStyle w:val="FootnoteText"/>
        <w:jc w:val="both"/>
      </w:pPr>
      <w:r w:rsidRPr="0094085B">
        <w:rPr>
          <w:rStyle w:val="FootnoteReference"/>
        </w:rPr>
        <w:footnoteRef/>
      </w:r>
      <w:r w:rsidRPr="0094085B">
        <w:t xml:space="preserve"> </w:t>
      </w:r>
      <w:r w:rsidRPr="0094085B">
        <w:rPr>
          <w:i/>
          <w:iCs/>
        </w:rPr>
        <w:t>Ibid</w:t>
      </w:r>
      <w:r w:rsidRPr="0094085B">
        <w:t>, 11.</w:t>
      </w:r>
    </w:p>
  </w:footnote>
  <w:footnote w:id="70">
    <w:p w14:paraId="77B51855" w14:textId="77777777" w:rsidR="00B5135E" w:rsidRPr="0094085B" w:rsidRDefault="00B5135E" w:rsidP="0094085B">
      <w:pPr>
        <w:jc w:val="both"/>
        <w:rPr>
          <w:color w:val="000000"/>
          <w:sz w:val="20"/>
          <w:szCs w:val="20"/>
        </w:rPr>
      </w:pPr>
      <w:r w:rsidRPr="0094085B">
        <w:rPr>
          <w:rStyle w:val="FootnoteReference"/>
          <w:sz w:val="20"/>
          <w:szCs w:val="20"/>
        </w:rPr>
        <w:footnoteRef/>
      </w:r>
      <w:r w:rsidRPr="0094085B">
        <w:rPr>
          <w:sz w:val="20"/>
          <w:szCs w:val="20"/>
        </w:rPr>
        <w:t xml:space="preserve"> </w:t>
      </w:r>
      <w:r w:rsidRPr="0094085B">
        <w:rPr>
          <w:color w:val="000000"/>
          <w:sz w:val="20"/>
          <w:szCs w:val="20"/>
        </w:rPr>
        <w:t xml:space="preserve">UNSC Verbatim Record, UN Doc S/PV.9135 (22 September 2022) </w:t>
      </w:r>
      <w:r w:rsidRPr="0094085B">
        <w:rPr>
          <w:sz w:val="20"/>
          <w:szCs w:val="20"/>
        </w:rPr>
        <w:t>10 (emphasis added).</w:t>
      </w:r>
    </w:p>
  </w:footnote>
  <w:footnote w:id="71">
    <w:p w14:paraId="0B43E198" w14:textId="291387D4" w:rsidR="00273C93" w:rsidRPr="0094085B" w:rsidRDefault="00273C93" w:rsidP="0094085B">
      <w:pPr>
        <w:pStyle w:val="FootnoteText"/>
        <w:jc w:val="both"/>
      </w:pPr>
      <w:r w:rsidRPr="0094085B">
        <w:rPr>
          <w:rStyle w:val="FootnoteReference"/>
        </w:rPr>
        <w:footnoteRef/>
      </w:r>
      <w:r w:rsidRPr="0094085B">
        <w:t xml:space="preserve"> See, e.g. ‘Press conference by NATO Secretary General Jens Stoltenberg previewing the extraordinary Summit of NATO Heads of State and Government’, </w:t>
      </w:r>
      <w:r w:rsidRPr="0094085B">
        <w:rPr>
          <w:i/>
          <w:iCs/>
        </w:rPr>
        <w:t>North Atlantic Treaty Organization</w:t>
      </w:r>
      <w:r w:rsidRPr="0094085B">
        <w:t xml:space="preserve"> (23 March 2022) </w:t>
      </w:r>
      <w:hyperlink r:id="rId15" w:history="1">
        <w:r w:rsidRPr="0094085B">
          <w:rPr>
            <w:rStyle w:val="Hyperlink"/>
          </w:rPr>
          <w:t>www.nato.int/cps/en/natohq/opinions_193610.htm</w:t>
        </w:r>
      </w:hyperlink>
      <w:r w:rsidRPr="0094085B">
        <w:t xml:space="preserve"> (‘...we have a responsibility to ensure that the war does not escalate beyond Ukraine, and become a conflict between NATO and Russia. This would cause even more death and even more destruction’)</w:t>
      </w:r>
      <w:r w:rsidR="005862C9" w:rsidRPr="0094085B">
        <w:t xml:space="preserve">; Lauren Turner, ‘Ukraine invasion: UK troops will not fight against Russia says Wallace’, </w:t>
      </w:r>
      <w:r w:rsidR="005862C9" w:rsidRPr="0094085B">
        <w:rPr>
          <w:i/>
          <w:iCs/>
        </w:rPr>
        <w:t>BBC News</w:t>
      </w:r>
      <w:r w:rsidR="005862C9" w:rsidRPr="0094085B">
        <w:t xml:space="preserve"> (25 February 2022) </w:t>
      </w:r>
      <w:hyperlink r:id="rId16" w:history="1">
        <w:r w:rsidR="005862C9" w:rsidRPr="0094085B">
          <w:rPr>
            <w:rStyle w:val="Hyperlink"/>
          </w:rPr>
          <w:t>www.bbc.co.uk/news/uk-60522745</w:t>
        </w:r>
      </w:hyperlink>
      <w:r w:rsidR="005862C9" w:rsidRPr="0094085B">
        <w:t>.</w:t>
      </w:r>
    </w:p>
  </w:footnote>
  <w:footnote w:id="72">
    <w:p w14:paraId="3A4756B5" w14:textId="0BFDC15E" w:rsidR="00B10B9D" w:rsidRPr="0094085B" w:rsidRDefault="00B10B9D" w:rsidP="0094085B">
      <w:pPr>
        <w:pStyle w:val="FootnoteText"/>
        <w:jc w:val="both"/>
      </w:pPr>
      <w:r w:rsidRPr="0094085B">
        <w:rPr>
          <w:rStyle w:val="FootnoteReference"/>
        </w:rPr>
        <w:footnoteRef/>
      </w:r>
      <w:r w:rsidRPr="0094085B">
        <w:t xml:space="preserve"> </w:t>
      </w:r>
      <w:r w:rsidR="006F7487" w:rsidRPr="0094085B">
        <w:t xml:space="preserve">Heller and </w:t>
      </w:r>
      <w:proofErr w:type="spellStart"/>
      <w:r w:rsidR="006F7487" w:rsidRPr="0094085B">
        <w:t>Trabucco</w:t>
      </w:r>
      <w:proofErr w:type="spellEnd"/>
      <w:r w:rsidR="006F7487" w:rsidRPr="0094085B">
        <w:t xml:space="preserve"> (n 8) </w:t>
      </w:r>
      <w:r w:rsidRPr="0094085B">
        <w:t xml:space="preserve">265; Alexander </w:t>
      </w:r>
      <w:proofErr w:type="spellStart"/>
      <w:r w:rsidRPr="0094085B">
        <w:t>Wentker</w:t>
      </w:r>
      <w:proofErr w:type="spellEnd"/>
      <w:r w:rsidRPr="0094085B">
        <w:t xml:space="preserve">, ‘At War: When Do States Supporting Ukraine or Russia Become Parties to the Conflict and What Would that Mean?’, </w:t>
      </w:r>
      <w:proofErr w:type="spellStart"/>
      <w:proofErr w:type="gramStart"/>
      <w:r w:rsidRPr="0094085B">
        <w:rPr>
          <w:i/>
          <w:iCs/>
        </w:rPr>
        <w:t>EJIL:Talk</w:t>
      </w:r>
      <w:proofErr w:type="spellEnd"/>
      <w:proofErr w:type="gramEnd"/>
      <w:r w:rsidRPr="0094085B">
        <w:rPr>
          <w:i/>
          <w:iCs/>
        </w:rPr>
        <w:t>!</w:t>
      </w:r>
      <w:r w:rsidRPr="0094085B">
        <w:t xml:space="preserve"> (14 March 2022) </w:t>
      </w:r>
      <w:hyperlink r:id="rId17" w:history="1">
        <w:r w:rsidRPr="0094085B">
          <w:rPr>
            <w:rStyle w:val="Hyperlink"/>
          </w:rPr>
          <w:t>www.ejiltalk.org/at-war-when-do-states-supporting-ukraine-or-russia-become-parties-to-the-conflict-and-what-would-that-mean</w:t>
        </w:r>
      </w:hyperlink>
      <w:bookmarkStart w:id="5" w:name="_Hlk119395435"/>
      <w:r w:rsidR="00BE1E94" w:rsidRPr="0094085B">
        <w:t xml:space="preserve">; </w:t>
      </w:r>
      <w:r w:rsidR="006F7487" w:rsidRPr="0094085B">
        <w:t>Schmitt (n 6)</w:t>
      </w:r>
      <w:r w:rsidR="00BE1E94" w:rsidRPr="0094085B">
        <w:t xml:space="preserve">. </w:t>
      </w:r>
      <w:r w:rsidRPr="0094085B">
        <w:t xml:space="preserve">See also James </w:t>
      </w:r>
      <w:proofErr w:type="spellStart"/>
      <w:r w:rsidRPr="0094085B">
        <w:t>Upcher</w:t>
      </w:r>
      <w:proofErr w:type="spellEnd"/>
      <w:r w:rsidRPr="0094085B">
        <w:t xml:space="preserve">, </w:t>
      </w:r>
      <w:r w:rsidRPr="0094085B">
        <w:rPr>
          <w:i/>
          <w:iCs/>
        </w:rPr>
        <w:t>Neutrality in Contemporary International Law</w:t>
      </w:r>
      <w:r w:rsidRPr="0094085B">
        <w:t xml:space="preserve"> (Oxford University Press, 2020), 57</w:t>
      </w:r>
      <w:r w:rsidR="00517BB2" w:rsidRPr="0094085B">
        <w:t>–</w:t>
      </w:r>
      <w:r w:rsidRPr="0094085B">
        <w:t>63 (albeit making this point in relation to indirect participation more generally and giving the example of logistical and financial support rather than the provisions of weapons specifically)</w:t>
      </w:r>
      <w:bookmarkEnd w:id="5"/>
      <w:r w:rsidRPr="0094085B">
        <w:t>.</w:t>
      </w:r>
    </w:p>
  </w:footnote>
  <w:footnote w:id="73">
    <w:p w14:paraId="5DD622D6" w14:textId="26937E5A" w:rsidR="00B10B9D" w:rsidRPr="0094085B" w:rsidRDefault="00B10B9D" w:rsidP="0094085B">
      <w:pPr>
        <w:pStyle w:val="FootnoteText"/>
        <w:jc w:val="both"/>
      </w:pPr>
      <w:r w:rsidRPr="0094085B">
        <w:rPr>
          <w:rStyle w:val="FootnoteReference"/>
        </w:rPr>
        <w:footnoteRef/>
      </w:r>
      <w:r w:rsidRPr="0094085B">
        <w:t xml:space="preserve"> Jack </w:t>
      </w:r>
      <w:proofErr w:type="spellStart"/>
      <w:r w:rsidRPr="0094085B">
        <w:t>Detsch</w:t>
      </w:r>
      <w:proofErr w:type="spellEnd"/>
      <w:r w:rsidRPr="0094085B">
        <w:t xml:space="preserve"> and Robbie </w:t>
      </w:r>
      <w:proofErr w:type="spellStart"/>
      <w:r w:rsidRPr="0094085B">
        <w:t>Gramer</w:t>
      </w:r>
      <w:proofErr w:type="spellEnd"/>
      <w:r w:rsidRPr="0094085B">
        <w:t xml:space="preserve">, ‘Biden administration debates legality of arming Ukrainian resistance’, </w:t>
      </w:r>
      <w:r w:rsidRPr="0094085B">
        <w:rPr>
          <w:i/>
          <w:iCs/>
        </w:rPr>
        <w:t>Foreign Policy</w:t>
      </w:r>
      <w:r w:rsidRPr="0094085B">
        <w:t xml:space="preserve"> (24 February 2022) </w:t>
      </w:r>
      <w:hyperlink r:id="rId18" w:history="1">
        <w:r w:rsidRPr="0094085B">
          <w:rPr>
            <w:rStyle w:val="Hyperlink"/>
          </w:rPr>
          <w:t>https://foreignpolicy.com/2022/02/24/biden-legal-ukraine-russia-resistance</w:t>
        </w:r>
      </w:hyperlink>
      <w:r w:rsidRPr="0094085B">
        <w:t>; Kreß (</w:t>
      </w:r>
      <w:r w:rsidR="002C2DB8" w:rsidRPr="0094085B">
        <w:t xml:space="preserve">n </w:t>
      </w:r>
      <w:r w:rsidR="006F7487" w:rsidRPr="0094085B">
        <w:t>20</w:t>
      </w:r>
      <w:r w:rsidRPr="0094085B">
        <w:t xml:space="preserve">) 14. </w:t>
      </w:r>
    </w:p>
  </w:footnote>
  <w:footnote w:id="74">
    <w:p w14:paraId="46E5261E" w14:textId="6E7272A9" w:rsidR="001172E9" w:rsidRPr="0094085B" w:rsidRDefault="001172E9" w:rsidP="0094085B">
      <w:pPr>
        <w:pStyle w:val="FootnoteText"/>
        <w:jc w:val="both"/>
      </w:pPr>
      <w:r w:rsidRPr="0094085B">
        <w:rPr>
          <w:rStyle w:val="FootnoteReference"/>
        </w:rPr>
        <w:footnoteRef/>
      </w:r>
      <w:r w:rsidRPr="0094085B">
        <w:t xml:space="preserve"> </w:t>
      </w:r>
      <w:r w:rsidRPr="0094085B">
        <w:rPr>
          <w:color w:val="000000"/>
        </w:rPr>
        <w:t xml:space="preserve">UN Doc S/PV.9127 (n </w:t>
      </w:r>
      <w:r w:rsidR="006F7487" w:rsidRPr="0094085B">
        <w:rPr>
          <w:color w:val="000000"/>
        </w:rPr>
        <w:t>67</w:t>
      </w:r>
      <w:r w:rsidRPr="0094085B">
        <w:rPr>
          <w:color w:val="000000"/>
        </w:rPr>
        <w:t xml:space="preserve">) </w:t>
      </w:r>
      <w:r w:rsidRPr="0094085B">
        <w:t xml:space="preserve">16–7 (emphasis added). </w:t>
      </w:r>
    </w:p>
  </w:footnote>
  <w:footnote w:id="75">
    <w:p w14:paraId="5FF41880" w14:textId="58A2CB28" w:rsidR="001172E9" w:rsidRPr="0094085B" w:rsidRDefault="001172E9" w:rsidP="0094085B">
      <w:pPr>
        <w:pStyle w:val="FootnoteText"/>
        <w:jc w:val="both"/>
      </w:pPr>
      <w:r w:rsidRPr="0094085B">
        <w:rPr>
          <w:rStyle w:val="FootnoteReference"/>
        </w:rPr>
        <w:footnoteRef/>
      </w:r>
      <w:r w:rsidRPr="0094085B">
        <w:t xml:space="preserve"> </w:t>
      </w:r>
      <w:r w:rsidRPr="0094085B">
        <w:rPr>
          <w:color w:val="000000"/>
        </w:rPr>
        <w:t xml:space="preserve">UN Doc S/PV.9135 (n </w:t>
      </w:r>
      <w:r w:rsidR="006F7487" w:rsidRPr="0094085B">
        <w:rPr>
          <w:color w:val="000000"/>
        </w:rPr>
        <w:t>69</w:t>
      </w:r>
      <w:r w:rsidRPr="0094085B">
        <w:rPr>
          <w:color w:val="000000"/>
        </w:rPr>
        <w:t xml:space="preserve">) </w:t>
      </w:r>
      <w:r w:rsidRPr="0094085B">
        <w:t>7–8 (emphasis added).</w:t>
      </w:r>
    </w:p>
  </w:footnote>
  <w:footnote w:id="76">
    <w:p w14:paraId="325CCAE8" w14:textId="26DD8315" w:rsidR="001172E9" w:rsidRPr="0094085B" w:rsidRDefault="001172E9" w:rsidP="0094085B">
      <w:pPr>
        <w:pStyle w:val="FootnoteText"/>
        <w:jc w:val="both"/>
      </w:pPr>
      <w:r w:rsidRPr="0094085B">
        <w:rPr>
          <w:rStyle w:val="FootnoteReference"/>
        </w:rPr>
        <w:footnoteRef/>
      </w:r>
      <w:r w:rsidRPr="0094085B">
        <w:t xml:space="preserve"> </w:t>
      </w:r>
      <w:r w:rsidRPr="0094085B">
        <w:rPr>
          <w:color w:val="000000"/>
        </w:rPr>
        <w:t xml:space="preserve">UN Doc S/PV.9127 (n </w:t>
      </w:r>
      <w:r w:rsidR="006F7487" w:rsidRPr="0094085B">
        <w:rPr>
          <w:color w:val="000000"/>
        </w:rPr>
        <w:t>67</w:t>
      </w:r>
      <w:r w:rsidRPr="0094085B">
        <w:rPr>
          <w:color w:val="000000"/>
        </w:rPr>
        <w:t xml:space="preserve">) </w:t>
      </w:r>
      <w:r w:rsidRPr="0094085B">
        <w:t>12.</w:t>
      </w:r>
    </w:p>
  </w:footnote>
  <w:footnote w:id="77">
    <w:p w14:paraId="4A48D781" w14:textId="139D0384" w:rsidR="00B10B9D" w:rsidRPr="0094085B" w:rsidRDefault="00B10B9D" w:rsidP="0094085B">
      <w:pPr>
        <w:pStyle w:val="FootnoteText"/>
        <w:jc w:val="both"/>
      </w:pPr>
      <w:r w:rsidRPr="0094085B">
        <w:rPr>
          <w:rStyle w:val="FootnoteReference"/>
        </w:rPr>
        <w:footnoteRef/>
      </w:r>
      <w:r w:rsidRPr="0094085B">
        <w:t xml:space="preserve"> European Parliament Resolution of 8 June 2022 on Security in the Eastern Partnership Area and the Role of the Common Security and Defence Policy (2021/2199(INI)), Texts adopted P9_TA(2022)0236, </w:t>
      </w:r>
      <w:hyperlink r:id="rId19" w:history="1">
        <w:r w:rsidRPr="0094085B">
          <w:rPr>
            <w:rStyle w:val="Hyperlink"/>
          </w:rPr>
          <w:t>www.europarl.europa.eu/doceo/document/TA-9-2022-0236_EN.html</w:t>
        </w:r>
      </w:hyperlink>
      <w:r w:rsidRPr="0094085B">
        <w:t>, T</w:t>
      </w:r>
      <w:r w:rsidR="00D55919" w:rsidRPr="0094085B">
        <w:t xml:space="preserve"> (emphasis added).</w:t>
      </w:r>
    </w:p>
  </w:footnote>
  <w:footnote w:id="78">
    <w:p w14:paraId="1D3FFEA6" w14:textId="38931427" w:rsidR="004D4303" w:rsidRPr="0094085B" w:rsidRDefault="004D4303" w:rsidP="0094085B">
      <w:pPr>
        <w:pStyle w:val="FootnoteText"/>
        <w:jc w:val="both"/>
      </w:pPr>
      <w:r w:rsidRPr="0094085B">
        <w:rPr>
          <w:rStyle w:val="FootnoteReference"/>
        </w:rPr>
        <w:footnoteRef/>
      </w:r>
      <w:r w:rsidRPr="0094085B">
        <w:t xml:space="preserve"> That said, see ‘Foreign policy: aims, instruments and achievements’, Fact Sheets on the European Union: European Parliament (2023), </w:t>
      </w:r>
      <w:hyperlink r:id="rId20" w:history="1">
        <w:r w:rsidRPr="0094085B">
          <w:rPr>
            <w:rStyle w:val="Hyperlink"/>
          </w:rPr>
          <w:t>www.europarl.europa.eu/factsheets/en/sheet/158/foreign-policy-aims-instruments-and-achievements</w:t>
        </w:r>
      </w:hyperlink>
      <w:r w:rsidRPr="0094085B">
        <w:t>.</w:t>
      </w:r>
    </w:p>
  </w:footnote>
  <w:footnote w:id="79">
    <w:p w14:paraId="60613933" w14:textId="519856ED" w:rsidR="00B56E14" w:rsidRPr="0094085B" w:rsidRDefault="00B56E14" w:rsidP="0094085B">
      <w:pPr>
        <w:jc w:val="both"/>
        <w:rPr>
          <w:sz w:val="20"/>
          <w:szCs w:val="20"/>
        </w:rPr>
      </w:pPr>
      <w:r w:rsidRPr="0094085B">
        <w:rPr>
          <w:rStyle w:val="FootnoteReference"/>
          <w:sz w:val="20"/>
          <w:szCs w:val="20"/>
        </w:rPr>
        <w:footnoteRef/>
      </w:r>
      <w:r w:rsidRPr="0094085B">
        <w:rPr>
          <w:sz w:val="20"/>
          <w:szCs w:val="20"/>
        </w:rPr>
        <w:t xml:space="preserve"> </w:t>
      </w:r>
      <w:r w:rsidR="00884E14" w:rsidRPr="0094085B">
        <w:rPr>
          <w:sz w:val="20"/>
          <w:szCs w:val="20"/>
        </w:rPr>
        <w:t xml:space="preserve">See, e.g. Zoe </w:t>
      </w:r>
      <w:proofErr w:type="spellStart"/>
      <w:r w:rsidR="00884E14" w:rsidRPr="0094085B">
        <w:rPr>
          <w:sz w:val="20"/>
          <w:szCs w:val="20"/>
        </w:rPr>
        <w:t>Strozewski</w:t>
      </w:r>
      <w:proofErr w:type="spellEnd"/>
      <w:r w:rsidR="00884E14" w:rsidRPr="0094085B">
        <w:rPr>
          <w:sz w:val="20"/>
          <w:szCs w:val="20"/>
        </w:rPr>
        <w:t xml:space="preserve">, ‘Russia Is at War With NATO: Kremlin Official’, </w:t>
      </w:r>
      <w:r w:rsidR="00884E14" w:rsidRPr="0094085B">
        <w:rPr>
          <w:i/>
          <w:iCs/>
          <w:sz w:val="20"/>
          <w:szCs w:val="20"/>
        </w:rPr>
        <w:t>Newsweek</w:t>
      </w:r>
      <w:r w:rsidR="00884E14" w:rsidRPr="0094085B">
        <w:rPr>
          <w:sz w:val="20"/>
          <w:szCs w:val="20"/>
        </w:rPr>
        <w:t xml:space="preserve"> (10 August 2022) </w:t>
      </w:r>
      <w:hyperlink r:id="rId21" w:history="1">
        <w:r w:rsidR="00884E14" w:rsidRPr="0094085B">
          <w:rPr>
            <w:rStyle w:val="Hyperlink"/>
            <w:sz w:val="20"/>
            <w:szCs w:val="20"/>
          </w:rPr>
          <w:t>www.newsweek.com/russia-war-nato-kremlin-official-1732679</w:t>
        </w:r>
      </w:hyperlink>
      <w:r w:rsidR="00884E14" w:rsidRPr="0094085B">
        <w:rPr>
          <w:sz w:val="20"/>
          <w:szCs w:val="20"/>
        </w:rPr>
        <w:t xml:space="preserve">; Guy </w:t>
      </w:r>
      <w:proofErr w:type="spellStart"/>
      <w:r w:rsidR="00884E14" w:rsidRPr="0094085B">
        <w:rPr>
          <w:sz w:val="20"/>
          <w:szCs w:val="20"/>
        </w:rPr>
        <w:t>Faulconbridge</w:t>
      </w:r>
      <w:proofErr w:type="spellEnd"/>
      <w:r w:rsidR="00884E14" w:rsidRPr="0094085B">
        <w:rPr>
          <w:sz w:val="20"/>
          <w:szCs w:val="20"/>
        </w:rPr>
        <w:t xml:space="preserve">, ‘Russia is now fighting NATO in Ukraine, top Putin ally says’, </w:t>
      </w:r>
      <w:r w:rsidR="00884E14" w:rsidRPr="0094085B">
        <w:rPr>
          <w:i/>
          <w:iCs/>
          <w:sz w:val="20"/>
          <w:szCs w:val="20"/>
        </w:rPr>
        <w:t>Reuters</w:t>
      </w:r>
      <w:r w:rsidR="00884E14" w:rsidRPr="0094085B">
        <w:rPr>
          <w:sz w:val="20"/>
          <w:szCs w:val="20"/>
        </w:rPr>
        <w:t xml:space="preserve"> (10 January 2023) </w:t>
      </w:r>
      <w:hyperlink r:id="rId22" w:history="1">
        <w:r w:rsidR="00884E14" w:rsidRPr="0094085B">
          <w:rPr>
            <w:rStyle w:val="Hyperlink"/>
            <w:sz w:val="20"/>
            <w:szCs w:val="20"/>
          </w:rPr>
          <w:t>www.reuters.com/world/europe/putin-ally-patrushev-says-russia-is-now-fighting-nato-ukraine-2023-01-10</w:t>
        </w:r>
      </w:hyperlink>
      <w:r w:rsidR="00884E14" w:rsidRPr="0094085B">
        <w:rPr>
          <w:sz w:val="20"/>
          <w:szCs w:val="20"/>
        </w:rPr>
        <w:t>.</w:t>
      </w:r>
    </w:p>
  </w:footnote>
  <w:footnote w:id="80">
    <w:p w14:paraId="03EE61A5" w14:textId="49CA9F52" w:rsidR="000105C8" w:rsidRPr="0094085B" w:rsidRDefault="000105C8" w:rsidP="0094085B">
      <w:pPr>
        <w:pStyle w:val="FootnoteText"/>
        <w:jc w:val="both"/>
      </w:pPr>
      <w:r w:rsidRPr="0094085B">
        <w:rPr>
          <w:rStyle w:val="FootnoteReference"/>
        </w:rPr>
        <w:footnoteRef/>
      </w:r>
      <w:r w:rsidRPr="0094085B">
        <w:t xml:space="preserve"> Kreß (n </w:t>
      </w:r>
      <w:r w:rsidR="006F7487" w:rsidRPr="0094085B">
        <w:t>20</w:t>
      </w:r>
      <w:r w:rsidRPr="0094085B">
        <w:t>) 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3AD"/>
    <w:rsid w:val="00001B60"/>
    <w:rsid w:val="0000310E"/>
    <w:rsid w:val="00004504"/>
    <w:rsid w:val="00005E58"/>
    <w:rsid w:val="000105C8"/>
    <w:rsid w:val="000273F1"/>
    <w:rsid w:val="0003408C"/>
    <w:rsid w:val="00035B45"/>
    <w:rsid w:val="00035BAE"/>
    <w:rsid w:val="00041762"/>
    <w:rsid w:val="00046DF4"/>
    <w:rsid w:val="00054275"/>
    <w:rsid w:val="00067EBB"/>
    <w:rsid w:val="00070404"/>
    <w:rsid w:val="000815DA"/>
    <w:rsid w:val="000867F5"/>
    <w:rsid w:val="00094A10"/>
    <w:rsid w:val="000955C1"/>
    <w:rsid w:val="000A13F8"/>
    <w:rsid w:val="000A3CA1"/>
    <w:rsid w:val="000B2B49"/>
    <w:rsid w:val="000B563F"/>
    <w:rsid w:val="000C5B24"/>
    <w:rsid w:val="000C7378"/>
    <w:rsid w:val="000D2915"/>
    <w:rsid w:val="000E7933"/>
    <w:rsid w:val="000F0838"/>
    <w:rsid w:val="001016D0"/>
    <w:rsid w:val="001135D1"/>
    <w:rsid w:val="00117182"/>
    <w:rsid w:val="001172E9"/>
    <w:rsid w:val="00120E1F"/>
    <w:rsid w:val="00121DE5"/>
    <w:rsid w:val="00126C6A"/>
    <w:rsid w:val="0013208C"/>
    <w:rsid w:val="00136096"/>
    <w:rsid w:val="001435F7"/>
    <w:rsid w:val="00160133"/>
    <w:rsid w:val="001616E1"/>
    <w:rsid w:val="00163A5C"/>
    <w:rsid w:val="00166046"/>
    <w:rsid w:val="0016759E"/>
    <w:rsid w:val="00173E12"/>
    <w:rsid w:val="00182E54"/>
    <w:rsid w:val="0018404A"/>
    <w:rsid w:val="00193AFA"/>
    <w:rsid w:val="00194827"/>
    <w:rsid w:val="001A18A8"/>
    <w:rsid w:val="001A26D0"/>
    <w:rsid w:val="001A6C5C"/>
    <w:rsid w:val="001B15D2"/>
    <w:rsid w:val="001B267F"/>
    <w:rsid w:val="001C66E8"/>
    <w:rsid w:val="001C740C"/>
    <w:rsid w:val="001C7B64"/>
    <w:rsid w:val="001D41C1"/>
    <w:rsid w:val="001D61AA"/>
    <w:rsid w:val="001D7B01"/>
    <w:rsid w:val="001E0274"/>
    <w:rsid w:val="001F5239"/>
    <w:rsid w:val="001F6516"/>
    <w:rsid w:val="00210140"/>
    <w:rsid w:val="00212C16"/>
    <w:rsid w:val="00234344"/>
    <w:rsid w:val="00237F58"/>
    <w:rsid w:val="00240001"/>
    <w:rsid w:val="002408DE"/>
    <w:rsid w:val="00241E8C"/>
    <w:rsid w:val="00252EBD"/>
    <w:rsid w:val="0025664B"/>
    <w:rsid w:val="00262A86"/>
    <w:rsid w:val="00263CF1"/>
    <w:rsid w:val="00265A84"/>
    <w:rsid w:val="00267C87"/>
    <w:rsid w:val="002709FF"/>
    <w:rsid w:val="00272E36"/>
    <w:rsid w:val="00273C93"/>
    <w:rsid w:val="00276B99"/>
    <w:rsid w:val="00277D12"/>
    <w:rsid w:val="00280AE1"/>
    <w:rsid w:val="00281273"/>
    <w:rsid w:val="00283200"/>
    <w:rsid w:val="00290F77"/>
    <w:rsid w:val="00296112"/>
    <w:rsid w:val="002A2460"/>
    <w:rsid w:val="002A6DFD"/>
    <w:rsid w:val="002A763E"/>
    <w:rsid w:val="002B5F4B"/>
    <w:rsid w:val="002C0202"/>
    <w:rsid w:val="002C1FF2"/>
    <w:rsid w:val="002C2DB8"/>
    <w:rsid w:val="002C3004"/>
    <w:rsid w:val="002C4C39"/>
    <w:rsid w:val="002D0CBD"/>
    <w:rsid w:val="002D7047"/>
    <w:rsid w:val="002D7B4D"/>
    <w:rsid w:val="002E26CC"/>
    <w:rsid w:val="002E528C"/>
    <w:rsid w:val="002F022D"/>
    <w:rsid w:val="002F1832"/>
    <w:rsid w:val="002F621B"/>
    <w:rsid w:val="002F6E21"/>
    <w:rsid w:val="002F7DC5"/>
    <w:rsid w:val="00301788"/>
    <w:rsid w:val="00306AEA"/>
    <w:rsid w:val="00311BAE"/>
    <w:rsid w:val="003168A7"/>
    <w:rsid w:val="00316923"/>
    <w:rsid w:val="0032380F"/>
    <w:rsid w:val="00324132"/>
    <w:rsid w:val="003365B4"/>
    <w:rsid w:val="00343F3A"/>
    <w:rsid w:val="00347038"/>
    <w:rsid w:val="00351463"/>
    <w:rsid w:val="00355C02"/>
    <w:rsid w:val="00356BAE"/>
    <w:rsid w:val="00357B29"/>
    <w:rsid w:val="0036221C"/>
    <w:rsid w:val="00374596"/>
    <w:rsid w:val="0037694A"/>
    <w:rsid w:val="003809C3"/>
    <w:rsid w:val="003922A0"/>
    <w:rsid w:val="00392348"/>
    <w:rsid w:val="003A0260"/>
    <w:rsid w:val="003A50E7"/>
    <w:rsid w:val="003A5205"/>
    <w:rsid w:val="003A5702"/>
    <w:rsid w:val="003B4FD0"/>
    <w:rsid w:val="003B61EE"/>
    <w:rsid w:val="003C69DF"/>
    <w:rsid w:val="003D08C5"/>
    <w:rsid w:val="003D55DD"/>
    <w:rsid w:val="003D71D8"/>
    <w:rsid w:val="003D7FD6"/>
    <w:rsid w:val="003E778A"/>
    <w:rsid w:val="003E7D16"/>
    <w:rsid w:val="003F6838"/>
    <w:rsid w:val="003F6BF0"/>
    <w:rsid w:val="004011C6"/>
    <w:rsid w:val="00405533"/>
    <w:rsid w:val="0040567E"/>
    <w:rsid w:val="00410E2C"/>
    <w:rsid w:val="00415DA9"/>
    <w:rsid w:val="00423E92"/>
    <w:rsid w:val="00430578"/>
    <w:rsid w:val="00440DB8"/>
    <w:rsid w:val="004418E0"/>
    <w:rsid w:val="0044323C"/>
    <w:rsid w:val="0044470F"/>
    <w:rsid w:val="0044565B"/>
    <w:rsid w:val="00446FAA"/>
    <w:rsid w:val="00453337"/>
    <w:rsid w:val="004619C5"/>
    <w:rsid w:val="00464ABD"/>
    <w:rsid w:val="00465E64"/>
    <w:rsid w:val="004719F8"/>
    <w:rsid w:val="0047357A"/>
    <w:rsid w:val="00473CB2"/>
    <w:rsid w:val="00475580"/>
    <w:rsid w:val="004777D3"/>
    <w:rsid w:val="004860F5"/>
    <w:rsid w:val="00486D74"/>
    <w:rsid w:val="00487459"/>
    <w:rsid w:val="00490FB0"/>
    <w:rsid w:val="00491414"/>
    <w:rsid w:val="00493BE5"/>
    <w:rsid w:val="004A008D"/>
    <w:rsid w:val="004B0B04"/>
    <w:rsid w:val="004B7DC0"/>
    <w:rsid w:val="004C1B60"/>
    <w:rsid w:val="004C423A"/>
    <w:rsid w:val="004D0E30"/>
    <w:rsid w:val="004D4303"/>
    <w:rsid w:val="004E2924"/>
    <w:rsid w:val="004F685C"/>
    <w:rsid w:val="004F7F6D"/>
    <w:rsid w:val="00513701"/>
    <w:rsid w:val="00517BB2"/>
    <w:rsid w:val="00524BF3"/>
    <w:rsid w:val="005313CC"/>
    <w:rsid w:val="00531A09"/>
    <w:rsid w:val="005416A0"/>
    <w:rsid w:val="00550783"/>
    <w:rsid w:val="0056558A"/>
    <w:rsid w:val="005667A4"/>
    <w:rsid w:val="005778BA"/>
    <w:rsid w:val="00580329"/>
    <w:rsid w:val="00581776"/>
    <w:rsid w:val="00583CB8"/>
    <w:rsid w:val="005862C9"/>
    <w:rsid w:val="00596E12"/>
    <w:rsid w:val="005A2F41"/>
    <w:rsid w:val="005A5290"/>
    <w:rsid w:val="005B0750"/>
    <w:rsid w:val="005B5E63"/>
    <w:rsid w:val="005B6DDC"/>
    <w:rsid w:val="005D2BDD"/>
    <w:rsid w:val="005E3FCF"/>
    <w:rsid w:val="005F4AD8"/>
    <w:rsid w:val="006017F2"/>
    <w:rsid w:val="00612028"/>
    <w:rsid w:val="00617813"/>
    <w:rsid w:val="00622A2A"/>
    <w:rsid w:val="00632278"/>
    <w:rsid w:val="00632976"/>
    <w:rsid w:val="00632D51"/>
    <w:rsid w:val="00633240"/>
    <w:rsid w:val="006409ED"/>
    <w:rsid w:val="00641359"/>
    <w:rsid w:val="00642F49"/>
    <w:rsid w:val="006465AE"/>
    <w:rsid w:val="00655420"/>
    <w:rsid w:val="006574A0"/>
    <w:rsid w:val="0066245B"/>
    <w:rsid w:val="006647D4"/>
    <w:rsid w:val="00664A19"/>
    <w:rsid w:val="00683608"/>
    <w:rsid w:val="00684DD1"/>
    <w:rsid w:val="006919E5"/>
    <w:rsid w:val="006A5E6F"/>
    <w:rsid w:val="006B2C71"/>
    <w:rsid w:val="006B76B4"/>
    <w:rsid w:val="006C2155"/>
    <w:rsid w:val="006C3275"/>
    <w:rsid w:val="006E4E59"/>
    <w:rsid w:val="006F5B15"/>
    <w:rsid w:val="006F7487"/>
    <w:rsid w:val="006F7D50"/>
    <w:rsid w:val="00700DA1"/>
    <w:rsid w:val="00704153"/>
    <w:rsid w:val="00707243"/>
    <w:rsid w:val="00714852"/>
    <w:rsid w:val="00723C25"/>
    <w:rsid w:val="00725E03"/>
    <w:rsid w:val="0073551A"/>
    <w:rsid w:val="0074435B"/>
    <w:rsid w:val="007466D0"/>
    <w:rsid w:val="00751131"/>
    <w:rsid w:val="007548CB"/>
    <w:rsid w:val="007647D5"/>
    <w:rsid w:val="00767E87"/>
    <w:rsid w:val="00771979"/>
    <w:rsid w:val="00773574"/>
    <w:rsid w:val="00781861"/>
    <w:rsid w:val="0078233E"/>
    <w:rsid w:val="00782CEB"/>
    <w:rsid w:val="007846A1"/>
    <w:rsid w:val="00784894"/>
    <w:rsid w:val="00786D6F"/>
    <w:rsid w:val="00790522"/>
    <w:rsid w:val="00790983"/>
    <w:rsid w:val="00790E1D"/>
    <w:rsid w:val="00794B06"/>
    <w:rsid w:val="007A0FFB"/>
    <w:rsid w:val="007A175D"/>
    <w:rsid w:val="007B054F"/>
    <w:rsid w:val="007B11FB"/>
    <w:rsid w:val="007B1E1E"/>
    <w:rsid w:val="007B7EC5"/>
    <w:rsid w:val="007C18B7"/>
    <w:rsid w:val="007C387D"/>
    <w:rsid w:val="007C67CA"/>
    <w:rsid w:val="007C699D"/>
    <w:rsid w:val="007D45C8"/>
    <w:rsid w:val="007E0A2F"/>
    <w:rsid w:val="007E21F2"/>
    <w:rsid w:val="007E2A76"/>
    <w:rsid w:val="007E2BD6"/>
    <w:rsid w:val="007F2E59"/>
    <w:rsid w:val="0080444C"/>
    <w:rsid w:val="00813456"/>
    <w:rsid w:val="0081697B"/>
    <w:rsid w:val="008170BB"/>
    <w:rsid w:val="00821CB0"/>
    <w:rsid w:val="00821D10"/>
    <w:rsid w:val="008258FF"/>
    <w:rsid w:val="00837AF6"/>
    <w:rsid w:val="0084620A"/>
    <w:rsid w:val="00847F94"/>
    <w:rsid w:val="008544E4"/>
    <w:rsid w:val="0086542D"/>
    <w:rsid w:val="00877919"/>
    <w:rsid w:val="00882999"/>
    <w:rsid w:val="00884E14"/>
    <w:rsid w:val="00891788"/>
    <w:rsid w:val="008A0437"/>
    <w:rsid w:val="008A4C89"/>
    <w:rsid w:val="008B0B5B"/>
    <w:rsid w:val="008B3B4B"/>
    <w:rsid w:val="008B7AE0"/>
    <w:rsid w:val="008C685D"/>
    <w:rsid w:val="008E6861"/>
    <w:rsid w:val="008F2674"/>
    <w:rsid w:val="008F64B4"/>
    <w:rsid w:val="0090393E"/>
    <w:rsid w:val="00912F7B"/>
    <w:rsid w:val="0091409C"/>
    <w:rsid w:val="009157DD"/>
    <w:rsid w:val="009173C9"/>
    <w:rsid w:val="00917B24"/>
    <w:rsid w:val="00920DF3"/>
    <w:rsid w:val="009254EC"/>
    <w:rsid w:val="009324C6"/>
    <w:rsid w:val="0094085B"/>
    <w:rsid w:val="0094612A"/>
    <w:rsid w:val="00952CC0"/>
    <w:rsid w:val="00952D0B"/>
    <w:rsid w:val="0096217D"/>
    <w:rsid w:val="009679C7"/>
    <w:rsid w:val="009710E4"/>
    <w:rsid w:val="009843C8"/>
    <w:rsid w:val="009963A0"/>
    <w:rsid w:val="009A686A"/>
    <w:rsid w:val="009B4FC3"/>
    <w:rsid w:val="009C04A7"/>
    <w:rsid w:val="009C3BC1"/>
    <w:rsid w:val="009C4166"/>
    <w:rsid w:val="009C68B1"/>
    <w:rsid w:val="009C6F36"/>
    <w:rsid w:val="009C7BF2"/>
    <w:rsid w:val="009D3ABB"/>
    <w:rsid w:val="009D3C79"/>
    <w:rsid w:val="009D3EC1"/>
    <w:rsid w:val="009E02D0"/>
    <w:rsid w:val="009E16F4"/>
    <w:rsid w:val="00A02465"/>
    <w:rsid w:val="00A1240E"/>
    <w:rsid w:val="00A14653"/>
    <w:rsid w:val="00A1555A"/>
    <w:rsid w:val="00A30C8F"/>
    <w:rsid w:val="00A334C5"/>
    <w:rsid w:val="00A359A3"/>
    <w:rsid w:val="00A5552D"/>
    <w:rsid w:val="00A56C8C"/>
    <w:rsid w:val="00A61770"/>
    <w:rsid w:val="00A6685B"/>
    <w:rsid w:val="00A77F9C"/>
    <w:rsid w:val="00A81D72"/>
    <w:rsid w:val="00A8550E"/>
    <w:rsid w:val="00A90DE9"/>
    <w:rsid w:val="00A91E61"/>
    <w:rsid w:val="00A92C95"/>
    <w:rsid w:val="00AA5ACD"/>
    <w:rsid w:val="00AA620C"/>
    <w:rsid w:val="00AB6F3D"/>
    <w:rsid w:val="00AB6FED"/>
    <w:rsid w:val="00AD0735"/>
    <w:rsid w:val="00AD2C42"/>
    <w:rsid w:val="00AD698C"/>
    <w:rsid w:val="00AE0A2F"/>
    <w:rsid w:val="00AE70B0"/>
    <w:rsid w:val="00AE78B4"/>
    <w:rsid w:val="00AF1241"/>
    <w:rsid w:val="00AF2F72"/>
    <w:rsid w:val="00AF5705"/>
    <w:rsid w:val="00B0207A"/>
    <w:rsid w:val="00B10B9D"/>
    <w:rsid w:val="00B14F56"/>
    <w:rsid w:val="00B2391E"/>
    <w:rsid w:val="00B329F6"/>
    <w:rsid w:val="00B34275"/>
    <w:rsid w:val="00B346AF"/>
    <w:rsid w:val="00B44F73"/>
    <w:rsid w:val="00B45B12"/>
    <w:rsid w:val="00B5135E"/>
    <w:rsid w:val="00B52C28"/>
    <w:rsid w:val="00B56E14"/>
    <w:rsid w:val="00B5756D"/>
    <w:rsid w:val="00B5797A"/>
    <w:rsid w:val="00B63E25"/>
    <w:rsid w:val="00B652BC"/>
    <w:rsid w:val="00B70E1D"/>
    <w:rsid w:val="00B71046"/>
    <w:rsid w:val="00B8742A"/>
    <w:rsid w:val="00B9048E"/>
    <w:rsid w:val="00B91AC6"/>
    <w:rsid w:val="00BB24F1"/>
    <w:rsid w:val="00BB79E0"/>
    <w:rsid w:val="00BC06C8"/>
    <w:rsid w:val="00BC4394"/>
    <w:rsid w:val="00BD239A"/>
    <w:rsid w:val="00BD30DF"/>
    <w:rsid w:val="00BE1E94"/>
    <w:rsid w:val="00BF1EFF"/>
    <w:rsid w:val="00C01DBD"/>
    <w:rsid w:val="00C076FC"/>
    <w:rsid w:val="00C10698"/>
    <w:rsid w:val="00C128A3"/>
    <w:rsid w:val="00C14798"/>
    <w:rsid w:val="00C15EAC"/>
    <w:rsid w:val="00C17F99"/>
    <w:rsid w:val="00C2576A"/>
    <w:rsid w:val="00C315C4"/>
    <w:rsid w:val="00C34E9B"/>
    <w:rsid w:val="00C44F74"/>
    <w:rsid w:val="00C51F49"/>
    <w:rsid w:val="00C661BE"/>
    <w:rsid w:val="00C66A8A"/>
    <w:rsid w:val="00C67FC9"/>
    <w:rsid w:val="00C71E41"/>
    <w:rsid w:val="00C733E9"/>
    <w:rsid w:val="00C734F6"/>
    <w:rsid w:val="00C84293"/>
    <w:rsid w:val="00C90807"/>
    <w:rsid w:val="00C90D9C"/>
    <w:rsid w:val="00C953E3"/>
    <w:rsid w:val="00CB2C1C"/>
    <w:rsid w:val="00CB4A86"/>
    <w:rsid w:val="00CB537D"/>
    <w:rsid w:val="00CB548F"/>
    <w:rsid w:val="00CC3D69"/>
    <w:rsid w:val="00CD1740"/>
    <w:rsid w:val="00CD5569"/>
    <w:rsid w:val="00CE07E5"/>
    <w:rsid w:val="00CE221B"/>
    <w:rsid w:val="00CE5E63"/>
    <w:rsid w:val="00CF5AE9"/>
    <w:rsid w:val="00CF5DAA"/>
    <w:rsid w:val="00CF68AA"/>
    <w:rsid w:val="00D0217B"/>
    <w:rsid w:val="00D05691"/>
    <w:rsid w:val="00D20B9F"/>
    <w:rsid w:val="00D23373"/>
    <w:rsid w:val="00D24988"/>
    <w:rsid w:val="00D26152"/>
    <w:rsid w:val="00D43301"/>
    <w:rsid w:val="00D52D2E"/>
    <w:rsid w:val="00D55265"/>
    <w:rsid w:val="00D5544E"/>
    <w:rsid w:val="00D55919"/>
    <w:rsid w:val="00D62000"/>
    <w:rsid w:val="00D743F2"/>
    <w:rsid w:val="00D763ED"/>
    <w:rsid w:val="00D8010B"/>
    <w:rsid w:val="00D84B97"/>
    <w:rsid w:val="00D85167"/>
    <w:rsid w:val="00DA361F"/>
    <w:rsid w:val="00DB0E99"/>
    <w:rsid w:val="00DB2051"/>
    <w:rsid w:val="00DC6A08"/>
    <w:rsid w:val="00DD3F8E"/>
    <w:rsid w:val="00DD5879"/>
    <w:rsid w:val="00DF023A"/>
    <w:rsid w:val="00DF3E0D"/>
    <w:rsid w:val="00E02FFF"/>
    <w:rsid w:val="00E04978"/>
    <w:rsid w:val="00E0609F"/>
    <w:rsid w:val="00E16156"/>
    <w:rsid w:val="00E23CE0"/>
    <w:rsid w:val="00E24F3D"/>
    <w:rsid w:val="00E442EA"/>
    <w:rsid w:val="00E45B80"/>
    <w:rsid w:val="00E50B75"/>
    <w:rsid w:val="00E571C2"/>
    <w:rsid w:val="00E61D29"/>
    <w:rsid w:val="00E706C7"/>
    <w:rsid w:val="00E70845"/>
    <w:rsid w:val="00E8275C"/>
    <w:rsid w:val="00E8394D"/>
    <w:rsid w:val="00E96087"/>
    <w:rsid w:val="00EA2165"/>
    <w:rsid w:val="00EA2E9D"/>
    <w:rsid w:val="00EA7675"/>
    <w:rsid w:val="00EB4EB7"/>
    <w:rsid w:val="00EC0DA7"/>
    <w:rsid w:val="00EC3319"/>
    <w:rsid w:val="00EC6AD6"/>
    <w:rsid w:val="00ED43AD"/>
    <w:rsid w:val="00ED79FC"/>
    <w:rsid w:val="00EF50EB"/>
    <w:rsid w:val="00F06248"/>
    <w:rsid w:val="00F06E79"/>
    <w:rsid w:val="00F077DE"/>
    <w:rsid w:val="00F10997"/>
    <w:rsid w:val="00F13749"/>
    <w:rsid w:val="00F216C5"/>
    <w:rsid w:val="00F31CE5"/>
    <w:rsid w:val="00F466B0"/>
    <w:rsid w:val="00F563E4"/>
    <w:rsid w:val="00F63903"/>
    <w:rsid w:val="00F65339"/>
    <w:rsid w:val="00F66DCE"/>
    <w:rsid w:val="00F75BD8"/>
    <w:rsid w:val="00F810FE"/>
    <w:rsid w:val="00F81554"/>
    <w:rsid w:val="00F85FD3"/>
    <w:rsid w:val="00F92088"/>
    <w:rsid w:val="00F94054"/>
    <w:rsid w:val="00F9658E"/>
    <w:rsid w:val="00FA33C1"/>
    <w:rsid w:val="00FA5E28"/>
    <w:rsid w:val="00FB0087"/>
    <w:rsid w:val="00FB34F8"/>
    <w:rsid w:val="00FC22BE"/>
    <w:rsid w:val="00FC570F"/>
    <w:rsid w:val="00FC57AA"/>
    <w:rsid w:val="00FD43AA"/>
    <w:rsid w:val="00FE0EBE"/>
    <w:rsid w:val="00FE1E2C"/>
    <w:rsid w:val="00FE6122"/>
    <w:rsid w:val="00FE6C6E"/>
    <w:rsid w:val="00FE7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18F9"/>
  <w15:chartTrackingRefBased/>
  <w15:docId w15:val="{E4275E0D-479C-417E-AF91-CCAB9E87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02122"/>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3AD"/>
    <w:pPr>
      <w:jc w:val="left"/>
    </w:pPr>
    <w:rPr>
      <w:rFonts w:eastAsia="Times New Roman"/>
      <w:color w:val="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D9C"/>
    <w:rPr>
      <w:color w:val="00B0F0"/>
      <w:u w:val="none"/>
    </w:rPr>
  </w:style>
  <w:style w:type="paragraph" w:styleId="FootnoteText">
    <w:name w:val="footnote text"/>
    <w:aliases w:val="tekst,Footnote Text Char1 Char,Footnote Text Char Char Char,Footnote Text Char1 Char Char Char,Footnote Text Char Char Char Char Char,Footnote Text Char1 Char Char Char Char Char,Footnote reference,FA Fu,Footnote Text Char Char Char Car,fn"/>
    <w:basedOn w:val="Normal"/>
    <w:link w:val="FootnoteTextChar"/>
    <w:uiPriority w:val="99"/>
    <w:qFormat/>
    <w:rsid w:val="00ED43AD"/>
    <w:rPr>
      <w:sz w:val="20"/>
      <w:szCs w:val="20"/>
    </w:rPr>
  </w:style>
  <w:style w:type="character" w:customStyle="1" w:styleId="FootnoteTextChar">
    <w:name w:val="Footnote Text Char"/>
    <w:aliases w:val="tekst Char,Footnote Text Char1 Char Char,Footnote Text Char Char Char Char,Footnote Text Char1 Char Char Char Char,Footnote Text Char Char Char Char Char Char,Footnote Text Char1 Char Char Char Char Char Char,Footnote reference Char"/>
    <w:basedOn w:val="DefaultParagraphFont"/>
    <w:link w:val="FootnoteText"/>
    <w:uiPriority w:val="99"/>
    <w:rsid w:val="00ED43AD"/>
    <w:rPr>
      <w:rFonts w:eastAsia="Times New Roman"/>
      <w:color w:val="auto"/>
      <w:sz w:val="20"/>
      <w:szCs w:val="20"/>
      <w:lang w:eastAsia="en-GB"/>
    </w:rPr>
  </w:style>
  <w:style w:type="character" w:styleId="FootnoteReference">
    <w:name w:val="footnote reference"/>
    <w:aliases w:val="Ref,de nota al pie,Footnote Reference 2,stylish,Appel note de bas de page,Footnotes refss,Footnote number,referencia nota al pie,BVI fnr,f,Texto de nota al pie,a Footnote Reference,FZ,ftref, BVI fnr,Footnote Reference Char3,Footnote"/>
    <w:basedOn w:val="DefaultParagraphFont"/>
    <w:uiPriority w:val="99"/>
    <w:qFormat/>
    <w:rsid w:val="00ED43AD"/>
    <w:rPr>
      <w:vertAlign w:val="superscript"/>
    </w:rPr>
  </w:style>
  <w:style w:type="paragraph" w:styleId="NoSpacing">
    <w:name w:val="No Spacing"/>
    <w:uiPriority w:val="1"/>
    <w:qFormat/>
    <w:rsid w:val="005F4AD8"/>
    <w:pPr>
      <w:jc w:val="left"/>
    </w:pPr>
    <w:rPr>
      <w:color w:val="auto"/>
      <w:lang w:val="en-US"/>
    </w:rPr>
  </w:style>
  <w:style w:type="paragraph" w:styleId="Header">
    <w:name w:val="header"/>
    <w:basedOn w:val="Normal"/>
    <w:link w:val="HeaderChar"/>
    <w:uiPriority w:val="99"/>
    <w:unhideWhenUsed/>
    <w:rsid w:val="00A1555A"/>
    <w:pPr>
      <w:tabs>
        <w:tab w:val="center" w:pos="4513"/>
        <w:tab w:val="right" w:pos="9026"/>
      </w:tabs>
    </w:pPr>
  </w:style>
  <w:style w:type="character" w:customStyle="1" w:styleId="HeaderChar">
    <w:name w:val="Header Char"/>
    <w:basedOn w:val="DefaultParagraphFont"/>
    <w:link w:val="Header"/>
    <w:uiPriority w:val="99"/>
    <w:rsid w:val="00A1555A"/>
    <w:rPr>
      <w:rFonts w:eastAsia="Times New Roman"/>
      <w:color w:val="auto"/>
      <w:lang w:eastAsia="en-GB"/>
    </w:rPr>
  </w:style>
  <w:style w:type="paragraph" w:styleId="Footer">
    <w:name w:val="footer"/>
    <w:basedOn w:val="Normal"/>
    <w:link w:val="FooterChar"/>
    <w:uiPriority w:val="99"/>
    <w:unhideWhenUsed/>
    <w:rsid w:val="00A1555A"/>
    <w:pPr>
      <w:tabs>
        <w:tab w:val="center" w:pos="4513"/>
        <w:tab w:val="right" w:pos="9026"/>
      </w:tabs>
    </w:pPr>
  </w:style>
  <w:style w:type="character" w:customStyle="1" w:styleId="FooterChar">
    <w:name w:val="Footer Char"/>
    <w:basedOn w:val="DefaultParagraphFont"/>
    <w:link w:val="Footer"/>
    <w:uiPriority w:val="99"/>
    <w:rsid w:val="00A1555A"/>
    <w:rPr>
      <w:rFonts w:eastAsia="Times New Roman"/>
      <w:color w:val="auto"/>
      <w:lang w:eastAsia="en-GB"/>
    </w:rPr>
  </w:style>
  <w:style w:type="character" w:customStyle="1" w:styleId="UnresolvedMention1">
    <w:name w:val="Unresolved Mention1"/>
    <w:basedOn w:val="DefaultParagraphFont"/>
    <w:uiPriority w:val="99"/>
    <w:semiHidden/>
    <w:unhideWhenUsed/>
    <w:rsid w:val="00E8275C"/>
    <w:rPr>
      <w:color w:val="605E5C"/>
      <w:shd w:val="clear" w:color="auto" w:fill="E1DFDD"/>
    </w:rPr>
  </w:style>
  <w:style w:type="paragraph" w:styleId="ListParagraph">
    <w:name w:val="List Paragraph"/>
    <w:basedOn w:val="Normal"/>
    <w:uiPriority w:val="34"/>
    <w:qFormat/>
    <w:rsid w:val="00642F49"/>
    <w:pPr>
      <w:ind w:left="720"/>
      <w:contextualSpacing/>
    </w:pPr>
  </w:style>
  <w:style w:type="character" w:styleId="FollowedHyperlink">
    <w:name w:val="FollowedHyperlink"/>
    <w:basedOn w:val="DefaultParagraphFont"/>
    <w:uiPriority w:val="99"/>
    <w:semiHidden/>
    <w:unhideWhenUsed/>
    <w:rsid w:val="00C66A8A"/>
    <w:rPr>
      <w:color w:val="954F72" w:themeColor="followedHyperlink"/>
      <w:u w:val="single"/>
    </w:rPr>
  </w:style>
  <w:style w:type="character" w:styleId="CommentReference">
    <w:name w:val="annotation reference"/>
    <w:basedOn w:val="DefaultParagraphFont"/>
    <w:uiPriority w:val="99"/>
    <w:semiHidden/>
    <w:unhideWhenUsed/>
    <w:rsid w:val="00A5552D"/>
    <w:rPr>
      <w:sz w:val="16"/>
      <w:szCs w:val="16"/>
    </w:rPr>
  </w:style>
  <w:style w:type="paragraph" w:styleId="CommentText">
    <w:name w:val="annotation text"/>
    <w:basedOn w:val="Normal"/>
    <w:link w:val="CommentTextChar"/>
    <w:uiPriority w:val="99"/>
    <w:semiHidden/>
    <w:unhideWhenUsed/>
    <w:rsid w:val="00A5552D"/>
    <w:rPr>
      <w:sz w:val="20"/>
      <w:szCs w:val="20"/>
    </w:rPr>
  </w:style>
  <w:style w:type="character" w:customStyle="1" w:styleId="CommentTextChar">
    <w:name w:val="Comment Text Char"/>
    <w:basedOn w:val="DefaultParagraphFont"/>
    <w:link w:val="CommentText"/>
    <w:uiPriority w:val="99"/>
    <w:semiHidden/>
    <w:rsid w:val="00A5552D"/>
    <w:rPr>
      <w:rFonts w:eastAsia="Times New Roman"/>
      <w:color w:val="auto"/>
      <w:sz w:val="20"/>
      <w:szCs w:val="20"/>
      <w:lang w:eastAsia="en-GB"/>
    </w:rPr>
  </w:style>
  <w:style w:type="paragraph" w:styleId="CommentSubject">
    <w:name w:val="annotation subject"/>
    <w:basedOn w:val="CommentText"/>
    <w:next w:val="CommentText"/>
    <w:link w:val="CommentSubjectChar"/>
    <w:uiPriority w:val="99"/>
    <w:semiHidden/>
    <w:unhideWhenUsed/>
    <w:rsid w:val="00A5552D"/>
    <w:rPr>
      <w:b/>
      <w:bCs/>
    </w:rPr>
  </w:style>
  <w:style w:type="character" w:customStyle="1" w:styleId="CommentSubjectChar">
    <w:name w:val="Comment Subject Char"/>
    <w:basedOn w:val="CommentTextChar"/>
    <w:link w:val="CommentSubject"/>
    <w:uiPriority w:val="99"/>
    <w:semiHidden/>
    <w:rsid w:val="00A5552D"/>
    <w:rPr>
      <w:rFonts w:eastAsia="Times New Roman"/>
      <w:b/>
      <w:bCs/>
      <w:color w:val="auto"/>
      <w:sz w:val="20"/>
      <w:szCs w:val="20"/>
      <w:lang w:eastAsia="en-GB"/>
    </w:rPr>
  </w:style>
  <w:style w:type="paragraph" w:styleId="BalloonText">
    <w:name w:val="Balloon Text"/>
    <w:basedOn w:val="Normal"/>
    <w:link w:val="BalloonTextChar"/>
    <w:uiPriority w:val="99"/>
    <w:semiHidden/>
    <w:unhideWhenUsed/>
    <w:rsid w:val="00A555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52D"/>
    <w:rPr>
      <w:rFonts w:ascii="Segoe UI" w:eastAsia="Times New Roman" w:hAnsi="Segoe UI" w:cs="Segoe UI"/>
      <w:color w:val="auto"/>
      <w:sz w:val="18"/>
      <w:szCs w:val="18"/>
      <w:lang w:eastAsia="en-GB"/>
    </w:rPr>
  </w:style>
  <w:style w:type="paragraph" w:styleId="Revision">
    <w:name w:val="Revision"/>
    <w:hidden/>
    <w:uiPriority w:val="99"/>
    <w:semiHidden/>
    <w:rsid w:val="00952D0B"/>
    <w:pPr>
      <w:jc w:val="left"/>
    </w:pPr>
    <w:rPr>
      <w:rFonts w:eastAsia="Times New Roman"/>
      <w:color w:val="auto"/>
      <w:lang w:eastAsia="en-GB"/>
    </w:rPr>
  </w:style>
  <w:style w:type="character" w:styleId="UnresolvedMention">
    <w:name w:val="Unresolved Mention"/>
    <w:basedOn w:val="DefaultParagraphFont"/>
    <w:uiPriority w:val="99"/>
    <w:semiHidden/>
    <w:unhideWhenUsed/>
    <w:rsid w:val="004D4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50635">
      <w:bodyDiv w:val="1"/>
      <w:marLeft w:val="0"/>
      <w:marRight w:val="0"/>
      <w:marTop w:val="0"/>
      <w:marBottom w:val="0"/>
      <w:divBdr>
        <w:top w:val="none" w:sz="0" w:space="0" w:color="auto"/>
        <w:left w:val="none" w:sz="0" w:space="0" w:color="auto"/>
        <w:bottom w:val="none" w:sz="0" w:space="0" w:color="auto"/>
        <w:right w:val="none" w:sz="0" w:space="0" w:color="auto"/>
      </w:divBdr>
      <w:divsChild>
        <w:div w:id="1915894572">
          <w:marLeft w:val="0"/>
          <w:marRight w:val="0"/>
          <w:marTop w:val="0"/>
          <w:marBottom w:val="0"/>
          <w:divBdr>
            <w:top w:val="none" w:sz="0" w:space="0" w:color="auto"/>
            <w:left w:val="none" w:sz="0" w:space="0" w:color="auto"/>
            <w:bottom w:val="none" w:sz="0" w:space="0" w:color="auto"/>
            <w:right w:val="none" w:sz="0" w:space="0" w:color="auto"/>
          </w:divBdr>
          <w:divsChild>
            <w:div w:id="2143302722">
              <w:marLeft w:val="0"/>
              <w:marRight w:val="0"/>
              <w:marTop w:val="0"/>
              <w:marBottom w:val="0"/>
              <w:divBdr>
                <w:top w:val="none" w:sz="0" w:space="0" w:color="auto"/>
                <w:left w:val="none" w:sz="0" w:space="0" w:color="auto"/>
                <w:bottom w:val="none" w:sz="0" w:space="0" w:color="auto"/>
                <w:right w:val="none" w:sz="0" w:space="0" w:color="auto"/>
              </w:divBdr>
              <w:divsChild>
                <w:div w:id="11625501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7497513">
          <w:marLeft w:val="0"/>
          <w:marRight w:val="0"/>
          <w:marTop w:val="0"/>
          <w:marBottom w:val="0"/>
          <w:divBdr>
            <w:top w:val="none" w:sz="0" w:space="0" w:color="auto"/>
            <w:left w:val="none" w:sz="0" w:space="0" w:color="auto"/>
            <w:bottom w:val="none" w:sz="0" w:space="0" w:color="auto"/>
            <w:right w:val="none" w:sz="0" w:space="0" w:color="auto"/>
          </w:divBdr>
          <w:divsChild>
            <w:div w:id="6066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mes14.green@uwe.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tandfonline.com/doi/full/10.1080/14782804.2022.2126445" TargetMode="External"/><Relationship Id="rId13" Type="http://schemas.openxmlformats.org/officeDocument/2006/relationships/hyperlink" Target="https://www.whitehouse.gov/briefing-room/statements-releases/2022/04/08/statement-from-the-president-on-delivery-of-air-defense-systems-to-ukraine/" TargetMode="External"/><Relationship Id="rId18" Type="http://schemas.openxmlformats.org/officeDocument/2006/relationships/hyperlink" Target="https://foreignpolicy.com/2022/02/24/biden-legal-ukraine-russia-resistance/" TargetMode="External"/><Relationship Id="rId3" Type="http://schemas.openxmlformats.org/officeDocument/2006/relationships/hyperlink" Target="https://www.bbc.co.uk/news/world-europe-65018434" TargetMode="External"/><Relationship Id="rId21" Type="http://schemas.openxmlformats.org/officeDocument/2006/relationships/hyperlink" Target="http://www.newsweek.com/russia-war-nato-kremlin-official-1732679" TargetMode="External"/><Relationship Id="rId7" Type="http://schemas.openxmlformats.org/officeDocument/2006/relationships/hyperlink" Target="http://opiniojuris.org/2022/03/29/war-in-ukraine-time-for-a-collective-self-defense" TargetMode="External"/><Relationship Id="rId12" Type="http://schemas.openxmlformats.org/officeDocument/2006/relationships/hyperlink" Target="https://www.nato.int/cps/en/natohq/topics_192648.htm" TargetMode="External"/><Relationship Id="rId17" Type="http://schemas.openxmlformats.org/officeDocument/2006/relationships/hyperlink" Target="https://www.ejiltalk.org/at-war-when-do-states-supporting-ukraine-or-russia-become-parties-to-the-conflict-and-what-would-that-mean" TargetMode="External"/><Relationship Id="rId2" Type="http://schemas.openxmlformats.org/officeDocument/2006/relationships/hyperlink" Target="http://www.bbc.co.uk/news/world-europe-62002218" TargetMode="External"/><Relationship Id="rId16" Type="http://schemas.openxmlformats.org/officeDocument/2006/relationships/hyperlink" Target="https://www.bbc.co.uk/news/uk-60522745" TargetMode="External"/><Relationship Id="rId20" Type="http://schemas.openxmlformats.org/officeDocument/2006/relationships/hyperlink" Target="http://www.europarl.europa.eu/factsheets/en/sheet/158/foreign-policy-aims-instruments-and-achievements" TargetMode="External"/><Relationship Id="rId1" Type="http://schemas.openxmlformats.org/officeDocument/2006/relationships/hyperlink" Target="http://www.economist.com/europe/2022/02/24/russia-invades-ukraine" TargetMode="External"/><Relationship Id="rId6" Type="http://schemas.openxmlformats.org/officeDocument/2006/relationships/hyperlink" Target="https://lieber.westpoint.edu/ukraine-neutrality-co-belligerency-use-of-force" TargetMode="External"/><Relationship Id="rId11" Type="http://schemas.openxmlformats.org/officeDocument/2006/relationships/hyperlink" Target="https://ila.vettoreweb.com/Storage/Download.aspx?DbStorageId=11391&amp;StorageFileGuid=6a499340-074d-4d4b-851b-7a56871175d6" TargetMode="External"/><Relationship Id="rId5" Type="http://schemas.openxmlformats.org/officeDocument/2006/relationships/hyperlink" Target="http://www.justsecurity.org/80641/the-operational-and-legal-risks-of-a-no-fly-zone-over-ukrainian-skies" TargetMode="External"/><Relationship Id="rId15" Type="http://schemas.openxmlformats.org/officeDocument/2006/relationships/hyperlink" Target="http://www.nato.int/cps/en/natohq/opinions_193610.htm" TargetMode="External"/><Relationship Id="rId10" Type="http://schemas.openxmlformats.org/officeDocument/2006/relationships/hyperlink" Target="http://www.theguardian.com/world/video/2022/mar/05/zelenskiy-attacks-nato-weakness-for-refusing-no-fly-zone-over-ukraine-video" TargetMode="External"/><Relationship Id="rId19" Type="http://schemas.openxmlformats.org/officeDocument/2006/relationships/hyperlink" Target="http://www.europarl.europa.eu/doceo/document/TA-9-2022-0236_EN.html" TargetMode="External"/><Relationship Id="rId4" Type="http://schemas.openxmlformats.org/officeDocument/2006/relationships/hyperlink" Target="http://www.bbc.co.uk/news/60571253" TargetMode="External"/><Relationship Id="rId9" Type="http://schemas.openxmlformats.org/officeDocument/2006/relationships/hyperlink" Target="http://www.reuters.com/world/europe/ukraines-zelenskiy-says-it-is-time-consider-no-fly-zone-russian-aircraft-2022-02-28" TargetMode="External"/><Relationship Id="rId14" Type="http://schemas.openxmlformats.org/officeDocument/2006/relationships/hyperlink" Target="http://www.tagesschau.de/inland/bundestag-baerbock-101.html" TargetMode="External"/><Relationship Id="rId22" Type="http://schemas.openxmlformats.org/officeDocument/2006/relationships/hyperlink" Target="http://www.reuters.com/world/europe/putin-ally-patrushev-says-russia-is-now-fighting-nato-ukraine-2023-0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5ACF6-6E03-4A86-A466-8F2B876C7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4152</Words>
  <Characters>23667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27764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Green</dc:creator>
  <cp:keywords/>
  <dc:description/>
  <cp:lastModifiedBy>James Green</cp:lastModifiedBy>
  <cp:revision>11</cp:revision>
  <dcterms:created xsi:type="dcterms:W3CDTF">2023-03-29T04:17:00Z</dcterms:created>
  <dcterms:modified xsi:type="dcterms:W3CDTF">2023-03-29T08:17:00Z</dcterms:modified>
</cp:coreProperties>
</file>