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7C871" w14:textId="1751700B" w:rsidR="00BC3B91" w:rsidRDefault="00E76E51" w:rsidP="00E76E51">
      <w:pPr>
        <w:pStyle w:val="paragraph"/>
        <w:spacing w:before="0" w:beforeAutospacing="0" w:after="0" w:afterAutospacing="0" w:line="360" w:lineRule="auto"/>
        <w:textAlignment w:val="baseline"/>
        <w:rPr>
          <w:rFonts w:ascii="Arial" w:eastAsiaTheme="minorHAnsi" w:hAnsi="Arial" w:cs="Arial"/>
          <w:b/>
          <w:lang w:eastAsia="en-US"/>
        </w:rPr>
      </w:pPr>
      <w:r>
        <w:rPr>
          <w:rFonts w:ascii="Arial" w:eastAsiaTheme="minorHAnsi" w:hAnsi="Arial" w:cs="Arial"/>
          <w:b/>
          <w:lang w:eastAsia="en-US"/>
        </w:rPr>
        <w:t xml:space="preserve">    </w:t>
      </w:r>
    </w:p>
    <w:p w14:paraId="21536D8F" w14:textId="77777777" w:rsidR="00BC3B91" w:rsidRDefault="00BC3B91" w:rsidP="00BC3B91">
      <w:pPr>
        <w:pStyle w:val="paragraph"/>
        <w:spacing w:before="0" w:beforeAutospacing="0" w:after="0" w:afterAutospacing="0" w:line="360" w:lineRule="auto"/>
        <w:textAlignment w:val="baseline"/>
        <w:rPr>
          <w:rFonts w:ascii="Arial" w:eastAsiaTheme="minorHAnsi" w:hAnsi="Arial" w:cs="Arial"/>
          <w:b/>
          <w:lang w:eastAsia="en-US"/>
        </w:rPr>
      </w:pPr>
    </w:p>
    <w:p w14:paraId="189EC91D" w14:textId="77777777" w:rsidR="00BC3B91" w:rsidRDefault="00BC3B91" w:rsidP="00BC3B91">
      <w:pPr>
        <w:pStyle w:val="paragraph"/>
        <w:spacing w:before="0" w:beforeAutospacing="0" w:after="0" w:afterAutospacing="0" w:line="360" w:lineRule="auto"/>
        <w:textAlignment w:val="baseline"/>
        <w:rPr>
          <w:rFonts w:ascii="Arial" w:eastAsiaTheme="minorHAnsi" w:hAnsi="Arial" w:cs="Arial"/>
          <w:b/>
          <w:lang w:eastAsia="en-US"/>
        </w:rPr>
      </w:pPr>
    </w:p>
    <w:p w14:paraId="1E961FED" w14:textId="77777777" w:rsidR="00BC3B91" w:rsidRDefault="00BC3B91" w:rsidP="00BC3B91">
      <w:pPr>
        <w:pStyle w:val="paragraph"/>
        <w:spacing w:before="0" w:beforeAutospacing="0" w:after="0" w:afterAutospacing="0" w:line="360" w:lineRule="auto"/>
        <w:textAlignment w:val="baseline"/>
        <w:rPr>
          <w:rFonts w:ascii="Arial" w:eastAsiaTheme="minorHAnsi" w:hAnsi="Arial" w:cs="Arial"/>
          <w:b/>
          <w:lang w:eastAsia="en-US"/>
        </w:rPr>
      </w:pPr>
    </w:p>
    <w:p w14:paraId="00537808" w14:textId="77777777" w:rsidR="00BC3B91" w:rsidRDefault="00BC3B91" w:rsidP="00BC3B91">
      <w:pPr>
        <w:pStyle w:val="paragraph"/>
        <w:spacing w:before="0" w:beforeAutospacing="0" w:after="0" w:afterAutospacing="0" w:line="360" w:lineRule="auto"/>
        <w:textAlignment w:val="baseline"/>
        <w:rPr>
          <w:rFonts w:ascii="Arial" w:eastAsiaTheme="minorHAnsi" w:hAnsi="Arial" w:cs="Arial"/>
          <w:b/>
          <w:lang w:eastAsia="en-US"/>
        </w:rPr>
      </w:pPr>
    </w:p>
    <w:p w14:paraId="1D306F79" w14:textId="77777777" w:rsidR="00BC3B91" w:rsidRDefault="00BC3B91" w:rsidP="00BC3B91">
      <w:pPr>
        <w:pStyle w:val="paragraph"/>
        <w:spacing w:before="0" w:beforeAutospacing="0" w:after="0" w:afterAutospacing="0" w:line="360" w:lineRule="auto"/>
        <w:textAlignment w:val="baseline"/>
        <w:rPr>
          <w:rFonts w:ascii="Arial" w:eastAsiaTheme="minorHAnsi" w:hAnsi="Arial" w:cs="Arial"/>
          <w:b/>
          <w:lang w:eastAsia="en-US"/>
        </w:rPr>
      </w:pPr>
    </w:p>
    <w:p w14:paraId="66314102" w14:textId="77777777" w:rsidR="00BC3B91" w:rsidRDefault="00BC3B91" w:rsidP="00BC3B91">
      <w:pPr>
        <w:pStyle w:val="paragraph"/>
        <w:spacing w:before="0" w:beforeAutospacing="0" w:after="0" w:afterAutospacing="0" w:line="360" w:lineRule="auto"/>
        <w:textAlignment w:val="baseline"/>
        <w:rPr>
          <w:rStyle w:val="normaltextrun"/>
          <w:bCs/>
        </w:rPr>
      </w:pPr>
      <w:r>
        <w:rPr>
          <w:rFonts w:ascii="Arial" w:eastAsiaTheme="minorHAnsi" w:hAnsi="Arial" w:cs="Arial"/>
          <w:b/>
          <w:lang w:eastAsia="en-US"/>
        </w:rPr>
        <w:t xml:space="preserve">         </w:t>
      </w:r>
      <w:r>
        <w:rPr>
          <w:rStyle w:val="normaltextrun"/>
          <w:rFonts w:ascii="Arial" w:hAnsi="Arial" w:cs="Arial"/>
          <w:b/>
          <w:bCs/>
        </w:rPr>
        <w:t xml:space="preserve"> Did stopping ultrasound surveillance during COVID-19 result in an     </w:t>
      </w:r>
    </w:p>
    <w:p w14:paraId="0A97DFF8" w14:textId="77777777" w:rsidR="00BC3B91" w:rsidRDefault="00BC3B91" w:rsidP="00BC3B91">
      <w:pPr>
        <w:pStyle w:val="paragraph"/>
        <w:spacing w:before="0" w:beforeAutospacing="0" w:after="0" w:afterAutospacing="0" w:line="360" w:lineRule="auto"/>
        <w:textAlignment w:val="baseline"/>
        <w:rPr>
          <w:rStyle w:val="normaltextrun"/>
          <w:rFonts w:ascii="Arial" w:hAnsi="Arial" w:cs="Arial"/>
          <w:b/>
          <w:bCs/>
        </w:rPr>
      </w:pPr>
      <w:r>
        <w:rPr>
          <w:rStyle w:val="normaltextrun"/>
          <w:rFonts w:ascii="Arial" w:hAnsi="Arial" w:cs="Arial"/>
          <w:b/>
          <w:bCs/>
        </w:rPr>
        <w:t xml:space="preserve">                              increase of the dialysis access thrombosis rate? </w:t>
      </w:r>
    </w:p>
    <w:p w14:paraId="7F77D254" w14:textId="77777777" w:rsidR="00BC3B91" w:rsidRDefault="00BC3B91" w:rsidP="00BC3B91">
      <w:pPr>
        <w:pStyle w:val="paragraph"/>
        <w:spacing w:before="0" w:beforeAutospacing="0" w:after="0" w:afterAutospacing="0" w:line="360" w:lineRule="auto"/>
        <w:textAlignment w:val="baseline"/>
        <w:rPr>
          <w:rStyle w:val="eop"/>
        </w:rPr>
      </w:pPr>
    </w:p>
    <w:p w14:paraId="32CCEB49" w14:textId="77777777" w:rsidR="00BC3B91" w:rsidRDefault="00BC3B91" w:rsidP="00BC3B91">
      <w:pPr>
        <w:pStyle w:val="paragraph"/>
        <w:spacing w:before="0" w:beforeAutospacing="0" w:after="0" w:afterAutospacing="0" w:line="360" w:lineRule="auto"/>
        <w:textAlignment w:val="baseline"/>
        <w:rPr>
          <w:rFonts w:eastAsiaTheme="minorHAnsi"/>
          <w:b/>
          <w:lang w:eastAsia="en-US"/>
        </w:rPr>
      </w:pPr>
      <w:r>
        <w:rPr>
          <w:rFonts w:ascii="Arial" w:eastAsiaTheme="minorHAnsi" w:hAnsi="Arial" w:cs="Arial"/>
          <w:b/>
          <w:lang w:eastAsia="en-US"/>
        </w:rPr>
        <w:t xml:space="preserve">Karen Allsopp, MSc, Renal Specialist Nurse, North Bristol Trust. </w:t>
      </w:r>
      <w:hyperlink r:id="rId4" w:history="1">
        <w:r>
          <w:rPr>
            <w:rStyle w:val="Hyperlink"/>
            <w:rFonts w:ascii="Arial" w:eastAsiaTheme="minorHAnsi" w:hAnsi="Arial" w:cs="Arial"/>
            <w:b/>
            <w:lang w:eastAsia="en-US"/>
          </w:rPr>
          <w:t>Karen.allsopp@nbt.nhs.uk</w:t>
        </w:r>
      </w:hyperlink>
      <w:r>
        <w:rPr>
          <w:rFonts w:ascii="Arial" w:eastAsiaTheme="minorHAnsi" w:hAnsi="Arial" w:cs="Arial"/>
          <w:b/>
          <w:lang w:eastAsia="en-US"/>
        </w:rPr>
        <w:t xml:space="preserve"> </w:t>
      </w:r>
    </w:p>
    <w:p w14:paraId="7A6B1247" w14:textId="77777777" w:rsidR="00BC3B91" w:rsidRDefault="00BC3B91" w:rsidP="00BC3B91">
      <w:pPr>
        <w:pStyle w:val="paragraph"/>
        <w:spacing w:before="0" w:beforeAutospacing="0" w:after="0" w:afterAutospacing="0" w:line="360" w:lineRule="auto"/>
        <w:textAlignment w:val="baseline"/>
        <w:rPr>
          <w:rFonts w:ascii="Arial" w:eastAsiaTheme="minorHAnsi" w:hAnsi="Arial" w:cs="Arial"/>
          <w:b/>
          <w:lang w:eastAsia="en-US"/>
        </w:rPr>
      </w:pPr>
      <w:r>
        <w:rPr>
          <w:rFonts w:ascii="Arial" w:eastAsiaTheme="minorHAnsi" w:hAnsi="Arial" w:cs="Arial"/>
          <w:b/>
          <w:lang w:eastAsia="en-US"/>
        </w:rPr>
        <w:t>Dr Lindsay Smith, PhD, Senior Lecturer, University of the West of England.</w:t>
      </w:r>
    </w:p>
    <w:p w14:paraId="78A927EC" w14:textId="77777777" w:rsidR="00BC3B91" w:rsidRDefault="00000000" w:rsidP="00BC3B91">
      <w:pPr>
        <w:pStyle w:val="paragraph"/>
        <w:spacing w:before="0" w:beforeAutospacing="0" w:after="0" w:afterAutospacing="0" w:line="360" w:lineRule="auto"/>
        <w:textAlignment w:val="baseline"/>
        <w:rPr>
          <w:rFonts w:ascii="Arial" w:eastAsiaTheme="minorHAnsi" w:hAnsi="Arial" w:cs="Arial"/>
          <w:b/>
          <w:lang w:eastAsia="en-US"/>
        </w:rPr>
      </w:pPr>
      <w:hyperlink r:id="rId5" w:history="1">
        <w:r w:rsidR="00BC3B91">
          <w:rPr>
            <w:rStyle w:val="Hyperlink"/>
            <w:rFonts w:ascii="Arial" w:eastAsiaTheme="minorHAnsi" w:hAnsi="Arial" w:cs="Arial"/>
            <w:b/>
            <w:lang w:eastAsia="en-US"/>
          </w:rPr>
          <w:t>Lindsay6.Smith@uwe.ac.uk</w:t>
        </w:r>
      </w:hyperlink>
      <w:r w:rsidR="00BC3B91">
        <w:rPr>
          <w:rFonts w:ascii="Arial" w:eastAsiaTheme="minorHAnsi" w:hAnsi="Arial" w:cs="Arial"/>
          <w:b/>
          <w:lang w:eastAsia="en-US"/>
        </w:rPr>
        <w:t xml:space="preserve"> </w:t>
      </w:r>
    </w:p>
    <w:p w14:paraId="0C6D8BF0" w14:textId="77777777" w:rsidR="00BC3B91" w:rsidRDefault="00BC3B91" w:rsidP="00BC3B91">
      <w:pPr>
        <w:pStyle w:val="paragraph"/>
        <w:spacing w:before="0" w:beforeAutospacing="0" w:after="0" w:afterAutospacing="0" w:line="360" w:lineRule="auto"/>
        <w:textAlignment w:val="baseline"/>
        <w:rPr>
          <w:rFonts w:ascii="Arial" w:eastAsiaTheme="minorHAnsi" w:hAnsi="Arial" w:cs="Arial"/>
          <w:b/>
          <w:lang w:eastAsia="en-US"/>
        </w:rPr>
      </w:pPr>
    </w:p>
    <w:p w14:paraId="619E2BC2" w14:textId="77777777" w:rsidR="00BC3B91" w:rsidRDefault="00BC3B91" w:rsidP="00BC3B91">
      <w:pPr>
        <w:pStyle w:val="paragraph"/>
        <w:spacing w:before="0" w:beforeAutospacing="0" w:after="0" w:afterAutospacing="0" w:line="360" w:lineRule="auto"/>
        <w:textAlignment w:val="baseline"/>
        <w:rPr>
          <w:rFonts w:ascii="Arial" w:eastAsiaTheme="minorHAnsi" w:hAnsi="Arial" w:cs="Arial"/>
          <w:b/>
          <w:lang w:eastAsia="en-US"/>
        </w:rPr>
      </w:pPr>
    </w:p>
    <w:p w14:paraId="0C01ACD0" w14:textId="77777777" w:rsidR="00BC3B91" w:rsidRDefault="00BC3B91" w:rsidP="00BC3B91">
      <w:pPr>
        <w:pStyle w:val="paragraph"/>
        <w:spacing w:before="0" w:beforeAutospacing="0" w:after="0" w:afterAutospacing="0" w:line="360" w:lineRule="auto"/>
        <w:textAlignment w:val="baseline"/>
        <w:rPr>
          <w:rFonts w:ascii="Arial" w:eastAsiaTheme="minorHAnsi" w:hAnsi="Arial" w:cs="Arial"/>
          <w:b/>
          <w:lang w:eastAsia="en-US"/>
        </w:rPr>
      </w:pPr>
    </w:p>
    <w:p w14:paraId="374F5A4A" w14:textId="77777777" w:rsidR="00BC3B91" w:rsidRDefault="00BC3B91" w:rsidP="00BC3B91">
      <w:pPr>
        <w:pStyle w:val="paragraph"/>
        <w:spacing w:before="0" w:beforeAutospacing="0" w:after="0" w:afterAutospacing="0" w:line="360" w:lineRule="auto"/>
        <w:textAlignment w:val="baseline"/>
        <w:rPr>
          <w:rFonts w:ascii="Arial" w:eastAsiaTheme="minorHAnsi" w:hAnsi="Arial" w:cs="Arial"/>
          <w:b/>
          <w:lang w:eastAsia="en-US"/>
        </w:rPr>
      </w:pPr>
    </w:p>
    <w:p w14:paraId="7A47A198" w14:textId="77777777" w:rsidR="00BC3B91" w:rsidRDefault="00BC3B91" w:rsidP="00BC3B91">
      <w:pPr>
        <w:pStyle w:val="paragraph"/>
        <w:spacing w:before="0" w:beforeAutospacing="0" w:after="0" w:afterAutospacing="0" w:line="360" w:lineRule="auto"/>
        <w:textAlignment w:val="baseline"/>
        <w:rPr>
          <w:rFonts w:ascii="Arial" w:eastAsiaTheme="minorHAnsi" w:hAnsi="Arial" w:cs="Arial"/>
          <w:b/>
          <w:lang w:eastAsia="en-US"/>
        </w:rPr>
      </w:pPr>
    </w:p>
    <w:p w14:paraId="290F46D2" w14:textId="77777777" w:rsidR="00BC3B91" w:rsidRDefault="00BC3B91" w:rsidP="00BC3B91">
      <w:pPr>
        <w:pStyle w:val="paragraph"/>
        <w:spacing w:before="0" w:beforeAutospacing="0" w:after="0" w:afterAutospacing="0" w:line="360" w:lineRule="auto"/>
        <w:textAlignment w:val="baseline"/>
        <w:rPr>
          <w:rFonts w:ascii="Arial" w:eastAsiaTheme="minorHAnsi" w:hAnsi="Arial" w:cs="Arial"/>
          <w:b/>
          <w:lang w:eastAsia="en-US"/>
        </w:rPr>
      </w:pPr>
    </w:p>
    <w:p w14:paraId="4A1CB0D8" w14:textId="77777777" w:rsidR="00BC3B91" w:rsidRDefault="00BC3B91" w:rsidP="00BC3B91">
      <w:pPr>
        <w:pStyle w:val="paragraph"/>
        <w:spacing w:before="0" w:beforeAutospacing="0" w:after="0" w:afterAutospacing="0" w:line="360" w:lineRule="auto"/>
        <w:textAlignment w:val="baseline"/>
        <w:rPr>
          <w:rFonts w:ascii="Arial" w:eastAsiaTheme="minorHAnsi" w:hAnsi="Arial" w:cs="Arial"/>
          <w:b/>
          <w:lang w:eastAsia="en-US"/>
        </w:rPr>
      </w:pPr>
    </w:p>
    <w:p w14:paraId="49B91E0B" w14:textId="77777777" w:rsidR="00BC3B91" w:rsidRDefault="00BC3B91" w:rsidP="00BC3B91">
      <w:pPr>
        <w:pStyle w:val="paragraph"/>
        <w:spacing w:before="0" w:beforeAutospacing="0" w:after="0" w:afterAutospacing="0" w:line="360" w:lineRule="auto"/>
        <w:textAlignment w:val="baseline"/>
        <w:rPr>
          <w:rFonts w:ascii="Arial" w:eastAsiaTheme="minorHAnsi" w:hAnsi="Arial" w:cs="Arial"/>
          <w:b/>
          <w:lang w:eastAsia="en-US"/>
        </w:rPr>
      </w:pPr>
    </w:p>
    <w:p w14:paraId="5DC26216" w14:textId="77777777" w:rsidR="00BC3B91" w:rsidRDefault="00BC3B91" w:rsidP="00BC3B91">
      <w:pPr>
        <w:pStyle w:val="paragraph"/>
        <w:spacing w:before="0" w:beforeAutospacing="0" w:after="0" w:afterAutospacing="0" w:line="360" w:lineRule="auto"/>
        <w:textAlignment w:val="baseline"/>
        <w:rPr>
          <w:rFonts w:ascii="Arial" w:eastAsiaTheme="minorHAnsi" w:hAnsi="Arial" w:cs="Arial"/>
          <w:b/>
          <w:lang w:eastAsia="en-US"/>
        </w:rPr>
      </w:pPr>
    </w:p>
    <w:p w14:paraId="0539DAE2" w14:textId="77777777" w:rsidR="00BC3B91" w:rsidRDefault="00BC3B91" w:rsidP="00BC3B91">
      <w:pPr>
        <w:pStyle w:val="paragraph"/>
        <w:spacing w:before="0" w:beforeAutospacing="0" w:after="0" w:afterAutospacing="0" w:line="360" w:lineRule="auto"/>
        <w:textAlignment w:val="baseline"/>
        <w:rPr>
          <w:rFonts w:ascii="Arial" w:eastAsiaTheme="minorHAnsi" w:hAnsi="Arial" w:cs="Arial"/>
          <w:b/>
          <w:lang w:eastAsia="en-US"/>
        </w:rPr>
      </w:pPr>
    </w:p>
    <w:p w14:paraId="178ED15E" w14:textId="77777777" w:rsidR="00BC3B91" w:rsidRDefault="00BC3B91" w:rsidP="00BC3B91">
      <w:pPr>
        <w:pStyle w:val="paragraph"/>
        <w:spacing w:before="0" w:beforeAutospacing="0" w:after="0" w:afterAutospacing="0" w:line="360" w:lineRule="auto"/>
        <w:textAlignment w:val="baseline"/>
        <w:rPr>
          <w:rFonts w:ascii="Arial" w:eastAsiaTheme="minorHAnsi" w:hAnsi="Arial" w:cs="Arial"/>
          <w:b/>
          <w:lang w:eastAsia="en-US"/>
        </w:rPr>
      </w:pPr>
    </w:p>
    <w:p w14:paraId="5D02BEA4" w14:textId="77777777" w:rsidR="00BC3B91" w:rsidRDefault="00BC3B91" w:rsidP="00BC3B91">
      <w:pPr>
        <w:pStyle w:val="paragraph"/>
        <w:spacing w:before="0" w:beforeAutospacing="0" w:after="0" w:afterAutospacing="0" w:line="360" w:lineRule="auto"/>
        <w:textAlignment w:val="baseline"/>
        <w:rPr>
          <w:rFonts w:ascii="Arial" w:eastAsiaTheme="minorHAnsi" w:hAnsi="Arial" w:cs="Arial"/>
          <w:b/>
          <w:lang w:eastAsia="en-US"/>
        </w:rPr>
      </w:pPr>
    </w:p>
    <w:p w14:paraId="4D587BF5" w14:textId="77777777" w:rsidR="00BC3B91" w:rsidRDefault="00BC3B91" w:rsidP="00BC3B91">
      <w:pPr>
        <w:pStyle w:val="paragraph"/>
        <w:spacing w:before="0" w:beforeAutospacing="0" w:after="0" w:afterAutospacing="0" w:line="360" w:lineRule="auto"/>
        <w:textAlignment w:val="baseline"/>
        <w:rPr>
          <w:rFonts w:ascii="Arial" w:eastAsiaTheme="minorHAnsi" w:hAnsi="Arial" w:cs="Arial"/>
          <w:b/>
          <w:lang w:eastAsia="en-US"/>
        </w:rPr>
      </w:pPr>
    </w:p>
    <w:p w14:paraId="569852CC" w14:textId="77777777" w:rsidR="00BC3B91" w:rsidRDefault="00BC3B91" w:rsidP="00BC3B91">
      <w:pPr>
        <w:pStyle w:val="paragraph"/>
        <w:spacing w:before="0" w:beforeAutospacing="0" w:after="0" w:afterAutospacing="0" w:line="360" w:lineRule="auto"/>
        <w:textAlignment w:val="baseline"/>
        <w:rPr>
          <w:rFonts w:ascii="Arial" w:eastAsiaTheme="minorHAnsi" w:hAnsi="Arial" w:cs="Arial"/>
          <w:b/>
          <w:lang w:eastAsia="en-US"/>
        </w:rPr>
      </w:pPr>
    </w:p>
    <w:p w14:paraId="2CAD526C" w14:textId="77777777" w:rsidR="00BC3B91" w:rsidRDefault="00BC3B91" w:rsidP="00BC3B91">
      <w:pPr>
        <w:pStyle w:val="paragraph"/>
        <w:spacing w:before="0" w:beforeAutospacing="0" w:after="0" w:afterAutospacing="0" w:line="360" w:lineRule="auto"/>
        <w:textAlignment w:val="baseline"/>
        <w:rPr>
          <w:rFonts w:ascii="Arial" w:eastAsiaTheme="minorHAnsi" w:hAnsi="Arial" w:cs="Arial"/>
          <w:b/>
          <w:lang w:eastAsia="en-US"/>
        </w:rPr>
      </w:pPr>
    </w:p>
    <w:p w14:paraId="103FCBCF" w14:textId="77777777" w:rsidR="00BC3B91" w:rsidRDefault="00BC3B91" w:rsidP="00BC3B91">
      <w:pPr>
        <w:pStyle w:val="paragraph"/>
        <w:spacing w:before="0" w:beforeAutospacing="0" w:after="0" w:afterAutospacing="0" w:line="360" w:lineRule="auto"/>
        <w:textAlignment w:val="baseline"/>
        <w:rPr>
          <w:rFonts w:ascii="Arial" w:eastAsiaTheme="minorHAnsi" w:hAnsi="Arial" w:cs="Arial"/>
          <w:b/>
          <w:lang w:eastAsia="en-US"/>
        </w:rPr>
      </w:pPr>
    </w:p>
    <w:p w14:paraId="7A7A7E1E" w14:textId="77777777" w:rsidR="00BC3B91" w:rsidRDefault="00BC3B91" w:rsidP="00BC3B91">
      <w:pPr>
        <w:pStyle w:val="paragraph"/>
        <w:spacing w:before="0" w:beforeAutospacing="0" w:after="0" w:afterAutospacing="0" w:line="360" w:lineRule="auto"/>
        <w:textAlignment w:val="baseline"/>
        <w:rPr>
          <w:rFonts w:ascii="Arial" w:eastAsiaTheme="minorHAnsi" w:hAnsi="Arial" w:cs="Arial"/>
          <w:b/>
          <w:lang w:eastAsia="en-US"/>
        </w:rPr>
      </w:pPr>
    </w:p>
    <w:p w14:paraId="48452E66" w14:textId="77777777" w:rsidR="00BC3B91" w:rsidRDefault="00BC3B91" w:rsidP="00BC3B91">
      <w:pPr>
        <w:pStyle w:val="paragraph"/>
        <w:spacing w:before="0" w:beforeAutospacing="0" w:after="0" w:afterAutospacing="0" w:line="360" w:lineRule="auto"/>
        <w:textAlignment w:val="baseline"/>
        <w:rPr>
          <w:rFonts w:ascii="Arial" w:eastAsiaTheme="minorHAnsi" w:hAnsi="Arial" w:cs="Arial"/>
          <w:b/>
          <w:lang w:eastAsia="en-US"/>
        </w:rPr>
      </w:pPr>
    </w:p>
    <w:p w14:paraId="2111CF4E" w14:textId="77777777" w:rsidR="00BC3B91" w:rsidRDefault="00BC3B91" w:rsidP="00BC3B91">
      <w:pPr>
        <w:pStyle w:val="paragraph"/>
        <w:spacing w:before="0" w:beforeAutospacing="0" w:after="0" w:afterAutospacing="0" w:line="360" w:lineRule="auto"/>
        <w:textAlignment w:val="baseline"/>
        <w:rPr>
          <w:rFonts w:ascii="Arial" w:eastAsiaTheme="minorHAnsi" w:hAnsi="Arial" w:cs="Arial"/>
          <w:b/>
          <w:lang w:eastAsia="en-US"/>
        </w:rPr>
      </w:pPr>
    </w:p>
    <w:p w14:paraId="434AAB6B" w14:textId="77777777" w:rsidR="00BC3B91" w:rsidRDefault="00BC3B91" w:rsidP="00BC3B91">
      <w:pPr>
        <w:pStyle w:val="paragraph"/>
        <w:spacing w:before="0" w:beforeAutospacing="0" w:after="0" w:afterAutospacing="0" w:line="360" w:lineRule="auto"/>
        <w:textAlignment w:val="baseline"/>
        <w:rPr>
          <w:rFonts w:ascii="Arial" w:eastAsiaTheme="minorHAnsi" w:hAnsi="Arial" w:cs="Arial"/>
          <w:b/>
          <w:lang w:eastAsia="en-US"/>
        </w:rPr>
      </w:pPr>
    </w:p>
    <w:p w14:paraId="4790461E" w14:textId="77777777" w:rsidR="00BC3B91" w:rsidRDefault="00BC3B91" w:rsidP="00BC3B91">
      <w:pPr>
        <w:pStyle w:val="paragraph"/>
        <w:spacing w:before="0" w:beforeAutospacing="0" w:after="0" w:afterAutospacing="0" w:line="360" w:lineRule="auto"/>
        <w:textAlignment w:val="baseline"/>
        <w:rPr>
          <w:rFonts w:ascii="Arial" w:eastAsiaTheme="minorHAnsi" w:hAnsi="Arial" w:cs="Arial"/>
          <w:b/>
          <w:lang w:eastAsia="en-US"/>
        </w:rPr>
      </w:pPr>
    </w:p>
    <w:p w14:paraId="04DED56D" w14:textId="77777777" w:rsidR="00BC3B91" w:rsidRDefault="00BC3B91" w:rsidP="00BC3B91">
      <w:pPr>
        <w:pStyle w:val="paragraph"/>
        <w:spacing w:before="0" w:beforeAutospacing="0" w:after="0" w:afterAutospacing="0" w:line="360" w:lineRule="auto"/>
        <w:textAlignment w:val="baseline"/>
        <w:rPr>
          <w:rStyle w:val="normaltextrun"/>
          <w:bCs/>
        </w:rPr>
      </w:pPr>
      <w:bookmarkStart w:id="0" w:name="_Hlk125632686"/>
      <w:r>
        <w:rPr>
          <w:rFonts w:ascii="Arial" w:eastAsiaTheme="minorHAnsi" w:hAnsi="Arial" w:cs="Arial"/>
          <w:b/>
          <w:lang w:eastAsia="en-US"/>
        </w:rPr>
        <w:lastRenderedPageBreak/>
        <w:t xml:space="preserve">     </w:t>
      </w:r>
      <w:r>
        <w:rPr>
          <w:rStyle w:val="normaltextrun"/>
          <w:rFonts w:ascii="Arial" w:hAnsi="Arial" w:cs="Arial"/>
          <w:b/>
          <w:bCs/>
        </w:rPr>
        <w:t xml:space="preserve"> Did stopping ultrasound surveillance during COVID-19 result in an     </w:t>
      </w:r>
    </w:p>
    <w:p w14:paraId="73AE78FB" w14:textId="77777777" w:rsidR="00BC3B91" w:rsidRDefault="00BC3B91" w:rsidP="00BC3B91">
      <w:pPr>
        <w:pStyle w:val="paragraph"/>
        <w:spacing w:before="0" w:beforeAutospacing="0" w:after="0" w:afterAutospacing="0" w:line="360" w:lineRule="auto"/>
        <w:textAlignment w:val="baseline"/>
        <w:rPr>
          <w:rStyle w:val="normaltextrun"/>
          <w:rFonts w:ascii="Arial" w:hAnsi="Arial" w:cs="Arial"/>
          <w:b/>
          <w:bCs/>
        </w:rPr>
      </w:pPr>
      <w:r>
        <w:rPr>
          <w:rStyle w:val="normaltextrun"/>
          <w:rFonts w:ascii="Arial" w:hAnsi="Arial" w:cs="Arial"/>
          <w:b/>
          <w:bCs/>
        </w:rPr>
        <w:t xml:space="preserve">                              increase of the dialysis access thrombosis rate?</w:t>
      </w:r>
    </w:p>
    <w:p w14:paraId="7E89D699" w14:textId="04FDBCEB" w:rsidR="00E76E51" w:rsidRPr="00BC3B91" w:rsidRDefault="00BC3B91" w:rsidP="00E76E51">
      <w:pPr>
        <w:pStyle w:val="paragraph"/>
        <w:spacing w:before="0" w:beforeAutospacing="0" w:after="0" w:afterAutospacing="0" w:line="360" w:lineRule="auto"/>
        <w:textAlignment w:val="baseline"/>
        <w:rPr>
          <w:rStyle w:val="eop"/>
        </w:rPr>
      </w:pPr>
      <w:r>
        <w:rPr>
          <w:rStyle w:val="normaltextrun"/>
          <w:rFonts w:ascii="Arial" w:hAnsi="Arial" w:cs="Arial"/>
          <w:b/>
          <w:bCs/>
        </w:rPr>
        <w:t>Allsopp, K. Smith, L.</w:t>
      </w:r>
      <w:bookmarkEnd w:id="0"/>
    </w:p>
    <w:p w14:paraId="6003BEE5" w14:textId="77777777" w:rsidR="00E76E51" w:rsidRPr="00C66B7F" w:rsidRDefault="00E76E51" w:rsidP="00E76E51">
      <w:pPr>
        <w:pStyle w:val="paragraph"/>
        <w:spacing w:before="0" w:beforeAutospacing="0" w:after="0" w:afterAutospacing="0" w:line="360" w:lineRule="auto"/>
        <w:textAlignment w:val="baseline"/>
        <w:rPr>
          <w:rFonts w:ascii="Arial" w:hAnsi="Arial" w:cs="Arial"/>
        </w:rPr>
      </w:pPr>
      <w:r w:rsidRPr="00C66B7F">
        <w:rPr>
          <w:rStyle w:val="normaltextrun"/>
          <w:rFonts w:ascii="Arial" w:hAnsi="Arial" w:cs="Arial"/>
          <w:b/>
          <w:bCs/>
        </w:rPr>
        <w:t>ABSTRACT</w:t>
      </w:r>
      <w:r w:rsidRPr="00C66B7F">
        <w:rPr>
          <w:rStyle w:val="eop"/>
          <w:rFonts w:ascii="Arial" w:hAnsi="Arial" w:cs="Arial"/>
        </w:rPr>
        <w:t> </w:t>
      </w:r>
    </w:p>
    <w:p w14:paraId="0ABF3947" w14:textId="77777777" w:rsidR="00E76E51" w:rsidRDefault="00E76E51" w:rsidP="00E76E51">
      <w:pPr>
        <w:pStyle w:val="paragraph"/>
        <w:spacing w:before="0" w:beforeAutospacing="0" w:after="0" w:afterAutospacing="0" w:line="360" w:lineRule="auto"/>
        <w:textAlignment w:val="baseline"/>
        <w:rPr>
          <w:rStyle w:val="normaltextrun"/>
          <w:rFonts w:ascii="Arial" w:hAnsi="Arial" w:cs="Arial"/>
        </w:rPr>
      </w:pPr>
      <w:r w:rsidRPr="00C66B7F">
        <w:rPr>
          <w:rStyle w:val="normaltextrun"/>
          <w:rFonts w:ascii="Arial" w:hAnsi="Arial" w:cs="Arial"/>
          <w:b/>
          <w:bCs/>
        </w:rPr>
        <w:t>Purpose:</w:t>
      </w:r>
      <w:r w:rsidRPr="00C66B7F">
        <w:rPr>
          <w:rStyle w:val="normaltextrun"/>
          <w:rFonts w:ascii="Arial" w:hAnsi="Arial" w:cs="Arial"/>
        </w:rPr>
        <w:t xml:space="preserve"> The COVID-19 pandemic resulted in cessation and subsequent reduction of routine care including the outpatient ultrasound surveillance of AVF.  T</w:t>
      </w:r>
      <w:r>
        <w:rPr>
          <w:rStyle w:val="normaltextrun"/>
          <w:rFonts w:ascii="Arial" w:hAnsi="Arial" w:cs="Arial"/>
        </w:rPr>
        <w:t xml:space="preserve">his un-planned service </w:t>
      </w:r>
      <w:r w:rsidRPr="00C66B7F">
        <w:rPr>
          <w:rStyle w:val="normaltextrun"/>
          <w:rFonts w:ascii="Arial" w:hAnsi="Arial" w:cs="Arial"/>
        </w:rPr>
        <w:t>disruption allowed evaluation of effectiveness of US s</w:t>
      </w:r>
      <w:r>
        <w:rPr>
          <w:rStyle w:val="normaltextrun"/>
          <w:rFonts w:ascii="Arial" w:hAnsi="Arial" w:cs="Arial"/>
        </w:rPr>
        <w:t>urveillance in reducing AVF/AVG thrombosis.</w:t>
      </w:r>
      <w:r w:rsidRPr="00C66B7F">
        <w:rPr>
          <w:rStyle w:val="normaltextrun"/>
          <w:rFonts w:ascii="Arial" w:hAnsi="Arial" w:cs="Arial"/>
        </w:rPr>
        <w:t>          </w:t>
      </w:r>
    </w:p>
    <w:p w14:paraId="6505035A" w14:textId="77777777" w:rsidR="00E76E51" w:rsidRPr="00C66B7F" w:rsidRDefault="00E76E51" w:rsidP="00E76E51">
      <w:pPr>
        <w:pStyle w:val="paragraph"/>
        <w:spacing w:before="0" w:beforeAutospacing="0" w:after="0" w:afterAutospacing="0" w:line="360" w:lineRule="auto"/>
        <w:textAlignment w:val="baseline"/>
        <w:rPr>
          <w:rFonts w:ascii="Arial" w:hAnsi="Arial" w:cs="Arial"/>
        </w:rPr>
      </w:pPr>
      <w:r w:rsidRPr="00C66B7F">
        <w:rPr>
          <w:rStyle w:val="normaltextrun"/>
          <w:rFonts w:ascii="Arial" w:hAnsi="Arial" w:cs="Arial"/>
        </w:rPr>
        <w:t>                                                                                              </w:t>
      </w:r>
      <w:r w:rsidRPr="00C66B7F">
        <w:rPr>
          <w:rStyle w:val="eop"/>
          <w:rFonts w:ascii="Arial" w:hAnsi="Arial" w:cs="Arial"/>
        </w:rPr>
        <w:t> </w:t>
      </w:r>
    </w:p>
    <w:p w14:paraId="0C5E7422" w14:textId="77777777" w:rsidR="00E76E51" w:rsidRDefault="00E76E51" w:rsidP="00E76E51">
      <w:pPr>
        <w:pStyle w:val="paragraph"/>
        <w:spacing w:before="0" w:beforeAutospacing="0" w:after="0" w:afterAutospacing="0" w:line="360" w:lineRule="auto"/>
        <w:textAlignment w:val="baseline"/>
        <w:rPr>
          <w:rStyle w:val="normaltextrun"/>
          <w:rFonts w:ascii="Arial" w:hAnsi="Arial" w:cs="Arial"/>
        </w:rPr>
      </w:pPr>
      <w:r w:rsidRPr="00C66B7F">
        <w:rPr>
          <w:rStyle w:val="normaltextrun"/>
          <w:rFonts w:ascii="Arial" w:hAnsi="Arial" w:cs="Arial"/>
          <w:b/>
          <w:bCs/>
        </w:rPr>
        <w:t>Methods</w:t>
      </w:r>
      <w:r w:rsidRPr="00C66B7F">
        <w:rPr>
          <w:rStyle w:val="normaltextrun"/>
          <w:rFonts w:ascii="Arial" w:hAnsi="Arial" w:cs="Arial"/>
        </w:rPr>
        <w:t xml:space="preserve">: This study was a secondary data analysis of monthly access patency for all in-centre patients receiving haemodialysis using an AVF or AVG over a two-year period (April 2019- March 2021). The study included 298 patients with age, access type, patency and COVID status measured as variables. Thrombosis rates for the 12 months prior to COVID-19 and then during the first 12 months of the pandemic were also measured. Statistical analysis to assess mean and standard deviation for relevant variables was used. A </w:t>
      </w:r>
      <w:r w:rsidRPr="00C66B7F">
        <w:rPr>
          <w:rStyle w:val="normaltextrun"/>
          <w:rFonts w:ascii="Arial" w:hAnsi="Arial" w:cs="Arial"/>
          <w:i/>
          <w:iCs/>
        </w:rPr>
        <w:t>p-</w:t>
      </w:r>
      <w:r w:rsidRPr="00C66B7F">
        <w:rPr>
          <w:rStyle w:val="normaltextrun"/>
          <w:rFonts w:ascii="Arial" w:hAnsi="Arial" w:cs="Arial"/>
        </w:rPr>
        <w:t>value of &lt;0.05 was deemed significant.</w:t>
      </w:r>
    </w:p>
    <w:p w14:paraId="1E99E710" w14:textId="77777777" w:rsidR="00E76E51" w:rsidRPr="00C66B7F" w:rsidRDefault="00E76E51" w:rsidP="00E76E51">
      <w:pPr>
        <w:pStyle w:val="paragraph"/>
        <w:spacing w:before="0" w:beforeAutospacing="0" w:after="0" w:afterAutospacing="0" w:line="360" w:lineRule="auto"/>
        <w:textAlignment w:val="baseline"/>
        <w:rPr>
          <w:rFonts w:ascii="Arial" w:hAnsi="Arial" w:cs="Arial"/>
        </w:rPr>
      </w:pPr>
      <w:r w:rsidRPr="00C66B7F">
        <w:rPr>
          <w:rStyle w:val="normaltextrun"/>
          <w:rFonts w:ascii="Arial" w:hAnsi="Arial" w:cs="Arial"/>
        </w:rPr>
        <w:t>                                                                                            </w:t>
      </w:r>
      <w:r w:rsidRPr="00C66B7F">
        <w:rPr>
          <w:rStyle w:val="eop"/>
          <w:rFonts w:ascii="Arial" w:hAnsi="Arial" w:cs="Arial"/>
        </w:rPr>
        <w:t> </w:t>
      </w:r>
    </w:p>
    <w:p w14:paraId="114218D2" w14:textId="77777777" w:rsidR="00E76E51" w:rsidRDefault="00E76E51" w:rsidP="00E76E51">
      <w:pPr>
        <w:pStyle w:val="paragraph"/>
        <w:spacing w:before="0" w:beforeAutospacing="0" w:after="0" w:afterAutospacing="0" w:line="360" w:lineRule="auto"/>
        <w:textAlignment w:val="baseline"/>
        <w:rPr>
          <w:rStyle w:val="normaltextrun"/>
          <w:rFonts w:ascii="Arial" w:hAnsi="Arial" w:cs="Arial"/>
        </w:rPr>
      </w:pPr>
      <w:r w:rsidRPr="00C66B7F">
        <w:rPr>
          <w:rStyle w:val="normaltextrun"/>
          <w:rFonts w:ascii="Arial" w:hAnsi="Arial" w:cs="Arial"/>
          <w:b/>
          <w:bCs/>
        </w:rPr>
        <w:t>Results</w:t>
      </w:r>
      <w:r>
        <w:rPr>
          <w:rStyle w:val="normaltextrun"/>
          <w:rFonts w:ascii="Arial" w:hAnsi="Arial" w:cs="Arial"/>
        </w:rPr>
        <w:t>: At the end of the study an</w:t>
      </w:r>
      <w:r w:rsidRPr="00C66B7F">
        <w:rPr>
          <w:rStyle w:val="normaltextrun"/>
          <w:rFonts w:ascii="Arial" w:hAnsi="Arial" w:cs="Arial"/>
        </w:rPr>
        <w:t xml:space="preserve"> increase in thrombosis rate (%) in the non-surve</w:t>
      </w:r>
      <w:r>
        <w:rPr>
          <w:rStyle w:val="normaltextrun"/>
          <w:rFonts w:ascii="Arial" w:hAnsi="Arial" w:cs="Arial"/>
        </w:rPr>
        <w:t>illance year was observed. (1.20)</w:t>
      </w:r>
      <w:r w:rsidRPr="00C66B7F">
        <w:rPr>
          <w:rStyle w:val="normaltextrun"/>
          <w:rFonts w:ascii="Arial" w:hAnsi="Arial" w:cs="Arial"/>
        </w:rPr>
        <w:t xml:space="preserve"> thrombosis/patient/year in the surveillance group vs </w:t>
      </w:r>
      <w:r>
        <w:rPr>
          <w:rStyle w:val="normaltextrun"/>
          <w:rFonts w:ascii="Arial" w:hAnsi="Arial" w:cs="Arial"/>
        </w:rPr>
        <w:t>(</w:t>
      </w:r>
      <w:r w:rsidRPr="00C66B7F">
        <w:rPr>
          <w:rStyle w:val="normaltextrun"/>
          <w:rFonts w:ascii="Arial" w:hAnsi="Arial" w:cs="Arial"/>
        </w:rPr>
        <w:t>1.68</w:t>
      </w:r>
      <w:r>
        <w:rPr>
          <w:rStyle w:val="normaltextrun"/>
          <w:rFonts w:ascii="Arial" w:hAnsi="Arial" w:cs="Arial"/>
        </w:rPr>
        <w:t>)</w:t>
      </w:r>
      <w:r w:rsidRPr="00C66B7F">
        <w:rPr>
          <w:rStyle w:val="normaltextrun"/>
          <w:rFonts w:ascii="Arial" w:hAnsi="Arial" w:cs="Arial"/>
        </w:rPr>
        <w:t xml:space="preserve"> thrombosis/patient/year in the non-surveillance group). Monthly mean of thrombos</w:t>
      </w:r>
      <w:r>
        <w:rPr>
          <w:rStyle w:val="normaltextrun"/>
          <w:rFonts w:ascii="Arial" w:hAnsi="Arial" w:cs="Arial"/>
        </w:rPr>
        <w:t xml:space="preserve">ed access during surveillance (M= 3.58, 95%Cl 2.19-4.98, SD = 2.193) and non-surveillance (M=4.92, </w:t>
      </w:r>
      <w:r w:rsidRPr="00C66B7F">
        <w:rPr>
          <w:rStyle w:val="normaltextrun"/>
          <w:rFonts w:ascii="Arial" w:hAnsi="Arial" w:cs="Arial"/>
        </w:rPr>
        <w:t>95% Cl, 3.52-6.31</w:t>
      </w:r>
      <w:r>
        <w:rPr>
          <w:rStyle w:val="normaltextrun"/>
          <w:rFonts w:ascii="Arial" w:hAnsi="Arial" w:cs="Arial"/>
        </w:rPr>
        <w:t>, SD=2.19</w:t>
      </w:r>
      <w:r w:rsidRPr="00C66B7F">
        <w:rPr>
          <w:rStyle w:val="normaltextrun"/>
          <w:rFonts w:ascii="Arial" w:hAnsi="Arial" w:cs="Arial"/>
        </w:rPr>
        <w:t>)</w:t>
      </w:r>
      <w:r>
        <w:rPr>
          <w:rStyle w:val="normaltextrun"/>
          <w:rFonts w:ascii="Arial" w:hAnsi="Arial" w:cs="Arial"/>
        </w:rPr>
        <w:t>; t (7148) =2.051, p = 0.038</w:t>
      </w:r>
      <w:r w:rsidRPr="00C66B7F">
        <w:rPr>
          <w:rStyle w:val="normaltextrun"/>
          <w:rFonts w:ascii="Arial" w:hAnsi="Arial" w:cs="Arial"/>
        </w:rPr>
        <w:t>.  </w:t>
      </w:r>
    </w:p>
    <w:p w14:paraId="2FBEF91F" w14:textId="77777777" w:rsidR="00E76E51" w:rsidRPr="002A2716" w:rsidRDefault="00E76E51" w:rsidP="00E76E51">
      <w:pPr>
        <w:pStyle w:val="paragraph"/>
        <w:spacing w:before="0" w:beforeAutospacing="0" w:after="0" w:afterAutospacing="0" w:line="360" w:lineRule="auto"/>
        <w:textAlignment w:val="baseline"/>
        <w:rPr>
          <w:rStyle w:val="normaltextrun"/>
          <w:rFonts w:ascii="Arial" w:hAnsi="Arial" w:cs="Arial"/>
        </w:rPr>
      </w:pPr>
    </w:p>
    <w:p w14:paraId="4C67E304" w14:textId="5C33AD35" w:rsidR="00E76E51" w:rsidRPr="002A2716" w:rsidRDefault="00E76E51" w:rsidP="00E76E51">
      <w:pPr>
        <w:pStyle w:val="paragraph"/>
        <w:spacing w:before="0" w:beforeAutospacing="0" w:after="0" w:afterAutospacing="0" w:line="360" w:lineRule="auto"/>
        <w:textAlignment w:val="baseline"/>
        <w:rPr>
          <w:rStyle w:val="eop"/>
          <w:rFonts w:ascii="Arial" w:hAnsi="Arial" w:cs="Arial"/>
        </w:rPr>
      </w:pPr>
      <w:r w:rsidRPr="002A2716">
        <w:rPr>
          <w:rStyle w:val="normaltextrun"/>
          <w:rFonts w:ascii="Arial" w:hAnsi="Arial" w:cs="Arial"/>
          <w:b/>
          <w:bCs/>
        </w:rPr>
        <w:t>Conclusion</w:t>
      </w:r>
      <w:r w:rsidRPr="002A2716">
        <w:rPr>
          <w:rStyle w:val="normaltextrun"/>
          <w:rFonts w:ascii="Arial" w:hAnsi="Arial" w:cs="Arial"/>
        </w:rPr>
        <w:t xml:space="preserve">: Reduction in routine Ultrasound surveillance </w:t>
      </w:r>
      <w:r w:rsidR="00965C02" w:rsidRPr="002A2716">
        <w:rPr>
          <w:rStyle w:val="normaltextrun"/>
          <w:rFonts w:ascii="Arial" w:hAnsi="Arial" w:cs="Arial"/>
        </w:rPr>
        <w:t xml:space="preserve">following the COVID-19 pandemic </w:t>
      </w:r>
      <w:r w:rsidRPr="002A2716">
        <w:rPr>
          <w:rStyle w:val="normaltextrun"/>
          <w:rFonts w:ascii="Arial" w:hAnsi="Arial" w:cs="Arial"/>
        </w:rPr>
        <w:t xml:space="preserve">was associated with a significant increase in access thrombosis rate. </w:t>
      </w:r>
      <w:r w:rsidR="00965C02" w:rsidRPr="002A2716">
        <w:rPr>
          <w:rStyle w:val="normaltextrun"/>
          <w:rFonts w:ascii="Arial" w:hAnsi="Arial" w:cs="Arial"/>
        </w:rPr>
        <w:t xml:space="preserve">Further research is needed to unpick whether the associations seen were directly due to service changes, associated with COVID-19 or other factors during the pandemic. </w:t>
      </w:r>
      <w:r w:rsidRPr="002A2716">
        <w:rPr>
          <w:rStyle w:val="normaltextrun"/>
          <w:rFonts w:ascii="Arial" w:hAnsi="Arial" w:cs="Arial"/>
        </w:rPr>
        <w:t>This association was independent of SARS-CoV-2 infection status. Clinical teams should consider alternative service delivery options including out-reach, bedside surveillance to balance risks of access thrombosis versus reducing the risk of nosocomial infection with hospital visits. </w:t>
      </w:r>
      <w:r w:rsidRPr="002A2716">
        <w:rPr>
          <w:rStyle w:val="eop"/>
          <w:rFonts w:ascii="Arial" w:hAnsi="Arial" w:cs="Arial"/>
        </w:rPr>
        <w:t> </w:t>
      </w:r>
    </w:p>
    <w:p w14:paraId="6D693DCA" w14:textId="67AE6F8E" w:rsidR="00E76E51" w:rsidRPr="002A2716" w:rsidRDefault="00E76E51" w:rsidP="002A2716">
      <w:r w:rsidRPr="002A2716">
        <w:rPr>
          <w:rStyle w:val="normaltextrun"/>
          <w:rFonts w:ascii="Arial" w:hAnsi="Arial" w:cs="Arial"/>
        </w:rPr>
        <w:t> </w:t>
      </w:r>
      <w:r w:rsidRPr="002A2716">
        <w:rPr>
          <w:rStyle w:val="normaltextrun"/>
          <w:rFonts w:ascii="Arial" w:hAnsi="Arial" w:cs="Arial"/>
          <w:b/>
          <w:bCs/>
        </w:rPr>
        <w:t>Keywords</w:t>
      </w:r>
      <w:r w:rsidRPr="002A2716">
        <w:rPr>
          <w:rStyle w:val="normaltextrun"/>
          <w:rFonts w:ascii="Arial" w:hAnsi="Arial" w:cs="Arial"/>
        </w:rPr>
        <w:t>: Access, Arteriovenous Fistula, Burden, COVID-19, Surveillance, Thrombosis, Ultrasound</w:t>
      </w:r>
      <w:r w:rsidRPr="002A2716">
        <w:rPr>
          <w:rStyle w:val="eop"/>
          <w:rFonts w:ascii="Arial" w:hAnsi="Arial" w:cs="Arial"/>
        </w:rPr>
        <w:t> </w:t>
      </w:r>
    </w:p>
    <w:p w14:paraId="79747267" w14:textId="77777777" w:rsidR="00E76E51" w:rsidRPr="00C66B7F" w:rsidRDefault="00E76E51" w:rsidP="00E76E51">
      <w:pPr>
        <w:spacing w:line="360" w:lineRule="auto"/>
        <w:rPr>
          <w:rFonts w:ascii="Arial" w:hAnsi="Arial" w:cs="Arial"/>
          <w:b/>
          <w:sz w:val="24"/>
          <w:szCs w:val="24"/>
        </w:rPr>
      </w:pPr>
      <w:r w:rsidRPr="00C66B7F">
        <w:rPr>
          <w:rFonts w:ascii="Arial" w:hAnsi="Arial" w:cs="Arial"/>
          <w:b/>
          <w:sz w:val="24"/>
          <w:szCs w:val="24"/>
        </w:rPr>
        <w:lastRenderedPageBreak/>
        <w:t>Introduction</w:t>
      </w:r>
    </w:p>
    <w:p w14:paraId="538A45C6" w14:textId="2116ABFE" w:rsidR="00B459B2" w:rsidRDefault="00E76E51" w:rsidP="00B459B2">
      <w:pPr>
        <w:pStyle w:val="PlainText"/>
        <w:spacing w:line="360" w:lineRule="auto"/>
        <w:rPr>
          <w:rFonts w:ascii="Arial" w:hAnsi="Arial" w:cs="Arial"/>
          <w:sz w:val="24"/>
          <w:szCs w:val="24"/>
          <w:vertAlign w:val="superscript"/>
        </w:rPr>
      </w:pPr>
      <w:r w:rsidRPr="00C66B7F">
        <w:rPr>
          <w:rFonts w:ascii="Arial" w:hAnsi="Arial" w:cs="Arial"/>
          <w:sz w:val="24"/>
          <w:szCs w:val="24"/>
        </w:rPr>
        <w:t>There can be some agreement among health care professionals that the COVID-19 pandemic has a lot to answer for, perhaps it can answer the ever elusive question as to whether ultrasound surveillance can help maintain access patency. The native arteri</w:t>
      </w:r>
      <w:r>
        <w:rPr>
          <w:rFonts w:ascii="Arial" w:hAnsi="Arial" w:cs="Arial"/>
          <w:sz w:val="24"/>
          <w:szCs w:val="24"/>
        </w:rPr>
        <w:t>ovenous fistula (AVF) and the arteriovenous</w:t>
      </w:r>
      <w:r w:rsidRPr="00C66B7F">
        <w:rPr>
          <w:rFonts w:ascii="Arial" w:hAnsi="Arial" w:cs="Arial"/>
          <w:sz w:val="24"/>
          <w:szCs w:val="24"/>
        </w:rPr>
        <w:t xml:space="preserve"> graft </w:t>
      </w:r>
      <w:r>
        <w:rPr>
          <w:rFonts w:ascii="Arial" w:hAnsi="Arial" w:cs="Arial"/>
          <w:sz w:val="24"/>
          <w:szCs w:val="24"/>
        </w:rPr>
        <w:t xml:space="preserve">(AVG) </w:t>
      </w:r>
      <w:r w:rsidRPr="00C66B7F">
        <w:rPr>
          <w:rFonts w:ascii="Arial" w:hAnsi="Arial" w:cs="Arial"/>
          <w:sz w:val="24"/>
          <w:szCs w:val="24"/>
        </w:rPr>
        <w:t>are considered the best types of access for patients with End stage renal failure to receive haemodialysis.</w:t>
      </w:r>
      <w:r w:rsidRPr="00C66B7F">
        <w:rPr>
          <w:rFonts w:ascii="Arial" w:hAnsi="Arial" w:cs="Arial"/>
          <w:sz w:val="24"/>
          <w:szCs w:val="24"/>
          <w:vertAlign w:val="superscript"/>
        </w:rPr>
        <w:t>1</w:t>
      </w:r>
      <w:r w:rsidRPr="00C66B7F">
        <w:rPr>
          <w:rFonts w:ascii="Arial" w:hAnsi="Arial" w:cs="Arial"/>
          <w:sz w:val="24"/>
          <w:szCs w:val="24"/>
        </w:rPr>
        <w:t xml:space="preserve"> It has been suggested that</w:t>
      </w:r>
      <w:r>
        <w:rPr>
          <w:rFonts w:ascii="Arial" w:hAnsi="Arial" w:cs="Arial"/>
          <w:sz w:val="24"/>
          <w:szCs w:val="24"/>
        </w:rPr>
        <w:t xml:space="preserve"> the impact of COVID</w:t>
      </w:r>
      <w:r w:rsidRPr="00C66B7F">
        <w:rPr>
          <w:rFonts w:ascii="Arial" w:hAnsi="Arial" w:cs="Arial"/>
          <w:sz w:val="24"/>
          <w:szCs w:val="24"/>
        </w:rPr>
        <w:t>-19 on dialysis access is not yet known but it is predicted that the rates of definitive access have been severely affected. The COVID-19 pandemic has resulted in major disruption in the delivery of clinical services on a scale previously unseen</w:t>
      </w:r>
      <w:r w:rsidRPr="00C66B7F">
        <w:rPr>
          <w:rFonts w:ascii="Arial" w:hAnsi="Arial" w:cs="Arial"/>
          <w:sz w:val="24"/>
          <w:szCs w:val="24"/>
          <w:vertAlign w:val="superscript"/>
        </w:rPr>
        <w:t>.2</w:t>
      </w:r>
      <w:r w:rsidRPr="00C66B7F">
        <w:rPr>
          <w:rFonts w:ascii="Arial" w:hAnsi="Arial" w:cs="Arial"/>
          <w:sz w:val="24"/>
          <w:szCs w:val="24"/>
        </w:rPr>
        <w:t xml:space="preserve"> Many patients expressed a high level of anxiety regarding attending hospital appointments during this time whilst others felt safe to attend for dialysis and appreciated leaving their home.</w:t>
      </w:r>
      <w:r w:rsidRPr="00C66B7F">
        <w:rPr>
          <w:rFonts w:ascii="Arial" w:hAnsi="Arial" w:cs="Arial"/>
          <w:sz w:val="24"/>
          <w:szCs w:val="24"/>
          <w:vertAlign w:val="superscript"/>
        </w:rPr>
        <w:t>3</w:t>
      </w:r>
      <w:r w:rsidRPr="00C66B7F">
        <w:rPr>
          <w:rFonts w:ascii="Arial" w:hAnsi="Arial" w:cs="Arial"/>
          <w:sz w:val="24"/>
          <w:szCs w:val="24"/>
        </w:rPr>
        <w:t xml:space="preserve"> Changes to service delivery were inevitable, as attempts were made to reduce face-to-face consultations across both primary and secondary care, introducing telephone consultations and thus minimising patient visits to hospital.</w:t>
      </w:r>
      <w:r w:rsidRPr="00C66B7F">
        <w:rPr>
          <w:rFonts w:ascii="Arial" w:hAnsi="Arial" w:cs="Arial"/>
          <w:sz w:val="24"/>
          <w:szCs w:val="24"/>
          <w:vertAlign w:val="superscript"/>
        </w:rPr>
        <w:t>3,4</w:t>
      </w:r>
      <w:r w:rsidRPr="00C66B7F">
        <w:rPr>
          <w:rFonts w:ascii="Arial" w:hAnsi="Arial" w:cs="Arial"/>
          <w:sz w:val="24"/>
          <w:szCs w:val="24"/>
        </w:rPr>
        <w:t xml:space="preserve"> The downside of telephone health visits has since been documented suggesting that even the ongoing access monitoring of patients not even on dialysis is important to prevent complications such as the mega fistula.</w:t>
      </w:r>
      <w:r w:rsidRPr="00C66B7F">
        <w:rPr>
          <w:rFonts w:ascii="Arial" w:hAnsi="Arial" w:cs="Arial"/>
          <w:sz w:val="24"/>
          <w:szCs w:val="24"/>
          <w:vertAlign w:val="superscript"/>
        </w:rPr>
        <w:t>4</w:t>
      </w:r>
      <w:r w:rsidRPr="00C66B7F">
        <w:rPr>
          <w:rFonts w:ascii="Arial" w:hAnsi="Arial" w:cs="Arial"/>
          <w:sz w:val="24"/>
          <w:szCs w:val="24"/>
        </w:rPr>
        <w:t xml:space="preserve"> Current literature suggests there are many factors directly influencing dialysis access patency with vessel narrowing (stenosis) being one of them.</w:t>
      </w:r>
      <w:r w:rsidRPr="00C66B7F">
        <w:rPr>
          <w:rFonts w:ascii="Arial" w:hAnsi="Arial" w:cs="Arial"/>
          <w:sz w:val="24"/>
          <w:szCs w:val="24"/>
          <w:vertAlign w:val="superscript"/>
        </w:rPr>
        <w:t>5</w:t>
      </w:r>
      <w:r w:rsidRPr="00C66B7F">
        <w:rPr>
          <w:rFonts w:ascii="Arial" w:hAnsi="Arial" w:cs="Arial"/>
          <w:sz w:val="24"/>
          <w:szCs w:val="24"/>
        </w:rPr>
        <w:t xml:space="preserve"> There are also different screening methods used to detect a haemodynamically significant AV stenosis and this study will focus on ultrasound surveillance detecting the stenosis and preventing thrombosis of the access.</w:t>
      </w:r>
      <w:r w:rsidRPr="00C66B7F">
        <w:rPr>
          <w:rFonts w:ascii="Arial" w:hAnsi="Arial" w:cs="Arial"/>
          <w:sz w:val="24"/>
          <w:szCs w:val="24"/>
          <w:vertAlign w:val="superscript"/>
        </w:rPr>
        <w:t>6,7</w:t>
      </w:r>
    </w:p>
    <w:p w14:paraId="7DD0E212" w14:textId="77777777" w:rsidR="00B459B2" w:rsidRPr="002A2716" w:rsidRDefault="00B459B2" w:rsidP="00B459B2">
      <w:pPr>
        <w:pStyle w:val="PlainText"/>
        <w:rPr>
          <w:rFonts w:ascii="Arial" w:hAnsi="Arial" w:cs="Arial"/>
          <w:szCs w:val="22"/>
        </w:rPr>
      </w:pPr>
    </w:p>
    <w:p w14:paraId="0FDAF6E4" w14:textId="448B328D" w:rsidR="00E76E51" w:rsidRPr="00B459B2" w:rsidRDefault="00B459B2" w:rsidP="00B459B2">
      <w:pPr>
        <w:pStyle w:val="PlainText"/>
        <w:spacing w:line="360" w:lineRule="auto"/>
        <w:rPr>
          <w:i/>
          <w:iCs/>
          <w:sz w:val="24"/>
          <w:szCs w:val="24"/>
        </w:rPr>
      </w:pPr>
      <w:r w:rsidRPr="002A2716">
        <w:rPr>
          <w:rFonts w:ascii="Arial" w:hAnsi="Arial" w:cs="Arial"/>
          <w:sz w:val="24"/>
          <w:szCs w:val="24"/>
        </w:rPr>
        <w:t xml:space="preserve">The outpatient ultrasound surveillance for this trust is depicted in figure 1. This service is managed by 3 renal access nurses and covers a catchment area and cohort of &gt;450 patients. Both routine and unscheduled care is provided, and the unscheduled care can be either self-referral, nephrologist referral or dialysis unit staff. </w:t>
      </w:r>
      <w:r w:rsidR="00A559E4" w:rsidRPr="002A2716">
        <w:rPr>
          <w:rFonts w:ascii="Arial" w:hAnsi="Arial" w:cs="Arial"/>
          <w:sz w:val="24"/>
          <w:szCs w:val="24"/>
        </w:rPr>
        <w:t>The surveillance service</w:t>
      </w:r>
      <w:r w:rsidR="00546C7A" w:rsidRPr="002A2716">
        <w:rPr>
          <w:rFonts w:ascii="Arial" w:hAnsi="Arial" w:cs="Arial"/>
          <w:sz w:val="24"/>
          <w:szCs w:val="24"/>
        </w:rPr>
        <w:t xml:space="preserve"> </w:t>
      </w:r>
      <w:r w:rsidR="00E76E51" w:rsidRPr="002A2716">
        <w:rPr>
          <w:rFonts w:ascii="Arial" w:hAnsi="Arial" w:cs="Arial"/>
          <w:sz w:val="24"/>
          <w:szCs w:val="24"/>
        </w:rPr>
        <w:t xml:space="preserve">at this trust was stopped for 12 months whilst </w:t>
      </w:r>
      <w:r w:rsidR="00A559E4" w:rsidRPr="002A2716">
        <w:rPr>
          <w:rFonts w:ascii="Arial" w:hAnsi="Arial" w:cs="Arial"/>
          <w:sz w:val="24"/>
          <w:szCs w:val="24"/>
        </w:rPr>
        <w:t xml:space="preserve">the </w:t>
      </w:r>
      <w:r w:rsidR="00E76E51" w:rsidRPr="002A2716">
        <w:rPr>
          <w:rFonts w:ascii="Arial" w:hAnsi="Arial" w:cs="Arial"/>
          <w:sz w:val="24"/>
          <w:szCs w:val="24"/>
        </w:rPr>
        <w:t>renal access nurses were re-deployed to the acute COVID-19 dialysis ward</w:t>
      </w:r>
      <w:r w:rsidR="00A559E4" w:rsidRPr="002A2716">
        <w:rPr>
          <w:rFonts w:ascii="Arial" w:hAnsi="Arial" w:cs="Arial"/>
          <w:sz w:val="24"/>
          <w:szCs w:val="24"/>
        </w:rPr>
        <w:t>, thus</w:t>
      </w:r>
      <w:r w:rsidR="00E76E51" w:rsidRPr="002A2716">
        <w:rPr>
          <w:rFonts w:ascii="Arial" w:hAnsi="Arial" w:cs="Arial"/>
          <w:sz w:val="24"/>
          <w:szCs w:val="24"/>
        </w:rPr>
        <w:t xml:space="preserve"> presenting an opportune </w:t>
      </w:r>
      <w:r w:rsidR="00E76E51" w:rsidRPr="00C66B7F">
        <w:rPr>
          <w:rFonts w:ascii="Arial" w:hAnsi="Arial" w:cs="Arial"/>
          <w:sz w:val="24"/>
          <w:szCs w:val="24"/>
        </w:rPr>
        <w:t>moment to provide data for a retrospective service evaluation.</w:t>
      </w:r>
    </w:p>
    <w:p w14:paraId="5E3E4285" w14:textId="6665F501" w:rsidR="00E76E51" w:rsidRPr="00384133" w:rsidRDefault="00E76E51" w:rsidP="00E76E51">
      <w:pPr>
        <w:spacing w:line="360" w:lineRule="auto"/>
        <w:rPr>
          <w:rFonts w:ascii="Arial" w:hAnsi="Arial" w:cs="Arial"/>
          <w:sz w:val="24"/>
          <w:szCs w:val="24"/>
        </w:rPr>
      </w:pPr>
      <w:r w:rsidRPr="00C66B7F">
        <w:rPr>
          <w:rFonts w:ascii="Arial" w:hAnsi="Arial" w:cs="Arial"/>
          <w:sz w:val="24"/>
          <w:szCs w:val="24"/>
        </w:rPr>
        <w:t>Routine surveillance of asymptomatic AVF/AVG’s is controversial with conflicting studies on its benefits.</w:t>
      </w:r>
      <w:r w:rsidRPr="00C66B7F">
        <w:rPr>
          <w:rFonts w:ascii="Arial" w:hAnsi="Arial" w:cs="Arial"/>
          <w:sz w:val="24"/>
          <w:szCs w:val="24"/>
          <w:vertAlign w:val="superscript"/>
        </w:rPr>
        <w:t>8</w:t>
      </w:r>
      <w:r w:rsidRPr="00755748">
        <w:rPr>
          <w:rFonts w:ascii="Arial" w:hAnsi="Arial" w:cs="Arial"/>
          <w:sz w:val="24"/>
          <w:szCs w:val="24"/>
        </w:rPr>
        <w:t xml:space="preserve"> </w:t>
      </w:r>
      <w:r w:rsidRPr="00C66B7F">
        <w:rPr>
          <w:rFonts w:ascii="Arial" w:hAnsi="Arial" w:cs="Arial"/>
          <w:sz w:val="24"/>
          <w:szCs w:val="24"/>
        </w:rPr>
        <w:t xml:space="preserve">Thrombosis causing AVF failure is usually proceeded by the </w:t>
      </w:r>
      <w:r w:rsidRPr="00C66B7F">
        <w:rPr>
          <w:rFonts w:ascii="Arial" w:hAnsi="Arial" w:cs="Arial"/>
          <w:sz w:val="24"/>
          <w:szCs w:val="24"/>
        </w:rPr>
        <w:lastRenderedPageBreak/>
        <w:t>development of an underlying stenosis.</w:t>
      </w:r>
      <w:r w:rsidRPr="00C66B7F">
        <w:rPr>
          <w:rFonts w:ascii="Arial" w:hAnsi="Arial" w:cs="Arial"/>
          <w:sz w:val="24"/>
          <w:szCs w:val="24"/>
          <w:vertAlign w:val="superscript"/>
        </w:rPr>
        <w:t>9</w:t>
      </w:r>
      <w:r w:rsidRPr="00C66B7F">
        <w:rPr>
          <w:rFonts w:ascii="Arial" w:hAnsi="Arial" w:cs="Arial"/>
          <w:sz w:val="24"/>
          <w:szCs w:val="24"/>
        </w:rPr>
        <w:t xml:space="preserve"> Evidence supports that the surveillance and </w:t>
      </w:r>
      <w:r w:rsidRPr="002A2716">
        <w:rPr>
          <w:rFonts w:ascii="Arial" w:hAnsi="Arial" w:cs="Arial"/>
          <w:sz w:val="24"/>
          <w:szCs w:val="24"/>
        </w:rPr>
        <w:t>monitoring findings help the radiological interventionists surmise where the site of stenosis might be and which stenosis are clinically relevant prior to angioplasty.</w:t>
      </w:r>
      <w:r w:rsidRPr="002A2716">
        <w:rPr>
          <w:rFonts w:ascii="Arial" w:hAnsi="Arial" w:cs="Arial"/>
          <w:sz w:val="24"/>
          <w:szCs w:val="24"/>
          <w:vertAlign w:val="superscript"/>
        </w:rPr>
        <w:t>9</w:t>
      </w:r>
      <w:r w:rsidRPr="002A2716">
        <w:rPr>
          <w:rFonts w:ascii="Arial" w:hAnsi="Arial" w:cs="Arial"/>
          <w:sz w:val="24"/>
          <w:szCs w:val="24"/>
        </w:rPr>
        <w:t xml:space="preserve">   </w:t>
      </w:r>
      <w:bookmarkStart w:id="1" w:name="_Hlk130554946"/>
      <w:r w:rsidR="00384133" w:rsidRPr="002A2716">
        <w:rPr>
          <w:rFonts w:ascii="Arial" w:hAnsi="Arial" w:cs="Arial"/>
          <w:sz w:val="24"/>
          <w:szCs w:val="24"/>
        </w:rPr>
        <w:t xml:space="preserve">During the 12 month period pre-COVID-19, 1,167 surveillance scans were performed at this trust with 365 proceeding to </w:t>
      </w:r>
      <w:r w:rsidR="00AD4D46" w:rsidRPr="002A2716">
        <w:rPr>
          <w:rFonts w:ascii="Arial" w:hAnsi="Arial" w:cs="Arial"/>
          <w:sz w:val="24"/>
          <w:szCs w:val="24"/>
        </w:rPr>
        <w:t xml:space="preserve">Plain Old Balloon Angioplasty. This represents a 1:3 ratio of </w:t>
      </w:r>
      <w:proofErr w:type="spellStart"/>
      <w:r w:rsidR="00AD4D46" w:rsidRPr="002A2716">
        <w:rPr>
          <w:rFonts w:ascii="Arial" w:hAnsi="Arial" w:cs="Arial"/>
          <w:sz w:val="24"/>
          <w:szCs w:val="24"/>
        </w:rPr>
        <w:t>Fistulogram</w:t>
      </w:r>
      <w:proofErr w:type="spellEnd"/>
      <w:r w:rsidR="00AD4D46" w:rsidRPr="002A2716">
        <w:rPr>
          <w:rFonts w:ascii="Arial" w:hAnsi="Arial" w:cs="Arial"/>
          <w:sz w:val="24"/>
          <w:szCs w:val="24"/>
        </w:rPr>
        <w:t xml:space="preserve"> to Scan with 33.1% of all access scans performed requiring radiological intervention</w:t>
      </w:r>
      <w:bookmarkEnd w:id="1"/>
      <w:r w:rsidR="00AD4D46" w:rsidRPr="002A2716">
        <w:rPr>
          <w:rFonts w:ascii="Arial" w:hAnsi="Arial" w:cs="Arial"/>
          <w:sz w:val="24"/>
          <w:szCs w:val="24"/>
        </w:rPr>
        <w:t xml:space="preserve"> to help maintain patency. </w:t>
      </w:r>
      <w:r w:rsidRPr="002A2716">
        <w:rPr>
          <w:rFonts w:ascii="Arial" w:hAnsi="Arial" w:cs="Arial"/>
          <w:sz w:val="24"/>
          <w:szCs w:val="24"/>
        </w:rPr>
        <w:t xml:space="preserve">Even though research into ultrasound surveillance and access patency has been dominated by the RCT, a systematic review of the Cochrane renal group trials discovered that there had been no RCT’s of duplex </w:t>
      </w:r>
      <w:r w:rsidRPr="00C66B7F">
        <w:rPr>
          <w:rFonts w:ascii="Arial" w:hAnsi="Arial" w:cs="Arial"/>
          <w:sz w:val="24"/>
          <w:szCs w:val="24"/>
        </w:rPr>
        <w:t>ultrasound scree</w:t>
      </w:r>
      <w:r>
        <w:rPr>
          <w:rFonts w:ascii="Arial" w:hAnsi="Arial" w:cs="Arial"/>
          <w:sz w:val="24"/>
          <w:szCs w:val="24"/>
        </w:rPr>
        <w:t>ning of AVF’s answering</w:t>
      </w:r>
      <w:r w:rsidRPr="00C66B7F">
        <w:rPr>
          <w:rFonts w:ascii="Arial" w:hAnsi="Arial" w:cs="Arial"/>
          <w:sz w:val="24"/>
          <w:szCs w:val="24"/>
        </w:rPr>
        <w:t xml:space="preserve"> the hypothesis of ‘there is no evidence to refute or support Doppler ultrasound screening’.</w:t>
      </w:r>
      <w:r w:rsidRPr="00C66B7F">
        <w:rPr>
          <w:rFonts w:ascii="Arial" w:hAnsi="Arial" w:cs="Arial"/>
          <w:sz w:val="24"/>
          <w:szCs w:val="24"/>
          <w:vertAlign w:val="superscript"/>
        </w:rPr>
        <w:t>10,11</w:t>
      </w:r>
    </w:p>
    <w:p w14:paraId="0022F5BF" w14:textId="77777777" w:rsidR="00546C7A" w:rsidRDefault="00E76E51" w:rsidP="00E76E51">
      <w:pPr>
        <w:spacing w:line="360" w:lineRule="auto"/>
        <w:rPr>
          <w:rFonts w:ascii="Arial" w:hAnsi="Arial" w:cs="Arial"/>
          <w:sz w:val="24"/>
          <w:szCs w:val="24"/>
        </w:rPr>
      </w:pPr>
      <w:r w:rsidRPr="00C66B7F">
        <w:rPr>
          <w:rFonts w:ascii="Arial" w:hAnsi="Arial" w:cs="Arial"/>
          <w:sz w:val="24"/>
          <w:szCs w:val="24"/>
        </w:rPr>
        <w:t>Clinical practice guidelines on vascular access for haemodialysis suggest that 80% of long term dialysis patients should receive dialysis treatment via a definitive access either AVF or AVG.</w:t>
      </w:r>
      <w:r w:rsidRPr="00C66B7F">
        <w:rPr>
          <w:rFonts w:ascii="Arial" w:hAnsi="Arial" w:cs="Arial"/>
          <w:sz w:val="24"/>
          <w:szCs w:val="24"/>
          <w:vertAlign w:val="superscript"/>
        </w:rPr>
        <w:t>12</w:t>
      </w:r>
      <w:r w:rsidRPr="00C66B7F">
        <w:rPr>
          <w:rFonts w:ascii="Arial" w:hAnsi="Arial" w:cs="Arial"/>
          <w:sz w:val="24"/>
          <w:szCs w:val="24"/>
        </w:rPr>
        <w:t xml:space="preserve">  Further guidelines recommend that all patients on long term haemodialysis should have their access monitored and maintained to minimise failure but this is not defi</w:t>
      </w:r>
      <w:r>
        <w:rPr>
          <w:rFonts w:ascii="Arial" w:hAnsi="Arial" w:cs="Arial"/>
          <w:sz w:val="24"/>
          <w:szCs w:val="24"/>
        </w:rPr>
        <w:t>n</w:t>
      </w:r>
      <w:r w:rsidRPr="00C66B7F">
        <w:rPr>
          <w:rFonts w:ascii="Arial" w:hAnsi="Arial" w:cs="Arial"/>
          <w:sz w:val="24"/>
          <w:szCs w:val="24"/>
        </w:rPr>
        <w:t>ed to a set standard leaving clinical governance meetings to create their own.</w:t>
      </w:r>
      <w:r w:rsidRPr="00C66B7F">
        <w:rPr>
          <w:rFonts w:ascii="Arial" w:hAnsi="Arial" w:cs="Arial"/>
          <w:sz w:val="24"/>
          <w:szCs w:val="24"/>
          <w:vertAlign w:val="superscript"/>
        </w:rPr>
        <w:t xml:space="preserve">12 </w:t>
      </w:r>
      <w:r w:rsidRPr="00C66B7F">
        <w:rPr>
          <w:rFonts w:ascii="Arial" w:hAnsi="Arial" w:cs="Arial"/>
          <w:sz w:val="24"/>
          <w:szCs w:val="24"/>
        </w:rPr>
        <w:t xml:space="preserve"> Dialysis patients experience a higher burden of treatment and lower health related quality of life compared to pre-dialysis patients.</w:t>
      </w:r>
      <w:r w:rsidRPr="00C66B7F">
        <w:rPr>
          <w:rFonts w:ascii="Arial" w:hAnsi="Arial" w:cs="Arial"/>
          <w:sz w:val="24"/>
          <w:szCs w:val="24"/>
          <w:vertAlign w:val="superscript"/>
        </w:rPr>
        <w:t>13</w:t>
      </w:r>
      <w:r w:rsidRPr="00C66B7F">
        <w:rPr>
          <w:rFonts w:ascii="Arial" w:hAnsi="Arial" w:cs="Arial"/>
          <w:sz w:val="24"/>
          <w:szCs w:val="24"/>
        </w:rPr>
        <w:t xml:space="preserve"> It has been suggested that treatment burden should be considered in Chronic kidney disease management and factors that increase it should be considered when designing healthcare interventions directed at CKD patients.</w:t>
      </w:r>
      <w:r w:rsidRPr="00C66B7F">
        <w:rPr>
          <w:rFonts w:ascii="Arial" w:hAnsi="Arial" w:cs="Arial"/>
          <w:sz w:val="24"/>
          <w:szCs w:val="24"/>
          <w:vertAlign w:val="superscript"/>
        </w:rPr>
        <w:t>13</w:t>
      </w:r>
      <w:r w:rsidRPr="00C66B7F">
        <w:rPr>
          <w:rFonts w:ascii="Arial" w:hAnsi="Arial" w:cs="Arial"/>
          <w:sz w:val="24"/>
          <w:szCs w:val="24"/>
        </w:rPr>
        <w:t xml:space="preserve"> The pandemic could be viewed as a catalyst for change for vascular access programmes, little information is available about the cost of access surveillance programmes, the patient’s perspectives or their quality of life raising the concern of a failing interest in access in general.</w:t>
      </w:r>
      <w:r w:rsidRPr="00C66B7F">
        <w:rPr>
          <w:rFonts w:ascii="Arial" w:hAnsi="Arial" w:cs="Arial"/>
          <w:sz w:val="24"/>
          <w:szCs w:val="24"/>
          <w:vertAlign w:val="superscript"/>
        </w:rPr>
        <w:t>1,6</w:t>
      </w:r>
      <w:r w:rsidRPr="00C66B7F">
        <w:rPr>
          <w:rFonts w:ascii="Arial" w:hAnsi="Arial" w:cs="Arial"/>
          <w:sz w:val="24"/>
          <w:szCs w:val="24"/>
        </w:rPr>
        <w:t xml:space="preserve"> The aim of this study was to evaluate and measure the impact of the outpatient service being stopped so that an appropriate level of surveillance can be implemented without impacting on the patients’ quality of life</w:t>
      </w:r>
      <w:r>
        <w:rPr>
          <w:rFonts w:ascii="Arial" w:hAnsi="Arial" w:cs="Arial"/>
          <w:sz w:val="24"/>
          <w:szCs w:val="24"/>
        </w:rPr>
        <w:t xml:space="preserve"> or jeopardising access patency</w:t>
      </w:r>
      <w:r w:rsidRPr="00C66B7F">
        <w:rPr>
          <w:rFonts w:ascii="Arial" w:hAnsi="Arial" w:cs="Arial"/>
          <w:sz w:val="24"/>
          <w:szCs w:val="24"/>
        </w:rPr>
        <w:t xml:space="preserve">. The monthly event rate of AVF/AVG thrombosis and the number of AVF’s/AVG’s being used each month over the 24month period will hopefully </w:t>
      </w:r>
      <w:r w:rsidR="00546C7A">
        <w:rPr>
          <w:rFonts w:ascii="Arial" w:hAnsi="Arial" w:cs="Arial"/>
          <w:sz w:val="24"/>
          <w:szCs w:val="24"/>
        </w:rPr>
        <w:t xml:space="preserve">present </w:t>
      </w:r>
      <w:r w:rsidRPr="00C66B7F">
        <w:rPr>
          <w:rFonts w:ascii="Arial" w:hAnsi="Arial" w:cs="Arial"/>
          <w:sz w:val="24"/>
          <w:szCs w:val="24"/>
        </w:rPr>
        <w:t xml:space="preserve">the appropriate data to help set a standard. </w:t>
      </w:r>
    </w:p>
    <w:p w14:paraId="158AE347" w14:textId="22EAD139" w:rsidR="00E76E51" w:rsidRDefault="00546C7A" w:rsidP="00E76E51">
      <w:pPr>
        <w:spacing w:line="360" w:lineRule="auto"/>
        <w:rPr>
          <w:rFonts w:ascii="Arial" w:hAnsi="Arial" w:cs="Arial"/>
          <w:sz w:val="24"/>
          <w:szCs w:val="24"/>
        </w:rPr>
      </w:pPr>
      <w:r>
        <w:rPr>
          <w:noProof/>
        </w:rPr>
        <w:lastRenderedPageBreak/>
        <w:drawing>
          <wp:inline distT="0" distB="0" distL="0" distR="0" wp14:anchorId="138224E0" wp14:editId="7B0EBD3C">
            <wp:extent cx="5731510" cy="311658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116580"/>
                    </a:xfrm>
                    <a:prstGeom prst="rect">
                      <a:avLst/>
                    </a:prstGeom>
                    <a:noFill/>
                    <a:ln>
                      <a:noFill/>
                    </a:ln>
                  </pic:spPr>
                </pic:pic>
              </a:graphicData>
            </a:graphic>
          </wp:inline>
        </w:drawing>
      </w:r>
    </w:p>
    <w:p w14:paraId="256930CE" w14:textId="55169566" w:rsidR="00546C7A" w:rsidRPr="002A2716" w:rsidRDefault="00546C7A" w:rsidP="00E76E51">
      <w:pPr>
        <w:spacing w:line="360" w:lineRule="auto"/>
        <w:rPr>
          <w:rFonts w:ascii="Arial" w:hAnsi="Arial" w:cs="Arial"/>
          <w:sz w:val="24"/>
          <w:szCs w:val="24"/>
        </w:rPr>
      </w:pPr>
      <w:r w:rsidRPr="002A2716">
        <w:rPr>
          <w:rFonts w:ascii="Arial" w:hAnsi="Arial" w:cs="Arial"/>
          <w:sz w:val="24"/>
          <w:szCs w:val="24"/>
        </w:rPr>
        <w:t>Figure 1: Outpatient ultrasound surveillance service for dialysis access.</w:t>
      </w:r>
    </w:p>
    <w:p w14:paraId="40EA4F3D" w14:textId="77777777" w:rsidR="00546C7A" w:rsidRPr="00546C7A" w:rsidRDefault="00546C7A" w:rsidP="00E76E51">
      <w:pPr>
        <w:spacing w:line="360" w:lineRule="auto"/>
        <w:rPr>
          <w:rFonts w:ascii="Arial" w:hAnsi="Arial" w:cs="Arial"/>
          <w:color w:val="FF0000"/>
          <w:sz w:val="24"/>
          <w:szCs w:val="24"/>
        </w:rPr>
      </w:pPr>
    </w:p>
    <w:p w14:paraId="0C3DD10B" w14:textId="77777777" w:rsidR="00E76E51" w:rsidRPr="00C66B7F" w:rsidRDefault="00E76E51" w:rsidP="00E76E51">
      <w:pPr>
        <w:spacing w:line="360" w:lineRule="auto"/>
        <w:rPr>
          <w:rFonts w:ascii="Arial" w:hAnsi="Arial" w:cs="Arial"/>
          <w:sz w:val="24"/>
          <w:szCs w:val="24"/>
        </w:rPr>
      </w:pPr>
    </w:p>
    <w:p w14:paraId="3A8959F4" w14:textId="77777777" w:rsidR="00E76E51" w:rsidRPr="00C66B7F" w:rsidRDefault="00E76E51" w:rsidP="00E76E51">
      <w:pPr>
        <w:spacing w:line="360" w:lineRule="auto"/>
        <w:rPr>
          <w:rFonts w:ascii="Arial" w:hAnsi="Arial" w:cs="Arial"/>
          <w:b/>
          <w:sz w:val="24"/>
          <w:szCs w:val="24"/>
        </w:rPr>
      </w:pPr>
      <w:r w:rsidRPr="00C66B7F">
        <w:rPr>
          <w:rFonts w:ascii="Arial" w:hAnsi="Arial" w:cs="Arial"/>
          <w:b/>
          <w:sz w:val="24"/>
          <w:szCs w:val="24"/>
        </w:rPr>
        <w:t>Methods:</w:t>
      </w:r>
    </w:p>
    <w:p w14:paraId="424CC001" w14:textId="77777777" w:rsidR="00E76E51" w:rsidRDefault="00E76E51" w:rsidP="00E76E51">
      <w:pPr>
        <w:spacing w:line="360" w:lineRule="auto"/>
        <w:rPr>
          <w:rFonts w:ascii="Arial" w:hAnsi="Arial" w:cs="Arial"/>
          <w:sz w:val="24"/>
          <w:szCs w:val="24"/>
        </w:rPr>
      </w:pPr>
      <w:r w:rsidRPr="00C66B7F">
        <w:rPr>
          <w:rFonts w:ascii="Arial" w:hAnsi="Arial" w:cs="Arial"/>
          <w:sz w:val="24"/>
          <w:szCs w:val="24"/>
        </w:rPr>
        <w:t xml:space="preserve"> This is study is a service evaluation using secondary data from the hospital data base Renal Proton (Clinical computing, UK) and the Clinical radiology information system (CRIS). Source data was collected from these hospital clinical core IT systems that are used in routine patient care. All 6 in-centre hospital satellite units covering a wide catchment area and involved in providing haemodialysis for the Trust were included. The framework ‘PICOT’ was used to formulate the study question and a ROBINS-I tool helped to formulate and thus alleviate a list of potential confounding bias.</w:t>
      </w:r>
    </w:p>
    <w:p w14:paraId="156EC274" w14:textId="77777777" w:rsidR="00E76E51" w:rsidRDefault="00E76E51" w:rsidP="00E76E51">
      <w:pPr>
        <w:spacing w:line="360" w:lineRule="auto"/>
        <w:rPr>
          <w:rFonts w:ascii="Arial" w:hAnsi="Arial" w:cs="Arial"/>
          <w:sz w:val="24"/>
          <w:szCs w:val="24"/>
        </w:rPr>
      </w:pPr>
    </w:p>
    <w:p w14:paraId="552698AF" w14:textId="2B6EFF5A" w:rsidR="00E76E51" w:rsidRPr="00C66B7F" w:rsidRDefault="00A94ED6" w:rsidP="00E76E51">
      <w:pPr>
        <w:spacing w:line="360" w:lineRule="auto"/>
        <w:rPr>
          <w:rFonts w:ascii="Arial" w:hAnsi="Arial" w:cs="Arial"/>
          <w:sz w:val="24"/>
          <w:szCs w:val="24"/>
        </w:rPr>
      </w:pPr>
      <w:r w:rsidRPr="002A2716">
        <w:rPr>
          <w:rFonts w:ascii="Arial" w:hAnsi="Arial" w:cs="Arial"/>
          <w:sz w:val="24"/>
          <w:szCs w:val="24"/>
        </w:rPr>
        <w:t xml:space="preserve">AVF/AVGs are routinely needled by trained dialysis staff in all units. </w:t>
      </w:r>
      <w:r w:rsidR="00E76E51" w:rsidRPr="002A2716">
        <w:rPr>
          <w:rFonts w:ascii="Arial" w:hAnsi="Arial" w:cs="Arial"/>
          <w:sz w:val="24"/>
          <w:szCs w:val="24"/>
        </w:rPr>
        <w:t xml:space="preserve">All satellite units would be using both clinical examination and ultrasound surveillance from April 2019-March 2020 to assess access patency and clinical examination only from April </w:t>
      </w:r>
      <w:r w:rsidR="00E76E51" w:rsidRPr="00C66B7F">
        <w:rPr>
          <w:rFonts w:ascii="Arial" w:hAnsi="Arial" w:cs="Arial"/>
          <w:sz w:val="24"/>
          <w:szCs w:val="24"/>
        </w:rPr>
        <w:t>2020- March 2021.</w:t>
      </w:r>
      <w:r>
        <w:rPr>
          <w:rFonts w:ascii="Arial" w:hAnsi="Arial" w:cs="Arial"/>
          <w:sz w:val="24"/>
          <w:szCs w:val="24"/>
        </w:rPr>
        <w:t xml:space="preserve"> </w:t>
      </w:r>
      <w:r w:rsidR="00E76E51" w:rsidRPr="00C66B7F">
        <w:rPr>
          <w:rFonts w:ascii="Arial" w:hAnsi="Arial" w:cs="Arial"/>
          <w:sz w:val="24"/>
          <w:szCs w:val="24"/>
        </w:rPr>
        <w:t>The method of quasi-experimental design has been chosen to evaluate the effectiveness of surveillance and is deemed an appropriate methodology as random assignment has not been possible in th</w:t>
      </w:r>
      <w:r w:rsidR="00E76E51">
        <w:rPr>
          <w:rFonts w:ascii="Arial" w:hAnsi="Arial" w:cs="Arial"/>
          <w:sz w:val="24"/>
          <w:szCs w:val="24"/>
        </w:rPr>
        <w:t>is setting</w:t>
      </w:r>
      <w:r w:rsidR="00E76E51" w:rsidRPr="00C66B7F">
        <w:rPr>
          <w:rFonts w:ascii="Arial" w:hAnsi="Arial" w:cs="Arial"/>
          <w:sz w:val="24"/>
          <w:szCs w:val="24"/>
        </w:rPr>
        <w:t>.</w:t>
      </w:r>
      <w:r w:rsidR="00E76E51">
        <w:rPr>
          <w:rFonts w:ascii="Arial" w:hAnsi="Arial" w:cs="Arial"/>
          <w:sz w:val="24"/>
          <w:szCs w:val="24"/>
          <w:vertAlign w:val="superscript"/>
        </w:rPr>
        <w:t>14</w:t>
      </w:r>
      <w:r w:rsidR="00E76E51" w:rsidRPr="00C66B7F">
        <w:rPr>
          <w:rFonts w:ascii="Arial" w:hAnsi="Arial" w:cs="Arial"/>
          <w:sz w:val="24"/>
          <w:szCs w:val="24"/>
        </w:rPr>
        <w:t xml:space="preserve"> </w:t>
      </w:r>
      <w:r w:rsidR="00E76E51" w:rsidRPr="00C66B7F">
        <w:rPr>
          <w:rFonts w:ascii="Arial" w:hAnsi="Arial" w:cs="Arial"/>
          <w:sz w:val="24"/>
          <w:szCs w:val="24"/>
        </w:rPr>
        <w:lastRenderedPageBreak/>
        <w:t>However, quasi experimental research does not eliminate confounding variables such COVID-19 and claims have been made regarding its pro-thrombotic tendencies, particularly those severely affected but data on fistula loss secondary to infection is not yet clear. The issue that Covid-19 is associated with a hypercoagulable state and thus an increased risk of access thrombosis has been raised.</w:t>
      </w:r>
      <w:r w:rsidR="00E76E51">
        <w:rPr>
          <w:rFonts w:ascii="Arial" w:hAnsi="Arial" w:cs="Arial"/>
          <w:sz w:val="24"/>
          <w:szCs w:val="24"/>
          <w:vertAlign w:val="superscript"/>
        </w:rPr>
        <w:t>15</w:t>
      </w:r>
      <w:r w:rsidR="00E76E51">
        <w:rPr>
          <w:rFonts w:ascii="Arial" w:hAnsi="Arial" w:cs="Arial"/>
          <w:sz w:val="24"/>
          <w:szCs w:val="24"/>
        </w:rPr>
        <w:t>This confounding issue</w:t>
      </w:r>
      <w:r w:rsidR="00E76E51" w:rsidRPr="00C66B7F">
        <w:rPr>
          <w:rFonts w:ascii="Arial" w:hAnsi="Arial" w:cs="Arial"/>
          <w:sz w:val="24"/>
          <w:szCs w:val="24"/>
        </w:rPr>
        <w:t xml:space="preserve"> can</w:t>
      </w:r>
      <w:r w:rsidR="00E76E51">
        <w:rPr>
          <w:rFonts w:ascii="Arial" w:hAnsi="Arial" w:cs="Arial"/>
          <w:sz w:val="24"/>
          <w:szCs w:val="24"/>
        </w:rPr>
        <w:t xml:space="preserve"> be eliminated by checking</w:t>
      </w:r>
      <w:r w:rsidR="00E76E51" w:rsidRPr="00C66B7F">
        <w:rPr>
          <w:rFonts w:ascii="Arial" w:hAnsi="Arial" w:cs="Arial"/>
          <w:sz w:val="24"/>
          <w:szCs w:val="24"/>
        </w:rPr>
        <w:t xml:space="preserve"> the Covid-19 status on renal proton at time of access thrombosis. It has been discussed that severe COVID-19 has been associated with an increased risk of arterial and venous thrombus.</w:t>
      </w:r>
      <w:r w:rsidR="00E76E51">
        <w:rPr>
          <w:rFonts w:ascii="Arial" w:hAnsi="Arial" w:cs="Arial"/>
          <w:sz w:val="24"/>
          <w:szCs w:val="24"/>
          <w:vertAlign w:val="superscript"/>
        </w:rPr>
        <w:t>16</w:t>
      </w:r>
      <w:r w:rsidR="00E76E51" w:rsidRPr="00C66B7F">
        <w:rPr>
          <w:rFonts w:ascii="Arial" w:hAnsi="Arial" w:cs="Arial"/>
          <w:sz w:val="24"/>
          <w:szCs w:val="24"/>
        </w:rPr>
        <w:t xml:space="preserve"> Data collected during the no surveillance period presented only one thrombosed access during </w:t>
      </w:r>
      <w:r w:rsidR="00E76E51">
        <w:rPr>
          <w:rFonts w:ascii="Arial" w:hAnsi="Arial" w:cs="Arial"/>
          <w:sz w:val="24"/>
          <w:szCs w:val="24"/>
        </w:rPr>
        <w:t xml:space="preserve">a </w:t>
      </w:r>
      <w:r w:rsidR="00E76E51" w:rsidRPr="00C66B7F">
        <w:rPr>
          <w:rFonts w:ascii="Arial" w:hAnsi="Arial" w:cs="Arial"/>
          <w:sz w:val="24"/>
          <w:szCs w:val="24"/>
        </w:rPr>
        <w:t xml:space="preserve">severe case of COVID-19. </w:t>
      </w:r>
    </w:p>
    <w:p w14:paraId="44BC426C" w14:textId="025DD67B" w:rsidR="00E76E51" w:rsidRDefault="00E76E51" w:rsidP="00E76E51">
      <w:pPr>
        <w:spacing w:after="0" w:line="360" w:lineRule="auto"/>
        <w:textAlignment w:val="baseline"/>
        <w:rPr>
          <w:rFonts w:ascii="Arial" w:hAnsi="Arial" w:cs="Arial"/>
          <w:sz w:val="24"/>
          <w:szCs w:val="24"/>
          <w:vertAlign w:val="superscript"/>
        </w:rPr>
      </w:pPr>
      <w:r w:rsidRPr="00C66B7F">
        <w:rPr>
          <w:rFonts w:ascii="Arial" w:hAnsi="Arial" w:cs="Arial"/>
          <w:sz w:val="24"/>
          <w:szCs w:val="24"/>
        </w:rPr>
        <w:t xml:space="preserve"> Data of the monthly access patency for all in-centre patients receiving haemodialysis on </w:t>
      </w:r>
      <w:proofErr w:type="gramStart"/>
      <w:r w:rsidRPr="00C66B7F">
        <w:rPr>
          <w:rFonts w:ascii="Arial" w:hAnsi="Arial" w:cs="Arial"/>
          <w:sz w:val="24"/>
          <w:szCs w:val="24"/>
        </w:rPr>
        <w:t>either an</w:t>
      </w:r>
      <w:proofErr w:type="gramEnd"/>
      <w:r w:rsidRPr="00C66B7F">
        <w:rPr>
          <w:rFonts w:ascii="Arial" w:hAnsi="Arial" w:cs="Arial"/>
          <w:sz w:val="24"/>
          <w:szCs w:val="24"/>
        </w:rPr>
        <w:t xml:space="preserve"> AVF/AVG was retrospectively collected from the two-year period. The number of thrombosed </w:t>
      </w:r>
      <w:proofErr w:type="gramStart"/>
      <w:r w:rsidRPr="00C66B7F">
        <w:rPr>
          <w:rFonts w:ascii="Arial" w:hAnsi="Arial" w:cs="Arial"/>
          <w:sz w:val="24"/>
          <w:szCs w:val="24"/>
        </w:rPr>
        <w:t>access</w:t>
      </w:r>
      <w:proofErr w:type="gramEnd"/>
      <w:r w:rsidRPr="00C66B7F">
        <w:rPr>
          <w:rFonts w:ascii="Arial" w:hAnsi="Arial" w:cs="Arial"/>
          <w:sz w:val="24"/>
          <w:szCs w:val="24"/>
        </w:rPr>
        <w:t xml:space="preserve"> was calculated from both CRIS and PROTON for the time series of surveillance and for the ti</w:t>
      </w:r>
      <w:r>
        <w:rPr>
          <w:rFonts w:ascii="Arial" w:hAnsi="Arial" w:cs="Arial"/>
          <w:sz w:val="24"/>
          <w:szCs w:val="24"/>
        </w:rPr>
        <w:t xml:space="preserve">me series of non-surveillance. Each month over a 2year period, an </w:t>
      </w:r>
      <w:r w:rsidRPr="00C66B7F">
        <w:rPr>
          <w:rFonts w:ascii="Arial" w:hAnsi="Arial" w:cs="Arial"/>
          <w:sz w:val="24"/>
          <w:szCs w:val="24"/>
        </w:rPr>
        <w:t>average of 298 patients’ age, access type, patency and COVID status were measured as variables. Thrombosis rates for the 12 months prior to COVID-19 and then during the first 12 months of the pandemic were analysed and reported as a percentage rate</w:t>
      </w:r>
      <w:r w:rsidR="0049559C">
        <w:rPr>
          <w:rFonts w:ascii="Arial" w:hAnsi="Arial" w:cs="Arial"/>
          <w:sz w:val="24"/>
          <w:szCs w:val="24"/>
        </w:rPr>
        <w:t xml:space="preserve"> (Table 1)</w:t>
      </w:r>
      <w:r w:rsidRPr="00C66B7F">
        <w:rPr>
          <w:rFonts w:ascii="Arial" w:hAnsi="Arial" w:cs="Arial"/>
          <w:sz w:val="24"/>
          <w:szCs w:val="24"/>
        </w:rPr>
        <w:t>. Statistical analysis was performed using IBM SPSS statistics version 22.0 to ass</w:t>
      </w:r>
      <w:r>
        <w:rPr>
          <w:rFonts w:ascii="Arial" w:hAnsi="Arial" w:cs="Arial"/>
          <w:sz w:val="24"/>
          <w:szCs w:val="24"/>
        </w:rPr>
        <w:t>ess both mean and standard deviation</w:t>
      </w:r>
      <w:r w:rsidRPr="00C66B7F">
        <w:rPr>
          <w:rFonts w:ascii="Arial" w:hAnsi="Arial" w:cs="Arial"/>
          <w:sz w:val="24"/>
          <w:szCs w:val="24"/>
        </w:rPr>
        <w:t>.</w:t>
      </w:r>
      <w:r>
        <w:rPr>
          <w:rFonts w:ascii="Arial" w:hAnsi="Arial" w:cs="Arial"/>
          <w:sz w:val="24"/>
          <w:szCs w:val="24"/>
        </w:rPr>
        <w:t xml:space="preserve"> </w:t>
      </w:r>
      <w:r w:rsidRPr="00C66B7F">
        <w:rPr>
          <w:rFonts w:ascii="Arial" w:hAnsi="Arial" w:cs="Arial"/>
          <w:sz w:val="24"/>
          <w:szCs w:val="24"/>
        </w:rPr>
        <w:t xml:space="preserve"> A </w:t>
      </w:r>
      <w:r w:rsidRPr="00C66B7F">
        <w:rPr>
          <w:rFonts w:ascii="Arial" w:hAnsi="Arial" w:cs="Arial"/>
          <w:i/>
          <w:sz w:val="24"/>
          <w:szCs w:val="24"/>
        </w:rPr>
        <w:t>p-</w:t>
      </w:r>
      <w:r w:rsidRPr="00C66B7F">
        <w:rPr>
          <w:rFonts w:ascii="Arial" w:hAnsi="Arial" w:cs="Arial"/>
          <w:sz w:val="24"/>
          <w:szCs w:val="24"/>
        </w:rPr>
        <w:t>value of &lt;0.05 was deemed significant and presenting the confidence interval of 95% will help to interpret the results.</w:t>
      </w:r>
      <w:r>
        <w:rPr>
          <w:rFonts w:ascii="Arial" w:hAnsi="Arial" w:cs="Arial"/>
          <w:sz w:val="24"/>
          <w:szCs w:val="24"/>
          <w:vertAlign w:val="superscript"/>
        </w:rPr>
        <w:t>17</w:t>
      </w:r>
    </w:p>
    <w:p w14:paraId="054D02B4" w14:textId="77777777" w:rsidR="00E76E51" w:rsidRPr="00AB280C" w:rsidRDefault="00E76E51" w:rsidP="00E76E51">
      <w:pPr>
        <w:spacing w:after="0" w:line="360" w:lineRule="auto"/>
        <w:textAlignment w:val="baseline"/>
        <w:rPr>
          <w:rFonts w:ascii="Arial" w:hAnsi="Arial" w:cs="Arial"/>
          <w:sz w:val="24"/>
          <w:szCs w:val="24"/>
        </w:rPr>
      </w:pPr>
    </w:p>
    <w:p w14:paraId="766D6238" w14:textId="77777777" w:rsidR="00E76E51" w:rsidRPr="00C66B7F" w:rsidRDefault="00E76E51" w:rsidP="00E76E51">
      <w:pPr>
        <w:spacing w:line="360" w:lineRule="auto"/>
        <w:rPr>
          <w:rFonts w:ascii="Arial" w:hAnsi="Arial" w:cs="Arial"/>
          <w:sz w:val="24"/>
          <w:szCs w:val="24"/>
        </w:rPr>
      </w:pPr>
    </w:p>
    <w:p w14:paraId="5D5DEC56" w14:textId="77777777" w:rsidR="00E76E51" w:rsidRDefault="00E76E51" w:rsidP="00E76E51">
      <w:pPr>
        <w:spacing w:line="360" w:lineRule="auto"/>
        <w:rPr>
          <w:rFonts w:ascii="Arial" w:hAnsi="Arial" w:cs="Arial"/>
          <w:b/>
          <w:sz w:val="24"/>
          <w:szCs w:val="24"/>
        </w:rPr>
      </w:pPr>
      <w:r w:rsidRPr="00C66B7F">
        <w:rPr>
          <w:rFonts w:ascii="Arial" w:hAnsi="Arial" w:cs="Arial"/>
          <w:b/>
          <w:sz w:val="24"/>
          <w:szCs w:val="24"/>
        </w:rPr>
        <w:t>Inclusion criteria:</w:t>
      </w:r>
    </w:p>
    <w:p w14:paraId="774091F4" w14:textId="77777777" w:rsidR="00E76E51" w:rsidRPr="00C66B7F" w:rsidRDefault="00E76E51" w:rsidP="00E76E51">
      <w:pPr>
        <w:spacing w:line="360" w:lineRule="auto"/>
        <w:rPr>
          <w:rFonts w:ascii="Arial" w:hAnsi="Arial" w:cs="Arial"/>
          <w:sz w:val="24"/>
          <w:szCs w:val="24"/>
        </w:rPr>
      </w:pPr>
      <w:r w:rsidRPr="00C66B7F">
        <w:rPr>
          <w:rFonts w:ascii="Arial" w:hAnsi="Arial" w:cs="Arial"/>
          <w:sz w:val="24"/>
          <w:szCs w:val="24"/>
        </w:rPr>
        <w:t>Any in centre patient having haemodialysis with an AVF/AVG on the last day of each month.</w:t>
      </w:r>
    </w:p>
    <w:p w14:paraId="032C415E" w14:textId="77777777" w:rsidR="00E76E51" w:rsidRPr="00C66B7F" w:rsidRDefault="00E76E51" w:rsidP="00E76E51">
      <w:pPr>
        <w:spacing w:line="360" w:lineRule="auto"/>
        <w:rPr>
          <w:rFonts w:ascii="Arial" w:hAnsi="Arial" w:cs="Arial"/>
          <w:sz w:val="24"/>
          <w:szCs w:val="24"/>
        </w:rPr>
      </w:pPr>
      <w:r w:rsidRPr="00C66B7F">
        <w:rPr>
          <w:rFonts w:ascii="Arial" w:hAnsi="Arial" w:cs="Arial"/>
          <w:b/>
          <w:sz w:val="24"/>
          <w:szCs w:val="24"/>
        </w:rPr>
        <w:t>Exclusion criteria:</w:t>
      </w:r>
    </w:p>
    <w:p w14:paraId="53D47336" w14:textId="77777777" w:rsidR="00E76E51" w:rsidRDefault="00E76E51" w:rsidP="00E76E51">
      <w:pPr>
        <w:spacing w:line="360" w:lineRule="auto"/>
        <w:rPr>
          <w:rFonts w:ascii="Arial" w:hAnsi="Arial" w:cs="Arial"/>
          <w:sz w:val="24"/>
          <w:szCs w:val="24"/>
        </w:rPr>
      </w:pPr>
      <w:r w:rsidRPr="00C66B7F">
        <w:rPr>
          <w:rFonts w:ascii="Arial" w:hAnsi="Arial" w:cs="Arial"/>
          <w:sz w:val="24"/>
          <w:szCs w:val="24"/>
        </w:rPr>
        <w:t>Transplant patient with AVF/AVG, Pre-dialysis patient with AVF/AVG, Home-dialysis patient with AVG/AVG.</w:t>
      </w:r>
    </w:p>
    <w:p w14:paraId="1854C413" w14:textId="77777777" w:rsidR="00E76E51" w:rsidRPr="00C66B7F" w:rsidRDefault="00E76E51" w:rsidP="00E76E51">
      <w:pPr>
        <w:spacing w:line="360" w:lineRule="auto"/>
        <w:rPr>
          <w:rFonts w:ascii="Arial" w:hAnsi="Arial" w:cs="Arial"/>
          <w:sz w:val="24"/>
          <w:szCs w:val="24"/>
        </w:rPr>
      </w:pPr>
    </w:p>
    <w:p w14:paraId="06F2D523" w14:textId="77777777" w:rsidR="00E76E51" w:rsidRDefault="00E76E51" w:rsidP="00E76E51">
      <w:pPr>
        <w:tabs>
          <w:tab w:val="left" w:pos="1608"/>
        </w:tabs>
        <w:spacing w:line="360" w:lineRule="auto"/>
        <w:rPr>
          <w:rFonts w:ascii="Arial" w:hAnsi="Arial" w:cs="Arial"/>
          <w:b/>
          <w:sz w:val="24"/>
          <w:szCs w:val="24"/>
        </w:rPr>
      </w:pPr>
      <w:r w:rsidRPr="00C66B7F">
        <w:rPr>
          <w:rFonts w:ascii="Arial" w:hAnsi="Arial" w:cs="Arial"/>
          <w:sz w:val="24"/>
          <w:szCs w:val="24"/>
        </w:rPr>
        <w:t xml:space="preserve"> </w:t>
      </w:r>
      <w:r w:rsidRPr="00C66B7F">
        <w:rPr>
          <w:rFonts w:ascii="Arial" w:hAnsi="Arial" w:cs="Arial"/>
          <w:b/>
          <w:sz w:val="24"/>
          <w:szCs w:val="24"/>
        </w:rPr>
        <w:t>Statistical analysis:</w:t>
      </w:r>
    </w:p>
    <w:p w14:paraId="2CE75717" w14:textId="77777777" w:rsidR="00E76E51" w:rsidRDefault="00E76E51" w:rsidP="00E76E51">
      <w:pPr>
        <w:tabs>
          <w:tab w:val="left" w:pos="1608"/>
        </w:tabs>
        <w:spacing w:line="360" w:lineRule="auto"/>
        <w:rPr>
          <w:rFonts w:ascii="Arial" w:hAnsi="Arial" w:cs="Arial"/>
          <w:sz w:val="24"/>
          <w:szCs w:val="24"/>
        </w:rPr>
      </w:pPr>
      <w:r w:rsidRPr="00C66B7F">
        <w:rPr>
          <w:rFonts w:ascii="Arial" w:hAnsi="Arial" w:cs="Arial"/>
          <w:sz w:val="24"/>
          <w:szCs w:val="24"/>
        </w:rPr>
        <w:lastRenderedPageBreak/>
        <w:t>Both descriptive and inferential statistics were used to give different insights into the data as using both of them presents a more powerful tool for description and prediction.</w:t>
      </w:r>
      <w:r>
        <w:rPr>
          <w:rFonts w:ascii="Arial" w:hAnsi="Arial" w:cs="Arial"/>
          <w:sz w:val="24"/>
          <w:szCs w:val="24"/>
          <w:vertAlign w:val="superscript"/>
        </w:rPr>
        <w:t>18</w:t>
      </w:r>
      <w:r w:rsidRPr="00C66B7F">
        <w:rPr>
          <w:rFonts w:ascii="Arial" w:hAnsi="Arial" w:cs="Arial"/>
          <w:sz w:val="24"/>
          <w:szCs w:val="24"/>
        </w:rPr>
        <w:t xml:space="preserve"> Descriptive statistics will express the quantitative variables as a mean and the standard deviation which expresses the average distance from the mean. This will begin to answer the hypothesis by identifying trends and then inferential statistics in the form of an independent t-test shall</w:t>
      </w:r>
      <w:r>
        <w:rPr>
          <w:rFonts w:ascii="Arial" w:hAnsi="Arial" w:cs="Arial"/>
          <w:sz w:val="24"/>
          <w:szCs w:val="24"/>
        </w:rPr>
        <w:t xml:space="preserve"> determine whether equal variances can be assumed and if the </w:t>
      </w:r>
      <w:r w:rsidRPr="00C66B7F">
        <w:rPr>
          <w:rFonts w:ascii="Arial" w:hAnsi="Arial" w:cs="Arial"/>
          <w:i/>
          <w:sz w:val="24"/>
          <w:szCs w:val="24"/>
        </w:rPr>
        <w:t>p-</w:t>
      </w:r>
      <w:r w:rsidRPr="00C66B7F">
        <w:rPr>
          <w:rFonts w:ascii="Arial" w:hAnsi="Arial" w:cs="Arial"/>
          <w:sz w:val="24"/>
          <w:szCs w:val="24"/>
        </w:rPr>
        <w:t>value</w:t>
      </w:r>
      <w:r>
        <w:rPr>
          <w:rFonts w:ascii="Arial" w:hAnsi="Arial" w:cs="Arial"/>
          <w:sz w:val="24"/>
          <w:szCs w:val="24"/>
        </w:rPr>
        <w:t xml:space="preserve"> = &lt;0.05 equal variances will not be </w:t>
      </w:r>
      <w:proofErr w:type="gramStart"/>
      <w:r>
        <w:rPr>
          <w:rFonts w:ascii="Arial" w:hAnsi="Arial" w:cs="Arial"/>
          <w:sz w:val="24"/>
          <w:szCs w:val="24"/>
        </w:rPr>
        <w:t>assumed</w:t>
      </w:r>
      <w:proofErr w:type="gramEnd"/>
      <w:r>
        <w:rPr>
          <w:rFonts w:ascii="Arial" w:hAnsi="Arial" w:cs="Arial"/>
          <w:sz w:val="24"/>
          <w:szCs w:val="24"/>
        </w:rPr>
        <w:t xml:space="preserve"> and the two sided </w:t>
      </w:r>
      <w:r>
        <w:rPr>
          <w:rFonts w:ascii="Arial" w:hAnsi="Arial" w:cs="Arial"/>
          <w:i/>
          <w:sz w:val="24"/>
          <w:szCs w:val="24"/>
        </w:rPr>
        <w:t>p-</w:t>
      </w:r>
      <w:r>
        <w:rPr>
          <w:rFonts w:ascii="Arial" w:hAnsi="Arial" w:cs="Arial"/>
          <w:sz w:val="24"/>
          <w:szCs w:val="24"/>
        </w:rPr>
        <w:t>value deemed significant</w:t>
      </w:r>
      <w:r w:rsidRPr="00C66B7F">
        <w:rPr>
          <w:rFonts w:ascii="Arial" w:hAnsi="Arial" w:cs="Arial"/>
          <w:sz w:val="24"/>
          <w:szCs w:val="24"/>
        </w:rPr>
        <w:t>. The statistical analysis was performed using SPSS version 22.0 (SPSS IBM), due to the categorical nature of the data and the fa</w:t>
      </w:r>
      <w:r>
        <w:rPr>
          <w:rFonts w:ascii="Arial" w:hAnsi="Arial" w:cs="Arial"/>
          <w:sz w:val="24"/>
          <w:szCs w:val="24"/>
        </w:rPr>
        <w:t xml:space="preserve">ct that it </w:t>
      </w:r>
      <w:r w:rsidRPr="00C66B7F">
        <w:rPr>
          <w:rFonts w:ascii="Arial" w:hAnsi="Arial" w:cs="Arial"/>
          <w:sz w:val="24"/>
          <w:szCs w:val="24"/>
        </w:rPr>
        <w:t>was not continuous, non-parametric assumptions were assumed and the t-test performed.</w:t>
      </w:r>
    </w:p>
    <w:p w14:paraId="4204C9BF" w14:textId="77777777" w:rsidR="00E76E51" w:rsidRPr="00C66B7F" w:rsidRDefault="00E76E51" w:rsidP="00E76E51">
      <w:pPr>
        <w:tabs>
          <w:tab w:val="left" w:pos="1608"/>
        </w:tabs>
        <w:spacing w:line="360" w:lineRule="auto"/>
        <w:rPr>
          <w:rFonts w:ascii="Arial" w:hAnsi="Arial" w:cs="Arial"/>
          <w:noProof/>
          <w:sz w:val="24"/>
          <w:szCs w:val="24"/>
          <w:lang w:eastAsia="en-GB"/>
        </w:rPr>
      </w:pPr>
    </w:p>
    <w:p w14:paraId="4CBC8DA9" w14:textId="77777777" w:rsidR="00E76E51" w:rsidRPr="00C66B7F" w:rsidRDefault="00E76E51" w:rsidP="00E76E51">
      <w:pPr>
        <w:tabs>
          <w:tab w:val="left" w:pos="1608"/>
        </w:tabs>
        <w:spacing w:line="360" w:lineRule="auto"/>
        <w:rPr>
          <w:rFonts w:ascii="Arial" w:hAnsi="Arial" w:cs="Arial"/>
          <w:noProof/>
          <w:sz w:val="24"/>
          <w:szCs w:val="24"/>
          <w:lang w:eastAsia="en-GB"/>
        </w:rPr>
      </w:pPr>
    </w:p>
    <w:p w14:paraId="78936E19" w14:textId="77777777" w:rsidR="00E76E51" w:rsidRPr="00C66B7F" w:rsidRDefault="00E76E51" w:rsidP="00E76E51">
      <w:pPr>
        <w:spacing w:line="360" w:lineRule="auto"/>
        <w:rPr>
          <w:rFonts w:ascii="Arial" w:hAnsi="Arial" w:cs="Arial"/>
          <w:sz w:val="24"/>
          <w:szCs w:val="24"/>
        </w:rPr>
      </w:pPr>
      <w:r w:rsidRPr="00C66B7F">
        <w:rPr>
          <w:rFonts w:ascii="Arial" w:hAnsi="Arial" w:cs="Arial"/>
          <w:b/>
          <w:sz w:val="24"/>
          <w:szCs w:val="24"/>
        </w:rPr>
        <w:t>Results:</w:t>
      </w:r>
      <w:r w:rsidRPr="00C66B7F">
        <w:rPr>
          <w:rFonts w:ascii="Arial" w:hAnsi="Arial" w:cs="Arial"/>
          <w:sz w:val="24"/>
          <w:szCs w:val="24"/>
        </w:rPr>
        <w:t xml:space="preserve"> </w:t>
      </w:r>
    </w:p>
    <w:p w14:paraId="4AF3AFE4" w14:textId="16264EB7" w:rsidR="00E76E51" w:rsidRPr="002A2716" w:rsidRDefault="00E76E51" w:rsidP="00E76E51">
      <w:pPr>
        <w:spacing w:after="0" w:line="360" w:lineRule="auto"/>
        <w:textAlignment w:val="baseline"/>
        <w:rPr>
          <w:rFonts w:ascii="Arial" w:hAnsi="Arial" w:cs="Arial"/>
          <w:sz w:val="24"/>
          <w:szCs w:val="24"/>
        </w:rPr>
      </w:pPr>
      <w:r w:rsidRPr="00C66B7F">
        <w:rPr>
          <w:rFonts w:ascii="Arial" w:hAnsi="Arial" w:cs="Arial"/>
          <w:sz w:val="24"/>
          <w:szCs w:val="24"/>
        </w:rPr>
        <w:t>A total of 481 patients</w:t>
      </w:r>
      <w:r>
        <w:rPr>
          <w:rFonts w:ascii="Arial" w:hAnsi="Arial" w:cs="Arial"/>
          <w:sz w:val="24"/>
          <w:szCs w:val="24"/>
        </w:rPr>
        <w:t>, of which 202 females (33.8%)</w:t>
      </w:r>
      <w:r w:rsidRPr="00C66B7F">
        <w:rPr>
          <w:rFonts w:ascii="Arial" w:hAnsi="Arial" w:cs="Arial"/>
          <w:sz w:val="24"/>
          <w:szCs w:val="24"/>
        </w:rPr>
        <w:t xml:space="preserve"> were involved in this study over the 2-year period</w:t>
      </w:r>
      <w:r>
        <w:rPr>
          <w:rFonts w:ascii="Arial" w:hAnsi="Arial" w:cs="Arial"/>
          <w:sz w:val="24"/>
          <w:szCs w:val="24"/>
        </w:rPr>
        <w:t xml:space="preserve"> as patients either had transplants, withdrew from treatment or changed modality. The patients</w:t>
      </w:r>
      <w:r w:rsidRPr="00C66B7F">
        <w:rPr>
          <w:rFonts w:ascii="Arial" w:hAnsi="Arial" w:cs="Arial"/>
          <w:sz w:val="24"/>
          <w:szCs w:val="24"/>
        </w:rPr>
        <w:t xml:space="preserve"> </w:t>
      </w:r>
      <w:r w:rsidRPr="002A2716">
        <w:rPr>
          <w:rFonts w:ascii="Arial" w:hAnsi="Arial" w:cs="Arial"/>
          <w:sz w:val="24"/>
          <w:szCs w:val="24"/>
        </w:rPr>
        <w:t xml:space="preserve">were aged between 21-91 years, with a mean age of 72.05 years and a standard deviation of +/- 15.13 years. 202. The median number of patients receiving dialysis on </w:t>
      </w:r>
      <w:r w:rsidR="000355F9" w:rsidRPr="002A2716">
        <w:rPr>
          <w:rFonts w:ascii="Arial" w:hAnsi="Arial" w:cs="Arial"/>
          <w:sz w:val="24"/>
          <w:szCs w:val="24"/>
        </w:rPr>
        <w:t>either an</w:t>
      </w:r>
      <w:r w:rsidRPr="002A2716">
        <w:rPr>
          <w:rFonts w:ascii="Arial" w:hAnsi="Arial" w:cs="Arial"/>
          <w:sz w:val="24"/>
          <w:szCs w:val="24"/>
        </w:rPr>
        <w:t xml:space="preserve"> AVF or AVG at the end of each month was 298, an average annual total of 3,583. Table </w:t>
      </w:r>
      <w:r w:rsidR="0049559C" w:rsidRPr="002A2716">
        <w:rPr>
          <w:rFonts w:ascii="Arial" w:hAnsi="Arial" w:cs="Arial"/>
          <w:sz w:val="24"/>
          <w:szCs w:val="24"/>
        </w:rPr>
        <w:t>2</w:t>
      </w:r>
      <w:r w:rsidRPr="002A2716">
        <w:rPr>
          <w:rFonts w:ascii="Arial" w:hAnsi="Arial" w:cs="Arial"/>
          <w:sz w:val="24"/>
          <w:szCs w:val="24"/>
        </w:rPr>
        <w:t xml:space="preserve"> describes the patient characteristics for the 12 months pre-COVID-19 and the 12months during the pandemic</w:t>
      </w:r>
      <w:r w:rsidR="000355F9" w:rsidRPr="002A2716">
        <w:rPr>
          <w:rFonts w:ascii="Arial" w:hAnsi="Arial" w:cs="Arial"/>
          <w:sz w:val="24"/>
          <w:szCs w:val="24"/>
        </w:rPr>
        <w:t xml:space="preserve"> and includes average number of AVF versus AVG.</w:t>
      </w:r>
    </w:p>
    <w:p w14:paraId="1630F85B" w14:textId="6FB48AEE" w:rsidR="00965C02" w:rsidRPr="002A2716" w:rsidRDefault="00965C02" w:rsidP="00E76E51">
      <w:pPr>
        <w:spacing w:after="0" w:line="360" w:lineRule="auto"/>
        <w:textAlignment w:val="baseline"/>
        <w:rPr>
          <w:rFonts w:ascii="Arial" w:hAnsi="Arial" w:cs="Arial"/>
          <w:sz w:val="24"/>
          <w:szCs w:val="24"/>
        </w:rPr>
      </w:pPr>
    </w:p>
    <w:p w14:paraId="7C42BE6C" w14:textId="27904014" w:rsidR="00965C02" w:rsidRPr="002A2716" w:rsidRDefault="00965C02" w:rsidP="00E76E51">
      <w:pPr>
        <w:spacing w:after="0" w:line="360" w:lineRule="auto"/>
        <w:textAlignment w:val="baseline"/>
        <w:rPr>
          <w:rFonts w:ascii="Arial" w:hAnsi="Arial" w:cs="Arial"/>
          <w:sz w:val="24"/>
          <w:szCs w:val="24"/>
        </w:rPr>
      </w:pPr>
    </w:p>
    <w:p w14:paraId="63F70911" w14:textId="1723CE29" w:rsidR="00965C02" w:rsidRDefault="00965C02" w:rsidP="00E76E51">
      <w:pPr>
        <w:spacing w:after="0" w:line="360" w:lineRule="auto"/>
        <w:textAlignment w:val="baseline"/>
        <w:rPr>
          <w:rFonts w:ascii="Arial" w:hAnsi="Arial" w:cs="Arial"/>
          <w:color w:val="FF0000"/>
          <w:sz w:val="24"/>
          <w:szCs w:val="24"/>
        </w:rPr>
      </w:pPr>
    </w:p>
    <w:p w14:paraId="53A8AD78" w14:textId="0913C5BD" w:rsidR="00965C02" w:rsidRDefault="00965C02" w:rsidP="00E76E51">
      <w:pPr>
        <w:spacing w:after="0" w:line="360" w:lineRule="auto"/>
        <w:textAlignment w:val="baseline"/>
        <w:rPr>
          <w:rFonts w:ascii="Arial" w:hAnsi="Arial" w:cs="Arial"/>
          <w:color w:val="FF0000"/>
          <w:sz w:val="24"/>
          <w:szCs w:val="24"/>
        </w:rPr>
      </w:pPr>
    </w:p>
    <w:p w14:paraId="5695A1C6" w14:textId="456C1906" w:rsidR="00965C02" w:rsidRDefault="00965C02" w:rsidP="00E76E51">
      <w:pPr>
        <w:spacing w:after="0" w:line="360" w:lineRule="auto"/>
        <w:textAlignment w:val="baseline"/>
        <w:rPr>
          <w:rFonts w:ascii="Arial" w:hAnsi="Arial" w:cs="Arial"/>
          <w:color w:val="FF0000"/>
          <w:sz w:val="24"/>
          <w:szCs w:val="24"/>
        </w:rPr>
      </w:pPr>
    </w:p>
    <w:p w14:paraId="5F08CAD4" w14:textId="6F5A0413" w:rsidR="00965C02" w:rsidRDefault="00965C02" w:rsidP="00E76E51">
      <w:pPr>
        <w:spacing w:after="0" w:line="360" w:lineRule="auto"/>
        <w:textAlignment w:val="baseline"/>
        <w:rPr>
          <w:rFonts w:ascii="Arial" w:hAnsi="Arial" w:cs="Arial"/>
          <w:color w:val="FF0000"/>
          <w:sz w:val="24"/>
          <w:szCs w:val="24"/>
        </w:rPr>
      </w:pPr>
    </w:p>
    <w:p w14:paraId="6B5B3DAB" w14:textId="2659B133" w:rsidR="00965C02" w:rsidRDefault="00965C02" w:rsidP="00E76E51">
      <w:pPr>
        <w:spacing w:after="0" w:line="360" w:lineRule="auto"/>
        <w:textAlignment w:val="baseline"/>
        <w:rPr>
          <w:rFonts w:ascii="Arial" w:hAnsi="Arial" w:cs="Arial"/>
          <w:color w:val="FF0000"/>
          <w:sz w:val="24"/>
          <w:szCs w:val="24"/>
        </w:rPr>
      </w:pPr>
    </w:p>
    <w:p w14:paraId="59EFB08A" w14:textId="5B54951E" w:rsidR="00965C02" w:rsidRDefault="00965C02" w:rsidP="00E76E51">
      <w:pPr>
        <w:spacing w:after="0" w:line="360" w:lineRule="auto"/>
        <w:textAlignment w:val="baseline"/>
        <w:rPr>
          <w:rFonts w:ascii="Arial" w:hAnsi="Arial" w:cs="Arial"/>
          <w:color w:val="FF0000"/>
          <w:sz w:val="24"/>
          <w:szCs w:val="24"/>
        </w:rPr>
      </w:pPr>
    </w:p>
    <w:p w14:paraId="56E98AD2" w14:textId="77777777" w:rsidR="00965C02" w:rsidRPr="000355F9" w:rsidRDefault="00965C02" w:rsidP="00E76E51">
      <w:pPr>
        <w:spacing w:after="0" w:line="360" w:lineRule="auto"/>
        <w:textAlignment w:val="baseline"/>
        <w:rPr>
          <w:rFonts w:ascii="Arial" w:hAnsi="Arial" w:cs="Arial"/>
          <w:color w:val="FF0000"/>
          <w:sz w:val="24"/>
          <w:szCs w:val="24"/>
        </w:rPr>
      </w:pPr>
    </w:p>
    <w:p w14:paraId="01AF8C95" w14:textId="77777777" w:rsidR="00E76E51" w:rsidRPr="0086571A" w:rsidRDefault="00E76E51" w:rsidP="00E76E51">
      <w:pPr>
        <w:spacing w:after="0" w:line="240" w:lineRule="auto"/>
        <w:textAlignment w:val="baseline"/>
        <w:rPr>
          <w:rFonts w:ascii="Arial" w:hAnsi="Arial" w:cs="Arial"/>
          <w:sz w:val="24"/>
          <w:szCs w:val="24"/>
        </w:rPr>
      </w:pPr>
      <w:r w:rsidRPr="0086571A">
        <w:rPr>
          <w:rFonts w:ascii="Arial" w:hAnsi="Arial" w:cs="Arial"/>
          <w:sz w:val="24"/>
          <w:szCs w:val="24"/>
        </w:rPr>
        <w:t xml:space="preserve">                                                                  </w:t>
      </w:r>
    </w:p>
    <w:tbl>
      <w:tblPr>
        <w:tblStyle w:val="TableGrid"/>
        <w:tblW w:w="0" w:type="auto"/>
        <w:tblLook w:val="04A0" w:firstRow="1" w:lastRow="0" w:firstColumn="1" w:lastColumn="0" w:noHBand="0" w:noVBand="1"/>
      </w:tblPr>
      <w:tblGrid>
        <w:gridCol w:w="3005"/>
        <w:gridCol w:w="3005"/>
        <w:gridCol w:w="3006"/>
      </w:tblGrid>
      <w:tr w:rsidR="00E76E51" w:rsidRPr="0086571A" w14:paraId="44D94098" w14:textId="77777777" w:rsidTr="00A554FC">
        <w:tc>
          <w:tcPr>
            <w:tcW w:w="3005" w:type="dxa"/>
          </w:tcPr>
          <w:p w14:paraId="46B0DFEF" w14:textId="77777777" w:rsidR="00E76E51" w:rsidRPr="0086571A" w:rsidRDefault="00E76E51" w:rsidP="00A554FC">
            <w:pPr>
              <w:rPr>
                <w:rFonts w:ascii="Arial" w:hAnsi="Arial" w:cs="Arial"/>
                <w:sz w:val="24"/>
                <w:szCs w:val="24"/>
              </w:rPr>
            </w:pPr>
            <w:r w:rsidRPr="0086571A">
              <w:rPr>
                <w:rFonts w:ascii="Arial" w:hAnsi="Arial" w:cs="Arial"/>
                <w:sz w:val="24"/>
                <w:szCs w:val="24"/>
              </w:rPr>
              <w:lastRenderedPageBreak/>
              <w:t>Patient characteristics</w:t>
            </w:r>
          </w:p>
        </w:tc>
        <w:tc>
          <w:tcPr>
            <w:tcW w:w="3005" w:type="dxa"/>
          </w:tcPr>
          <w:p w14:paraId="0A8BA953" w14:textId="77777777" w:rsidR="00E76E51" w:rsidRPr="0086571A" w:rsidRDefault="00E76E51" w:rsidP="00A554FC">
            <w:pPr>
              <w:rPr>
                <w:rFonts w:ascii="Arial" w:hAnsi="Arial" w:cs="Arial"/>
                <w:sz w:val="24"/>
                <w:szCs w:val="24"/>
              </w:rPr>
            </w:pPr>
            <w:r w:rsidRPr="0086571A">
              <w:rPr>
                <w:rFonts w:ascii="Arial" w:hAnsi="Arial" w:cs="Arial"/>
                <w:sz w:val="24"/>
                <w:szCs w:val="24"/>
              </w:rPr>
              <w:t>April 2019- March 2020                    (surveillance)</w:t>
            </w:r>
          </w:p>
        </w:tc>
        <w:tc>
          <w:tcPr>
            <w:tcW w:w="3006" w:type="dxa"/>
          </w:tcPr>
          <w:p w14:paraId="2AEB82EF" w14:textId="77777777" w:rsidR="00E76E51" w:rsidRPr="0086571A" w:rsidRDefault="00E76E51" w:rsidP="00A554FC">
            <w:pPr>
              <w:rPr>
                <w:rFonts w:ascii="Arial" w:hAnsi="Arial" w:cs="Arial"/>
                <w:sz w:val="24"/>
                <w:szCs w:val="24"/>
              </w:rPr>
            </w:pPr>
            <w:r w:rsidRPr="0086571A">
              <w:rPr>
                <w:rFonts w:ascii="Arial" w:hAnsi="Arial" w:cs="Arial"/>
                <w:sz w:val="24"/>
                <w:szCs w:val="24"/>
              </w:rPr>
              <w:t>April 2020- March 2021</w:t>
            </w:r>
          </w:p>
          <w:p w14:paraId="280AE3FE" w14:textId="77777777" w:rsidR="00E76E51" w:rsidRPr="0086571A" w:rsidRDefault="00E76E51" w:rsidP="00A554FC">
            <w:pPr>
              <w:rPr>
                <w:rFonts w:ascii="Arial" w:hAnsi="Arial" w:cs="Arial"/>
                <w:sz w:val="24"/>
                <w:szCs w:val="24"/>
              </w:rPr>
            </w:pPr>
            <w:r w:rsidRPr="0086571A">
              <w:rPr>
                <w:rFonts w:ascii="Arial" w:hAnsi="Arial" w:cs="Arial"/>
                <w:sz w:val="24"/>
                <w:szCs w:val="24"/>
              </w:rPr>
              <w:t>(</w:t>
            </w:r>
            <w:proofErr w:type="gramStart"/>
            <w:r w:rsidRPr="0086571A">
              <w:rPr>
                <w:rFonts w:ascii="Arial" w:hAnsi="Arial" w:cs="Arial"/>
                <w:sz w:val="24"/>
                <w:szCs w:val="24"/>
              </w:rPr>
              <w:t>no</w:t>
            </w:r>
            <w:proofErr w:type="gramEnd"/>
            <w:r w:rsidRPr="0086571A">
              <w:rPr>
                <w:rFonts w:ascii="Arial" w:hAnsi="Arial" w:cs="Arial"/>
                <w:sz w:val="24"/>
                <w:szCs w:val="24"/>
              </w:rPr>
              <w:t xml:space="preserve"> surveillance)</w:t>
            </w:r>
          </w:p>
        </w:tc>
      </w:tr>
      <w:tr w:rsidR="004B4D46" w:rsidRPr="0086571A" w14:paraId="20B5522E" w14:textId="77777777" w:rsidTr="00A554FC">
        <w:tc>
          <w:tcPr>
            <w:tcW w:w="3005" w:type="dxa"/>
          </w:tcPr>
          <w:p w14:paraId="2B618501" w14:textId="4B8DB5A0" w:rsidR="004B4D46" w:rsidRPr="004B4D46" w:rsidRDefault="004B4D46" w:rsidP="00A554FC">
            <w:pPr>
              <w:rPr>
                <w:rFonts w:ascii="Arial" w:hAnsi="Arial" w:cs="Arial"/>
                <w:i/>
                <w:iCs/>
                <w:sz w:val="24"/>
                <w:szCs w:val="24"/>
              </w:rPr>
            </w:pPr>
            <w:r>
              <w:rPr>
                <w:rFonts w:ascii="Arial" w:hAnsi="Arial" w:cs="Arial"/>
                <w:sz w:val="24"/>
                <w:szCs w:val="24"/>
              </w:rPr>
              <w:t xml:space="preserve">Total annual patients. </w:t>
            </w:r>
            <w:r>
              <w:rPr>
                <w:rFonts w:ascii="Arial" w:hAnsi="Arial" w:cs="Arial"/>
                <w:i/>
                <w:iCs/>
                <w:sz w:val="24"/>
                <w:szCs w:val="24"/>
              </w:rPr>
              <w:t>n</w:t>
            </w:r>
          </w:p>
        </w:tc>
        <w:tc>
          <w:tcPr>
            <w:tcW w:w="3005" w:type="dxa"/>
          </w:tcPr>
          <w:p w14:paraId="57383FBE" w14:textId="45CFF4E3" w:rsidR="004B4D46" w:rsidRPr="004B4D46" w:rsidRDefault="004B4D46" w:rsidP="00A554FC">
            <w:pPr>
              <w:rPr>
                <w:rFonts w:ascii="Arial" w:hAnsi="Arial" w:cs="Arial"/>
                <w:i/>
                <w:iCs/>
                <w:sz w:val="24"/>
                <w:szCs w:val="24"/>
              </w:rPr>
            </w:pPr>
            <w:r>
              <w:rPr>
                <w:rFonts w:ascii="Arial" w:hAnsi="Arial" w:cs="Arial"/>
                <w:i/>
                <w:iCs/>
                <w:sz w:val="24"/>
                <w:szCs w:val="24"/>
              </w:rPr>
              <w:t>3656</w:t>
            </w:r>
          </w:p>
        </w:tc>
        <w:tc>
          <w:tcPr>
            <w:tcW w:w="3006" w:type="dxa"/>
          </w:tcPr>
          <w:p w14:paraId="23F247B3" w14:textId="1079FF42" w:rsidR="004B4D46" w:rsidRPr="004B4D46" w:rsidRDefault="004B4D46" w:rsidP="00A554FC">
            <w:pPr>
              <w:rPr>
                <w:rFonts w:ascii="Arial" w:hAnsi="Arial" w:cs="Arial"/>
                <w:i/>
                <w:iCs/>
                <w:sz w:val="24"/>
                <w:szCs w:val="24"/>
              </w:rPr>
            </w:pPr>
            <w:r>
              <w:rPr>
                <w:rFonts w:ascii="Arial" w:hAnsi="Arial" w:cs="Arial"/>
                <w:i/>
                <w:iCs/>
                <w:sz w:val="24"/>
                <w:szCs w:val="24"/>
              </w:rPr>
              <w:t>3511</w:t>
            </w:r>
          </w:p>
        </w:tc>
      </w:tr>
      <w:tr w:rsidR="00E76E51" w:rsidRPr="0086571A" w14:paraId="79522460" w14:textId="77777777" w:rsidTr="00A554FC">
        <w:tc>
          <w:tcPr>
            <w:tcW w:w="3005" w:type="dxa"/>
          </w:tcPr>
          <w:p w14:paraId="5D8FDF55" w14:textId="77777777" w:rsidR="00E76E51" w:rsidRPr="0086571A" w:rsidRDefault="00E76E51" w:rsidP="00A554FC">
            <w:pPr>
              <w:rPr>
                <w:rFonts w:ascii="Arial" w:hAnsi="Arial" w:cs="Arial"/>
                <w:sz w:val="24"/>
                <w:szCs w:val="24"/>
              </w:rPr>
            </w:pPr>
            <w:r w:rsidRPr="0086571A">
              <w:rPr>
                <w:rFonts w:ascii="Arial" w:hAnsi="Arial" w:cs="Arial"/>
                <w:sz w:val="24"/>
                <w:szCs w:val="24"/>
              </w:rPr>
              <w:t>Age (years)</w:t>
            </w:r>
          </w:p>
        </w:tc>
        <w:tc>
          <w:tcPr>
            <w:tcW w:w="3005" w:type="dxa"/>
          </w:tcPr>
          <w:p w14:paraId="7377B118" w14:textId="77777777" w:rsidR="00E76E51" w:rsidRPr="0086571A" w:rsidRDefault="00E76E51" w:rsidP="00A554FC">
            <w:pPr>
              <w:rPr>
                <w:rFonts w:ascii="Arial" w:hAnsi="Arial" w:cs="Arial"/>
                <w:sz w:val="24"/>
                <w:szCs w:val="24"/>
              </w:rPr>
            </w:pPr>
            <w:r w:rsidRPr="0086571A">
              <w:rPr>
                <w:rFonts w:ascii="Arial" w:hAnsi="Arial" w:cs="Arial"/>
                <w:sz w:val="24"/>
                <w:szCs w:val="24"/>
              </w:rPr>
              <w:t>72.7  +/-  15.34</w:t>
            </w:r>
          </w:p>
        </w:tc>
        <w:tc>
          <w:tcPr>
            <w:tcW w:w="3006" w:type="dxa"/>
          </w:tcPr>
          <w:p w14:paraId="51D1D12A" w14:textId="77777777" w:rsidR="00E76E51" w:rsidRPr="0086571A" w:rsidRDefault="00E76E51" w:rsidP="00A554FC">
            <w:pPr>
              <w:rPr>
                <w:rFonts w:ascii="Arial" w:hAnsi="Arial" w:cs="Arial"/>
                <w:sz w:val="24"/>
                <w:szCs w:val="24"/>
              </w:rPr>
            </w:pPr>
            <w:r w:rsidRPr="0086571A">
              <w:rPr>
                <w:rFonts w:ascii="Arial" w:hAnsi="Arial" w:cs="Arial"/>
                <w:sz w:val="24"/>
                <w:szCs w:val="24"/>
              </w:rPr>
              <w:t xml:space="preserve">  71.9  +/-  14.92</w:t>
            </w:r>
          </w:p>
        </w:tc>
      </w:tr>
      <w:tr w:rsidR="00E76E51" w:rsidRPr="0086571A" w14:paraId="07173DEE" w14:textId="77777777" w:rsidTr="00A554FC">
        <w:tc>
          <w:tcPr>
            <w:tcW w:w="3005" w:type="dxa"/>
          </w:tcPr>
          <w:p w14:paraId="5F4A7B32" w14:textId="1E1DDF1C" w:rsidR="00E76E51" w:rsidRPr="002A2716" w:rsidRDefault="00E76E51" w:rsidP="00A554FC">
            <w:pPr>
              <w:rPr>
                <w:rFonts w:ascii="Arial" w:hAnsi="Arial" w:cs="Arial"/>
                <w:sz w:val="24"/>
                <w:szCs w:val="24"/>
              </w:rPr>
            </w:pPr>
            <w:r w:rsidRPr="002A2716">
              <w:rPr>
                <w:rFonts w:ascii="Arial" w:hAnsi="Arial" w:cs="Arial"/>
                <w:sz w:val="24"/>
                <w:szCs w:val="24"/>
              </w:rPr>
              <w:t xml:space="preserve">Average </w:t>
            </w:r>
            <w:r w:rsidR="004B4D46" w:rsidRPr="002A2716">
              <w:rPr>
                <w:rFonts w:ascii="Arial" w:hAnsi="Arial" w:cs="Arial"/>
                <w:sz w:val="24"/>
                <w:szCs w:val="24"/>
              </w:rPr>
              <w:t xml:space="preserve">monthly </w:t>
            </w:r>
            <w:r w:rsidRPr="002A2716">
              <w:rPr>
                <w:rFonts w:ascii="Arial" w:hAnsi="Arial" w:cs="Arial"/>
                <w:sz w:val="24"/>
                <w:szCs w:val="24"/>
              </w:rPr>
              <w:t>number of patients</w:t>
            </w:r>
          </w:p>
        </w:tc>
        <w:tc>
          <w:tcPr>
            <w:tcW w:w="3005" w:type="dxa"/>
          </w:tcPr>
          <w:p w14:paraId="476524F9" w14:textId="77777777" w:rsidR="00E76E51" w:rsidRPr="002A2716" w:rsidRDefault="00E76E51" w:rsidP="00A554FC">
            <w:pPr>
              <w:rPr>
                <w:rFonts w:ascii="Arial" w:hAnsi="Arial" w:cs="Arial"/>
                <w:sz w:val="24"/>
                <w:szCs w:val="24"/>
              </w:rPr>
            </w:pPr>
            <w:r w:rsidRPr="002A2716">
              <w:rPr>
                <w:rFonts w:ascii="Arial" w:hAnsi="Arial" w:cs="Arial"/>
                <w:sz w:val="24"/>
                <w:szCs w:val="24"/>
              </w:rPr>
              <w:t>304</w:t>
            </w:r>
          </w:p>
        </w:tc>
        <w:tc>
          <w:tcPr>
            <w:tcW w:w="3006" w:type="dxa"/>
          </w:tcPr>
          <w:p w14:paraId="0E484F4F" w14:textId="77777777" w:rsidR="00E76E51" w:rsidRPr="002A2716" w:rsidRDefault="00E76E51" w:rsidP="00A554FC">
            <w:pPr>
              <w:rPr>
                <w:rFonts w:ascii="Arial" w:hAnsi="Arial" w:cs="Arial"/>
                <w:sz w:val="24"/>
                <w:szCs w:val="24"/>
              </w:rPr>
            </w:pPr>
            <w:r w:rsidRPr="002A2716">
              <w:rPr>
                <w:rFonts w:ascii="Arial" w:hAnsi="Arial" w:cs="Arial"/>
                <w:sz w:val="24"/>
                <w:szCs w:val="24"/>
              </w:rPr>
              <w:t>292</w:t>
            </w:r>
          </w:p>
        </w:tc>
      </w:tr>
      <w:tr w:rsidR="00E76E51" w:rsidRPr="0086571A" w14:paraId="7A52C51F" w14:textId="77777777" w:rsidTr="00A554FC">
        <w:tc>
          <w:tcPr>
            <w:tcW w:w="3005" w:type="dxa"/>
          </w:tcPr>
          <w:p w14:paraId="21AF77BA" w14:textId="77777777" w:rsidR="00E76E51" w:rsidRPr="002A2716" w:rsidRDefault="00E76E51" w:rsidP="00A554FC">
            <w:pPr>
              <w:rPr>
                <w:rFonts w:ascii="Arial" w:hAnsi="Arial" w:cs="Arial"/>
                <w:sz w:val="24"/>
                <w:szCs w:val="24"/>
              </w:rPr>
            </w:pPr>
            <w:r w:rsidRPr="002A2716">
              <w:rPr>
                <w:rFonts w:ascii="Arial" w:hAnsi="Arial" w:cs="Arial"/>
                <w:sz w:val="24"/>
                <w:szCs w:val="24"/>
              </w:rPr>
              <w:t xml:space="preserve">Female, </w:t>
            </w:r>
            <w:r w:rsidRPr="002A2716">
              <w:rPr>
                <w:rFonts w:ascii="Arial" w:hAnsi="Arial" w:cs="Arial"/>
                <w:i/>
                <w:sz w:val="24"/>
                <w:szCs w:val="24"/>
              </w:rPr>
              <w:t xml:space="preserve">n </w:t>
            </w:r>
            <w:r w:rsidRPr="002A2716">
              <w:rPr>
                <w:rFonts w:ascii="Arial" w:hAnsi="Arial" w:cs="Arial"/>
                <w:sz w:val="24"/>
                <w:szCs w:val="24"/>
              </w:rPr>
              <w:t>(%)</w:t>
            </w:r>
          </w:p>
        </w:tc>
        <w:tc>
          <w:tcPr>
            <w:tcW w:w="3005" w:type="dxa"/>
          </w:tcPr>
          <w:p w14:paraId="6390F11C" w14:textId="77777777" w:rsidR="00E76E51" w:rsidRPr="002A2716" w:rsidRDefault="00E76E51" w:rsidP="00A554FC">
            <w:pPr>
              <w:rPr>
                <w:rFonts w:ascii="Arial" w:hAnsi="Arial" w:cs="Arial"/>
                <w:sz w:val="24"/>
                <w:szCs w:val="24"/>
              </w:rPr>
            </w:pPr>
            <w:r w:rsidRPr="002A2716">
              <w:rPr>
                <w:rFonts w:ascii="Arial" w:hAnsi="Arial" w:cs="Arial"/>
                <w:sz w:val="24"/>
                <w:szCs w:val="24"/>
              </w:rPr>
              <w:t xml:space="preserve"> 106    (34.8)</w:t>
            </w:r>
          </w:p>
        </w:tc>
        <w:tc>
          <w:tcPr>
            <w:tcW w:w="3006" w:type="dxa"/>
          </w:tcPr>
          <w:p w14:paraId="4A7EB782" w14:textId="77777777" w:rsidR="00E76E51" w:rsidRPr="002A2716" w:rsidRDefault="00E76E51" w:rsidP="00A554FC">
            <w:pPr>
              <w:rPr>
                <w:rFonts w:ascii="Arial" w:hAnsi="Arial" w:cs="Arial"/>
                <w:sz w:val="24"/>
                <w:szCs w:val="24"/>
              </w:rPr>
            </w:pPr>
            <w:r w:rsidRPr="002A2716">
              <w:rPr>
                <w:rFonts w:ascii="Arial" w:hAnsi="Arial" w:cs="Arial"/>
                <w:sz w:val="24"/>
                <w:szCs w:val="24"/>
              </w:rPr>
              <w:t xml:space="preserve">  96      (32.8)</w:t>
            </w:r>
          </w:p>
        </w:tc>
      </w:tr>
      <w:tr w:rsidR="00E76E51" w:rsidRPr="0086571A" w14:paraId="2A8C2FB4" w14:textId="77777777" w:rsidTr="00A554FC">
        <w:tc>
          <w:tcPr>
            <w:tcW w:w="3005" w:type="dxa"/>
          </w:tcPr>
          <w:p w14:paraId="76CAABEE" w14:textId="77777777" w:rsidR="00E76E51" w:rsidRPr="002A2716" w:rsidRDefault="00E76E51" w:rsidP="00A554FC">
            <w:pPr>
              <w:rPr>
                <w:rFonts w:ascii="Arial" w:hAnsi="Arial" w:cs="Arial"/>
                <w:sz w:val="24"/>
                <w:szCs w:val="24"/>
              </w:rPr>
            </w:pPr>
            <w:r w:rsidRPr="002A2716">
              <w:rPr>
                <w:rFonts w:ascii="Arial" w:hAnsi="Arial" w:cs="Arial"/>
                <w:sz w:val="24"/>
                <w:szCs w:val="24"/>
              </w:rPr>
              <w:t xml:space="preserve">Average monthly AVF’s, </w:t>
            </w:r>
            <w:r w:rsidRPr="002A2716">
              <w:rPr>
                <w:rFonts w:ascii="Arial" w:hAnsi="Arial" w:cs="Arial"/>
                <w:i/>
                <w:sz w:val="24"/>
                <w:szCs w:val="24"/>
              </w:rPr>
              <w:t xml:space="preserve">n </w:t>
            </w:r>
            <w:r w:rsidRPr="002A2716">
              <w:rPr>
                <w:rFonts w:ascii="Arial" w:hAnsi="Arial" w:cs="Arial"/>
                <w:sz w:val="24"/>
                <w:szCs w:val="24"/>
              </w:rPr>
              <w:t>(%)</w:t>
            </w:r>
          </w:p>
          <w:p w14:paraId="546140BA" w14:textId="21663214" w:rsidR="00853CB5" w:rsidRPr="002A2716" w:rsidRDefault="00853CB5" w:rsidP="00A554FC">
            <w:pPr>
              <w:rPr>
                <w:rFonts w:ascii="Arial" w:hAnsi="Arial" w:cs="Arial"/>
                <w:sz w:val="24"/>
                <w:szCs w:val="24"/>
              </w:rPr>
            </w:pPr>
            <w:r w:rsidRPr="002A2716">
              <w:rPr>
                <w:rFonts w:ascii="Arial" w:hAnsi="Arial" w:cs="Arial"/>
                <w:sz w:val="24"/>
                <w:szCs w:val="24"/>
              </w:rPr>
              <w:t xml:space="preserve">Average monthly AVG’s, </w:t>
            </w:r>
            <w:r w:rsidRPr="002A2716">
              <w:rPr>
                <w:rFonts w:ascii="Arial" w:hAnsi="Arial" w:cs="Arial"/>
                <w:i/>
                <w:iCs/>
                <w:sz w:val="24"/>
                <w:szCs w:val="24"/>
              </w:rPr>
              <w:t>n</w:t>
            </w:r>
            <w:r w:rsidRPr="002A2716">
              <w:rPr>
                <w:rFonts w:ascii="Arial" w:hAnsi="Arial" w:cs="Arial"/>
                <w:sz w:val="24"/>
                <w:szCs w:val="24"/>
              </w:rPr>
              <w:t xml:space="preserve"> (%)</w:t>
            </w:r>
          </w:p>
        </w:tc>
        <w:tc>
          <w:tcPr>
            <w:tcW w:w="3005" w:type="dxa"/>
          </w:tcPr>
          <w:p w14:paraId="42FC6252" w14:textId="77777777" w:rsidR="00E76E51" w:rsidRPr="002A2716" w:rsidRDefault="00E76E51" w:rsidP="00A554FC">
            <w:pPr>
              <w:rPr>
                <w:rFonts w:ascii="Arial" w:hAnsi="Arial" w:cs="Arial"/>
                <w:sz w:val="24"/>
                <w:szCs w:val="24"/>
              </w:rPr>
            </w:pPr>
            <w:r w:rsidRPr="002A2716">
              <w:rPr>
                <w:rFonts w:ascii="Arial" w:hAnsi="Arial" w:cs="Arial"/>
                <w:sz w:val="24"/>
                <w:szCs w:val="24"/>
              </w:rPr>
              <w:t xml:space="preserve"> 265.3     (86.6)</w:t>
            </w:r>
          </w:p>
          <w:p w14:paraId="7CAEB202" w14:textId="77777777" w:rsidR="00853CB5" w:rsidRPr="002A2716" w:rsidRDefault="00853CB5" w:rsidP="00A554FC">
            <w:pPr>
              <w:rPr>
                <w:rFonts w:ascii="Arial" w:hAnsi="Arial" w:cs="Arial"/>
                <w:sz w:val="24"/>
                <w:szCs w:val="24"/>
              </w:rPr>
            </w:pPr>
          </w:p>
          <w:p w14:paraId="31FD1330" w14:textId="31B9A169" w:rsidR="00853CB5" w:rsidRPr="002A2716" w:rsidRDefault="00595604" w:rsidP="00A554FC">
            <w:pPr>
              <w:rPr>
                <w:rFonts w:ascii="Arial" w:hAnsi="Arial" w:cs="Arial"/>
                <w:sz w:val="24"/>
                <w:szCs w:val="24"/>
              </w:rPr>
            </w:pPr>
            <w:r w:rsidRPr="002A2716">
              <w:rPr>
                <w:rFonts w:ascii="Arial" w:hAnsi="Arial" w:cs="Arial"/>
                <w:sz w:val="24"/>
                <w:szCs w:val="24"/>
              </w:rPr>
              <w:t>38.7  (13.4)</w:t>
            </w:r>
          </w:p>
        </w:tc>
        <w:tc>
          <w:tcPr>
            <w:tcW w:w="3006" w:type="dxa"/>
          </w:tcPr>
          <w:p w14:paraId="678BA803" w14:textId="77777777" w:rsidR="00E76E51" w:rsidRPr="002A2716" w:rsidRDefault="00E76E51" w:rsidP="00A554FC">
            <w:pPr>
              <w:rPr>
                <w:rFonts w:ascii="Arial" w:hAnsi="Arial" w:cs="Arial"/>
                <w:sz w:val="24"/>
                <w:szCs w:val="24"/>
              </w:rPr>
            </w:pPr>
            <w:r w:rsidRPr="002A2716">
              <w:rPr>
                <w:rFonts w:ascii="Arial" w:hAnsi="Arial" w:cs="Arial"/>
                <w:sz w:val="24"/>
                <w:szCs w:val="24"/>
              </w:rPr>
              <w:t xml:space="preserve"> 251.2       (85.8)</w:t>
            </w:r>
          </w:p>
          <w:p w14:paraId="29AB2CBC" w14:textId="77777777" w:rsidR="00595604" w:rsidRPr="002A2716" w:rsidRDefault="00595604" w:rsidP="00A554FC">
            <w:pPr>
              <w:rPr>
                <w:rFonts w:ascii="Arial" w:hAnsi="Arial" w:cs="Arial"/>
                <w:sz w:val="24"/>
                <w:szCs w:val="24"/>
              </w:rPr>
            </w:pPr>
          </w:p>
          <w:p w14:paraId="54D5D654" w14:textId="0E342BED" w:rsidR="00595604" w:rsidRPr="002A2716" w:rsidRDefault="00595604" w:rsidP="00A554FC">
            <w:pPr>
              <w:rPr>
                <w:rFonts w:ascii="Arial" w:hAnsi="Arial" w:cs="Arial"/>
                <w:sz w:val="24"/>
                <w:szCs w:val="24"/>
              </w:rPr>
            </w:pPr>
            <w:r w:rsidRPr="002A2716">
              <w:rPr>
                <w:rFonts w:ascii="Arial" w:hAnsi="Arial" w:cs="Arial"/>
                <w:sz w:val="24"/>
                <w:szCs w:val="24"/>
              </w:rPr>
              <w:t>40.8      (14.2)</w:t>
            </w:r>
          </w:p>
        </w:tc>
      </w:tr>
      <w:tr w:rsidR="00E76E51" w:rsidRPr="0086571A" w14:paraId="3B9BE8A2" w14:textId="77777777" w:rsidTr="00A554FC">
        <w:tc>
          <w:tcPr>
            <w:tcW w:w="3005" w:type="dxa"/>
          </w:tcPr>
          <w:p w14:paraId="5F0EE867" w14:textId="77777777" w:rsidR="00E76E51" w:rsidRPr="002A2716" w:rsidRDefault="00E76E51" w:rsidP="00A554FC">
            <w:pPr>
              <w:rPr>
                <w:rFonts w:ascii="Arial" w:hAnsi="Arial" w:cs="Arial"/>
                <w:sz w:val="24"/>
                <w:szCs w:val="24"/>
              </w:rPr>
            </w:pPr>
            <w:r w:rsidRPr="002A2716">
              <w:rPr>
                <w:rFonts w:ascii="Arial" w:hAnsi="Arial" w:cs="Arial"/>
                <w:sz w:val="24"/>
                <w:szCs w:val="24"/>
              </w:rPr>
              <w:t xml:space="preserve">COVID-19 cases, </w:t>
            </w:r>
            <w:r w:rsidRPr="002A2716">
              <w:rPr>
                <w:rFonts w:ascii="Arial" w:hAnsi="Arial" w:cs="Arial"/>
                <w:i/>
                <w:sz w:val="24"/>
                <w:szCs w:val="24"/>
              </w:rPr>
              <w:t xml:space="preserve">n </w:t>
            </w:r>
            <w:r w:rsidRPr="002A2716">
              <w:rPr>
                <w:rFonts w:ascii="Arial" w:hAnsi="Arial" w:cs="Arial"/>
                <w:sz w:val="24"/>
                <w:szCs w:val="24"/>
              </w:rPr>
              <w:t>(%)</w:t>
            </w:r>
          </w:p>
        </w:tc>
        <w:tc>
          <w:tcPr>
            <w:tcW w:w="3005" w:type="dxa"/>
          </w:tcPr>
          <w:p w14:paraId="59F6935B" w14:textId="77777777" w:rsidR="00E76E51" w:rsidRPr="002A2716" w:rsidRDefault="00E76E51" w:rsidP="00A554FC">
            <w:pPr>
              <w:rPr>
                <w:rFonts w:ascii="Arial" w:hAnsi="Arial" w:cs="Arial"/>
                <w:sz w:val="24"/>
                <w:szCs w:val="24"/>
              </w:rPr>
            </w:pPr>
            <w:r w:rsidRPr="002A2716">
              <w:rPr>
                <w:rFonts w:ascii="Arial" w:hAnsi="Arial" w:cs="Arial"/>
                <w:sz w:val="24"/>
                <w:szCs w:val="24"/>
              </w:rPr>
              <w:t xml:space="preserve"> 0.0          (0.0)</w:t>
            </w:r>
          </w:p>
        </w:tc>
        <w:tc>
          <w:tcPr>
            <w:tcW w:w="3006" w:type="dxa"/>
          </w:tcPr>
          <w:p w14:paraId="637FDF07" w14:textId="7B04F4C8" w:rsidR="00E76E51" w:rsidRPr="002A2716" w:rsidRDefault="00E76E51" w:rsidP="00A554FC">
            <w:pPr>
              <w:rPr>
                <w:rFonts w:ascii="Arial" w:hAnsi="Arial" w:cs="Arial"/>
                <w:sz w:val="24"/>
                <w:szCs w:val="24"/>
              </w:rPr>
            </w:pPr>
            <w:r w:rsidRPr="002A2716">
              <w:rPr>
                <w:rFonts w:ascii="Arial" w:hAnsi="Arial" w:cs="Arial"/>
                <w:sz w:val="24"/>
                <w:szCs w:val="24"/>
              </w:rPr>
              <w:t xml:space="preserve"> 36.0         (0.9)</w:t>
            </w:r>
          </w:p>
        </w:tc>
      </w:tr>
      <w:tr w:rsidR="00E76E51" w:rsidRPr="0086571A" w14:paraId="507BDC2A" w14:textId="77777777" w:rsidTr="00A554FC">
        <w:tc>
          <w:tcPr>
            <w:tcW w:w="3005" w:type="dxa"/>
          </w:tcPr>
          <w:p w14:paraId="67386791" w14:textId="00226C53" w:rsidR="00E76E51" w:rsidRPr="002A2716" w:rsidRDefault="00E76E51" w:rsidP="00A554FC">
            <w:pPr>
              <w:rPr>
                <w:rFonts w:ascii="Arial" w:hAnsi="Arial" w:cs="Arial"/>
                <w:i/>
                <w:iCs/>
                <w:sz w:val="24"/>
                <w:szCs w:val="24"/>
              </w:rPr>
            </w:pPr>
            <w:r w:rsidRPr="002A2716">
              <w:rPr>
                <w:rFonts w:ascii="Arial" w:hAnsi="Arial" w:cs="Arial"/>
                <w:sz w:val="24"/>
                <w:szCs w:val="24"/>
              </w:rPr>
              <w:t xml:space="preserve">Annual total clotted AVF&amp;AVG </w:t>
            </w:r>
            <w:r w:rsidR="004B4D46" w:rsidRPr="002A2716">
              <w:rPr>
                <w:rFonts w:ascii="Arial" w:hAnsi="Arial" w:cs="Arial"/>
                <w:i/>
                <w:iCs/>
                <w:sz w:val="24"/>
                <w:szCs w:val="24"/>
              </w:rPr>
              <w:t>n (%)</w:t>
            </w:r>
          </w:p>
        </w:tc>
        <w:tc>
          <w:tcPr>
            <w:tcW w:w="3005" w:type="dxa"/>
          </w:tcPr>
          <w:p w14:paraId="79EA01E9" w14:textId="3EFE6BC3" w:rsidR="00E76E51" w:rsidRPr="002A2716" w:rsidRDefault="00E76E51" w:rsidP="00A554FC">
            <w:pPr>
              <w:rPr>
                <w:rFonts w:ascii="Arial" w:hAnsi="Arial" w:cs="Arial"/>
                <w:i/>
                <w:iCs/>
                <w:sz w:val="24"/>
                <w:szCs w:val="24"/>
              </w:rPr>
            </w:pPr>
            <w:r w:rsidRPr="002A2716">
              <w:rPr>
                <w:rFonts w:ascii="Arial" w:hAnsi="Arial" w:cs="Arial"/>
                <w:sz w:val="24"/>
                <w:szCs w:val="24"/>
              </w:rPr>
              <w:t xml:space="preserve">44 </w:t>
            </w:r>
            <w:r w:rsidR="004B4D46" w:rsidRPr="002A2716">
              <w:rPr>
                <w:rFonts w:ascii="Arial" w:hAnsi="Arial" w:cs="Arial"/>
                <w:i/>
                <w:iCs/>
                <w:sz w:val="24"/>
                <w:szCs w:val="24"/>
              </w:rPr>
              <w:t>(1.2%)</w:t>
            </w:r>
          </w:p>
        </w:tc>
        <w:tc>
          <w:tcPr>
            <w:tcW w:w="3006" w:type="dxa"/>
          </w:tcPr>
          <w:p w14:paraId="2158387D" w14:textId="6487C351" w:rsidR="00E76E51" w:rsidRPr="002A2716" w:rsidRDefault="00E76E51" w:rsidP="00A554FC">
            <w:pPr>
              <w:rPr>
                <w:rFonts w:ascii="Arial" w:hAnsi="Arial" w:cs="Arial"/>
                <w:i/>
                <w:iCs/>
                <w:sz w:val="24"/>
                <w:szCs w:val="24"/>
              </w:rPr>
            </w:pPr>
            <w:r w:rsidRPr="002A2716">
              <w:rPr>
                <w:rFonts w:ascii="Arial" w:hAnsi="Arial" w:cs="Arial"/>
                <w:sz w:val="24"/>
                <w:szCs w:val="24"/>
              </w:rPr>
              <w:t xml:space="preserve">59 </w:t>
            </w:r>
            <w:r w:rsidR="004B4D46" w:rsidRPr="002A2716">
              <w:rPr>
                <w:rFonts w:ascii="Arial" w:hAnsi="Arial" w:cs="Arial"/>
                <w:i/>
                <w:iCs/>
                <w:sz w:val="24"/>
                <w:szCs w:val="24"/>
              </w:rPr>
              <w:t>(1.68%)</w:t>
            </w:r>
          </w:p>
        </w:tc>
      </w:tr>
    </w:tbl>
    <w:p w14:paraId="3ABA1F69" w14:textId="4D582F09" w:rsidR="00E76E51" w:rsidRPr="00E776F1" w:rsidRDefault="00E76E51" w:rsidP="00E76E51">
      <w:pPr>
        <w:rPr>
          <w:rFonts w:ascii="Arial" w:hAnsi="Arial" w:cs="Arial"/>
          <w:sz w:val="24"/>
          <w:szCs w:val="24"/>
        </w:rPr>
      </w:pPr>
      <w:r>
        <w:rPr>
          <w:rFonts w:ascii="Arial" w:hAnsi="Arial" w:cs="Arial"/>
          <w:sz w:val="24"/>
          <w:szCs w:val="24"/>
        </w:rPr>
        <w:t xml:space="preserve">Table </w:t>
      </w:r>
      <w:r w:rsidR="0049559C">
        <w:rPr>
          <w:rFonts w:ascii="Arial" w:hAnsi="Arial" w:cs="Arial"/>
          <w:sz w:val="24"/>
          <w:szCs w:val="24"/>
        </w:rPr>
        <w:t>2</w:t>
      </w:r>
      <w:r>
        <w:rPr>
          <w:rFonts w:ascii="Arial" w:hAnsi="Arial" w:cs="Arial"/>
          <w:sz w:val="24"/>
          <w:szCs w:val="24"/>
        </w:rPr>
        <w:t>: Patient characteristics</w:t>
      </w:r>
    </w:p>
    <w:p w14:paraId="1153C50E" w14:textId="77777777" w:rsidR="00E76E51" w:rsidRDefault="00E76E51" w:rsidP="00E76E51">
      <w:pPr>
        <w:spacing w:after="0" w:line="360" w:lineRule="auto"/>
        <w:textAlignment w:val="baseline"/>
        <w:rPr>
          <w:rFonts w:ascii="Arial" w:hAnsi="Arial" w:cs="Arial"/>
          <w:sz w:val="24"/>
          <w:szCs w:val="24"/>
        </w:rPr>
      </w:pPr>
    </w:p>
    <w:p w14:paraId="5D73075B" w14:textId="195F3A9A" w:rsidR="007224FC" w:rsidRDefault="007224FC" w:rsidP="007224FC">
      <w:pPr>
        <w:spacing w:after="0" w:line="360" w:lineRule="auto"/>
        <w:textAlignment w:val="baseline"/>
        <w:rPr>
          <w:rFonts w:ascii="Arial" w:eastAsia="Times New Roman" w:hAnsi="Arial" w:cs="Arial"/>
          <w:color w:val="000000"/>
          <w:sz w:val="24"/>
          <w:szCs w:val="24"/>
          <w:lang w:eastAsia="en-GB"/>
        </w:rPr>
      </w:pPr>
      <w:r>
        <w:rPr>
          <w:rFonts w:ascii="Arial" w:hAnsi="Arial" w:cs="Arial"/>
          <w:sz w:val="24"/>
          <w:szCs w:val="24"/>
        </w:rPr>
        <w:t>A</w:t>
      </w:r>
      <w:r w:rsidR="00E76E51">
        <w:rPr>
          <w:rFonts w:ascii="Arial" w:hAnsi="Arial" w:cs="Arial"/>
          <w:sz w:val="24"/>
          <w:szCs w:val="24"/>
        </w:rPr>
        <w:t xml:space="preserve"> two sample t-test </w:t>
      </w:r>
      <w:r>
        <w:rPr>
          <w:rFonts w:ascii="Arial" w:hAnsi="Arial" w:cs="Arial"/>
          <w:sz w:val="24"/>
          <w:szCs w:val="24"/>
        </w:rPr>
        <w:t xml:space="preserve">was </w:t>
      </w:r>
      <w:r w:rsidR="00E76E51">
        <w:rPr>
          <w:rFonts w:ascii="Arial" w:hAnsi="Arial" w:cs="Arial"/>
          <w:sz w:val="24"/>
          <w:szCs w:val="24"/>
        </w:rPr>
        <w:t>performed to compare</w:t>
      </w:r>
      <w:r w:rsidR="00E76E51" w:rsidRPr="00C66B7F">
        <w:rPr>
          <w:rFonts w:ascii="Arial" w:hAnsi="Arial" w:cs="Arial"/>
          <w:sz w:val="24"/>
          <w:szCs w:val="24"/>
        </w:rPr>
        <w:t xml:space="preserve"> the thrombosis rate for </w:t>
      </w:r>
      <w:r w:rsidR="00E76E51">
        <w:rPr>
          <w:rFonts w:ascii="Arial" w:hAnsi="Arial" w:cs="Arial"/>
          <w:sz w:val="24"/>
          <w:szCs w:val="24"/>
        </w:rPr>
        <w:t xml:space="preserve">the two groups (surveillance) and (no surveillance). Equal variances were not assumed as </w:t>
      </w:r>
      <w:proofErr w:type="spellStart"/>
      <w:r w:rsidR="00E76E51">
        <w:rPr>
          <w:rFonts w:ascii="Arial" w:hAnsi="Arial" w:cs="Arial"/>
          <w:sz w:val="24"/>
          <w:szCs w:val="24"/>
        </w:rPr>
        <w:t>Levene’s</w:t>
      </w:r>
      <w:proofErr w:type="spellEnd"/>
      <w:r w:rsidR="00E76E51">
        <w:rPr>
          <w:rFonts w:ascii="Arial" w:hAnsi="Arial" w:cs="Arial"/>
          <w:sz w:val="24"/>
          <w:szCs w:val="24"/>
        </w:rPr>
        <w:t xml:space="preserve"> test for equality of variances produced a </w:t>
      </w:r>
      <w:r w:rsidR="00E76E51">
        <w:rPr>
          <w:rFonts w:ascii="Arial" w:hAnsi="Arial" w:cs="Arial"/>
          <w:i/>
          <w:sz w:val="24"/>
          <w:szCs w:val="24"/>
        </w:rPr>
        <w:t xml:space="preserve">p </w:t>
      </w:r>
      <w:r w:rsidR="00E76E51">
        <w:rPr>
          <w:rFonts w:ascii="Arial" w:hAnsi="Arial" w:cs="Arial"/>
          <w:sz w:val="24"/>
          <w:szCs w:val="24"/>
        </w:rPr>
        <w:t xml:space="preserve">value of &lt;0.001. </w:t>
      </w:r>
      <w:r w:rsidR="00E76E51" w:rsidRPr="00222F64">
        <w:rPr>
          <w:rFonts w:ascii="Arial" w:hAnsi="Arial" w:cs="Arial"/>
          <w:sz w:val="24"/>
          <w:szCs w:val="24"/>
        </w:rPr>
        <w:t>The</w:t>
      </w:r>
      <w:r w:rsidR="00E76E51">
        <w:rPr>
          <w:rFonts w:ascii="Arial" w:hAnsi="Arial" w:cs="Arial"/>
          <w:sz w:val="24"/>
          <w:szCs w:val="24"/>
        </w:rPr>
        <w:t xml:space="preserve"> annual rate of thrombosed access was calculated at 1.20% during surveillance and 1.68% during the period of non-surveillance. </w:t>
      </w:r>
      <w:r w:rsidRPr="00C66B7F">
        <w:rPr>
          <w:rFonts w:ascii="Arial" w:hAnsi="Arial" w:cs="Arial"/>
          <w:sz w:val="24"/>
          <w:szCs w:val="24"/>
        </w:rPr>
        <w:t xml:space="preserve">Figure </w:t>
      </w:r>
      <w:r>
        <w:rPr>
          <w:rFonts w:ascii="Arial" w:hAnsi="Arial" w:cs="Arial"/>
          <w:sz w:val="24"/>
          <w:szCs w:val="24"/>
        </w:rPr>
        <w:t>3</w:t>
      </w:r>
      <w:r w:rsidRPr="00C66B7F">
        <w:rPr>
          <w:rFonts w:ascii="Arial" w:hAnsi="Arial" w:cs="Arial"/>
          <w:sz w:val="24"/>
          <w:szCs w:val="24"/>
        </w:rPr>
        <w:t xml:space="preserve"> presents </w:t>
      </w:r>
      <w:r w:rsidRPr="00C66B7F">
        <w:rPr>
          <w:rFonts w:ascii="Arial" w:eastAsia="Times New Roman" w:hAnsi="Arial" w:cs="Arial"/>
          <w:color w:val="000000"/>
          <w:sz w:val="24"/>
          <w:szCs w:val="24"/>
          <w:lang w:eastAsia="en-GB"/>
        </w:rPr>
        <w:t xml:space="preserve">the independent t-test used to compare the two samples by looking at 'clotted’ against the variable </w:t>
      </w:r>
      <w:r>
        <w:rPr>
          <w:rFonts w:ascii="Arial" w:eastAsia="Times New Roman" w:hAnsi="Arial" w:cs="Arial"/>
          <w:color w:val="000000"/>
          <w:sz w:val="24"/>
          <w:szCs w:val="24"/>
          <w:lang w:eastAsia="en-GB"/>
        </w:rPr>
        <w:t xml:space="preserve">of surveillance/no surveillance. </w:t>
      </w:r>
    </w:p>
    <w:p w14:paraId="55BB6F9E" w14:textId="20EE207A" w:rsidR="00E76E51" w:rsidRPr="00A31307" w:rsidRDefault="00E76E51" w:rsidP="00E76E51">
      <w:pPr>
        <w:spacing w:after="0" w:line="360" w:lineRule="auto"/>
        <w:textAlignment w:val="baseline"/>
        <w:rPr>
          <w:rStyle w:val="normaltextrun"/>
          <w:rFonts w:ascii="Arial" w:hAnsi="Arial" w:cs="Arial"/>
          <w:sz w:val="24"/>
          <w:szCs w:val="24"/>
        </w:rPr>
      </w:pPr>
      <w:r>
        <w:rPr>
          <w:rFonts w:ascii="Arial" w:hAnsi="Arial" w:cs="Arial"/>
          <w:sz w:val="24"/>
          <w:szCs w:val="24"/>
        </w:rPr>
        <w:t xml:space="preserve">There was a significant difference in monthly thrombosis rate between </w:t>
      </w:r>
      <w:r w:rsidRPr="00A31307">
        <w:rPr>
          <w:rFonts w:ascii="Arial" w:hAnsi="Arial" w:cs="Arial"/>
          <w:sz w:val="24"/>
          <w:szCs w:val="24"/>
        </w:rPr>
        <w:t xml:space="preserve">surveillance </w:t>
      </w:r>
      <w:r w:rsidRPr="00A31307">
        <w:rPr>
          <w:rStyle w:val="normaltextrun"/>
          <w:rFonts w:ascii="Arial" w:hAnsi="Arial" w:cs="Arial"/>
          <w:sz w:val="24"/>
          <w:szCs w:val="24"/>
        </w:rPr>
        <w:t>(M= 3.58, 95%Cl 2.19-4.98, SD = 2.193) and non-surveillance (M=4.92, 95% Cl, 3.52-6.31, SD=2.19); t (7148) =2.051, p = 0.038.</w:t>
      </w:r>
      <w:r w:rsidRPr="00C66B7F">
        <w:rPr>
          <w:rStyle w:val="normaltextrun"/>
          <w:rFonts w:ascii="Arial" w:hAnsi="Arial" w:cs="Arial"/>
        </w:rPr>
        <w:t xml:space="preserve">  </w:t>
      </w:r>
      <w:r w:rsidRPr="00A31307">
        <w:rPr>
          <w:rStyle w:val="normaltextrun"/>
          <w:rFonts w:ascii="Arial" w:hAnsi="Arial" w:cs="Arial"/>
          <w:sz w:val="24"/>
          <w:szCs w:val="24"/>
        </w:rPr>
        <w:t>So we can con</w:t>
      </w:r>
      <w:r>
        <w:rPr>
          <w:rStyle w:val="normaltextrun"/>
          <w:rFonts w:ascii="Arial" w:hAnsi="Arial" w:cs="Arial"/>
          <w:sz w:val="24"/>
          <w:szCs w:val="24"/>
        </w:rPr>
        <w:t>clude that there is a statistical significance</w:t>
      </w:r>
      <w:r w:rsidRPr="00A31307">
        <w:rPr>
          <w:rStyle w:val="normaltextrun"/>
          <w:rFonts w:ascii="Arial" w:hAnsi="Arial" w:cs="Arial"/>
          <w:sz w:val="24"/>
          <w:szCs w:val="24"/>
        </w:rPr>
        <w:t xml:space="preserve"> difference between the two samples. </w:t>
      </w:r>
    </w:p>
    <w:p w14:paraId="12B5EFD2" w14:textId="3E58839F" w:rsidR="00E76E51" w:rsidRDefault="00E76E51" w:rsidP="00E76E51">
      <w:pPr>
        <w:spacing w:after="0" w:line="360" w:lineRule="auto"/>
        <w:textAlignment w:val="baseline"/>
        <w:rPr>
          <w:rFonts w:ascii="Arial" w:eastAsia="Times New Roman" w:hAnsi="Arial" w:cs="Arial"/>
          <w:color w:val="000000"/>
          <w:sz w:val="24"/>
          <w:szCs w:val="24"/>
          <w:lang w:eastAsia="en-GB"/>
        </w:rPr>
      </w:pPr>
      <w:r>
        <w:rPr>
          <w:rFonts w:ascii="Arial" w:hAnsi="Arial" w:cs="Arial"/>
          <w:sz w:val="24"/>
          <w:szCs w:val="24"/>
        </w:rPr>
        <w:t xml:space="preserve"> </w:t>
      </w:r>
      <w:r w:rsidRPr="00C66B7F">
        <w:rPr>
          <w:rFonts w:ascii="Arial" w:hAnsi="Arial" w:cs="Arial"/>
          <w:sz w:val="24"/>
          <w:szCs w:val="24"/>
        </w:rPr>
        <w:t xml:space="preserve">Figure </w:t>
      </w:r>
      <w:r w:rsidR="00546C7A">
        <w:rPr>
          <w:rFonts w:ascii="Arial" w:hAnsi="Arial" w:cs="Arial"/>
          <w:sz w:val="24"/>
          <w:szCs w:val="24"/>
        </w:rPr>
        <w:t>2</w:t>
      </w:r>
      <w:r w:rsidRPr="00C66B7F">
        <w:rPr>
          <w:rFonts w:ascii="Arial" w:hAnsi="Arial" w:cs="Arial"/>
          <w:sz w:val="24"/>
          <w:szCs w:val="24"/>
        </w:rPr>
        <w:t xml:space="preserve"> presents these results as a</w:t>
      </w:r>
      <w:r>
        <w:rPr>
          <w:rFonts w:ascii="Arial" w:hAnsi="Arial" w:cs="Arial"/>
          <w:sz w:val="24"/>
          <w:szCs w:val="24"/>
        </w:rPr>
        <w:t xml:space="preserve">n interrupted time series graph. </w:t>
      </w:r>
      <w:r w:rsidRPr="00C66B7F">
        <w:rPr>
          <w:rFonts w:ascii="Arial" w:hAnsi="Arial" w:cs="Arial"/>
          <w:sz w:val="24"/>
          <w:szCs w:val="24"/>
        </w:rPr>
        <w:t>The monthly total of AVF/AVG thrombosed and the number of COVID-19 cases are plotted. It would appear that despite only one positive case of COVID-19 coinciding with access thrombosis in April 2020, there is a correlation between thrombosis and positive cases in months November 2020 and January 2021</w:t>
      </w:r>
      <w:bookmarkStart w:id="2" w:name="_Hlk132194758"/>
      <w:r w:rsidRPr="00C66B7F">
        <w:rPr>
          <w:rFonts w:ascii="Arial" w:hAnsi="Arial" w:cs="Arial"/>
          <w:sz w:val="24"/>
          <w:szCs w:val="24"/>
        </w:rPr>
        <w:t xml:space="preserve">. </w:t>
      </w:r>
    </w:p>
    <w:bookmarkEnd w:id="2"/>
    <w:p w14:paraId="68BE0296" w14:textId="77777777" w:rsidR="00E76E51" w:rsidRDefault="00E76E51" w:rsidP="00E76E51">
      <w:pPr>
        <w:spacing w:after="0" w:line="360" w:lineRule="auto"/>
        <w:textAlignment w:val="baseline"/>
        <w:rPr>
          <w:rFonts w:ascii="Arial" w:hAnsi="Arial" w:cs="Arial"/>
          <w:sz w:val="24"/>
          <w:szCs w:val="24"/>
        </w:rPr>
      </w:pPr>
    </w:p>
    <w:p w14:paraId="5C761047" w14:textId="77777777" w:rsidR="00E76E51" w:rsidRDefault="00E76E51" w:rsidP="00E76E51">
      <w:pPr>
        <w:spacing w:after="0" w:line="360" w:lineRule="auto"/>
        <w:textAlignment w:val="baseline"/>
        <w:rPr>
          <w:rFonts w:ascii="Arial" w:hAnsi="Arial" w:cs="Arial"/>
          <w:sz w:val="24"/>
          <w:szCs w:val="24"/>
        </w:rPr>
      </w:pPr>
    </w:p>
    <w:p w14:paraId="385B6130" w14:textId="77777777" w:rsidR="00E76E51" w:rsidRPr="00947A65" w:rsidRDefault="00E76E51" w:rsidP="00E76E51">
      <w:pPr>
        <w:rPr>
          <w:b/>
        </w:rPr>
      </w:pPr>
      <w:r>
        <w:rPr>
          <w:noProof/>
          <w:lang w:eastAsia="en-GB"/>
        </w:rPr>
        <w:drawing>
          <wp:inline distT="0" distB="0" distL="0" distR="0" wp14:anchorId="17CFFC4B" wp14:editId="210E8258">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4AC4FC5" w14:textId="7F260E92" w:rsidR="00E76E51" w:rsidRPr="008D3278" w:rsidRDefault="00E76E51" w:rsidP="00E76E51">
      <w:r>
        <w:t xml:space="preserve">  </w:t>
      </w:r>
      <w:r w:rsidRPr="0086571A">
        <w:rPr>
          <w:rFonts w:ascii="Arial" w:hAnsi="Arial" w:cs="Arial"/>
          <w:sz w:val="24"/>
          <w:szCs w:val="24"/>
        </w:rPr>
        <w:t xml:space="preserve">Figure </w:t>
      </w:r>
      <w:r w:rsidR="00546C7A">
        <w:rPr>
          <w:rFonts w:ascii="Arial" w:hAnsi="Arial" w:cs="Arial"/>
          <w:sz w:val="24"/>
          <w:szCs w:val="24"/>
        </w:rPr>
        <w:t>2</w:t>
      </w:r>
      <w:r>
        <w:rPr>
          <w:rFonts w:ascii="Arial" w:hAnsi="Arial" w:cs="Arial"/>
          <w:sz w:val="24"/>
          <w:szCs w:val="24"/>
        </w:rPr>
        <w:t>:</w:t>
      </w:r>
      <w:r w:rsidRPr="0086571A">
        <w:rPr>
          <w:rFonts w:ascii="Arial" w:hAnsi="Arial" w:cs="Arial"/>
          <w:sz w:val="24"/>
          <w:szCs w:val="24"/>
        </w:rPr>
        <w:t xml:space="preserve"> An Interrupted time series design showing an increase in clotting and COVID-19 at time of intervention (with-drawl o</w:t>
      </w:r>
      <w:r>
        <w:rPr>
          <w:rFonts w:ascii="Arial" w:hAnsi="Arial" w:cs="Arial"/>
          <w:sz w:val="24"/>
          <w:szCs w:val="24"/>
        </w:rPr>
        <w:t>f surveillance) from April 2020-March 2021</w:t>
      </w:r>
    </w:p>
    <w:p w14:paraId="017D1089" w14:textId="77777777" w:rsidR="00E76E51" w:rsidRPr="004C53C3" w:rsidRDefault="00E76E51" w:rsidP="00E76E51">
      <w:pPr>
        <w:spacing w:after="0" w:line="240" w:lineRule="auto"/>
        <w:textAlignment w:val="baseline"/>
        <w:rPr>
          <w:rFonts w:ascii="Calibri" w:eastAsia="Times New Roman" w:hAnsi="Calibri" w:cs="Calibri"/>
          <w:color w:val="000000"/>
          <w:sz w:val="24"/>
          <w:szCs w:val="24"/>
          <w:lang w:eastAsia="en-GB"/>
        </w:rPr>
      </w:pPr>
    </w:p>
    <w:p w14:paraId="35F014B0" w14:textId="77777777" w:rsidR="00E76E51" w:rsidRPr="004C53C3" w:rsidRDefault="00E76E51" w:rsidP="00E76E51">
      <w:p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noProof/>
          <w:color w:val="000000"/>
          <w:sz w:val="24"/>
          <w:szCs w:val="24"/>
          <w:lang w:eastAsia="en-GB"/>
        </w:rPr>
        <w:drawing>
          <wp:inline distT="0" distB="0" distL="0" distR="0" wp14:anchorId="44AB2D2E" wp14:editId="75F114ED">
            <wp:extent cx="5731510" cy="91630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png"/>
                    <pic:cNvPicPr/>
                  </pic:nvPicPr>
                  <pic:blipFill>
                    <a:blip r:embed="rId8">
                      <a:extLst>
                        <a:ext uri="{28A0092B-C50C-407E-A947-70E740481C1C}">
                          <a14:useLocalDpi xmlns:a14="http://schemas.microsoft.com/office/drawing/2010/main" val="0"/>
                        </a:ext>
                      </a:extLst>
                    </a:blip>
                    <a:stretch>
                      <a:fillRect/>
                    </a:stretch>
                  </pic:blipFill>
                  <pic:spPr>
                    <a:xfrm>
                      <a:off x="0" y="0"/>
                      <a:ext cx="5731510" cy="916305"/>
                    </a:xfrm>
                    <a:prstGeom prst="rect">
                      <a:avLst/>
                    </a:prstGeom>
                  </pic:spPr>
                </pic:pic>
              </a:graphicData>
            </a:graphic>
          </wp:inline>
        </w:drawing>
      </w:r>
    </w:p>
    <w:p w14:paraId="56567143" w14:textId="04BD877F" w:rsidR="00E76E51" w:rsidRPr="00AF7645" w:rsidRDefault="00E76E51" w:rsidP="00E76E51">
      <w:pPr>
        <w:spacing w:after="0" w:line="240" w:lineRule="auto"/>
        <w:textAlignment w:val="baseline"/>
        <w:rPr>
          <w:rFonts w:ascii="Arial" w:eastAsia="Times New Roman" w:hAnsi="Arial" w:cs="Arial"/>
          <w:color w:val="000000"/>
          <w:sz w:val="24"/>
          <w:szCs w:val="24"/>
          <w:lang w:eastAsia="en-GB"/>
        </w:rPr>
      </w:pPr>
      <w:r w:rsidRPr="00AF7645">
        <w:rPr>
          <w:rFonts w:ascii="Arial" w:eastAsia="Times New Roman" w:hAnsi="Arial" w:cs="Arial"/>
          <w:color w:val="000000"/>
          <w:sz w:val="24"/>
          <w:szCs w:val="24"/>
          <w:lang w:eastAsia="en-GB"/>
        </w:rPr>
        <w:t xml:space="preserve">Figure </w:t>
      </w:r>
      <w:r w:rsidR="00546C7A">
        <w:rPr>
          <w:rFonts w:ascii="Arial" w:eastAsia="Times New Roman" w:hAnsi="Arial" w:cs="Arial"/>
          <w:color w:val="000000"/>
          <w:sz w:val="24"/>
          <w:szCs w:val="24"/>
          <w:lang w:eastAsia="en-GB"/>
        </w:rPr>
        <w:t>3</w:t>
      </w:r>
      <w:r w:rsidRPr="00AF7645">
        <w:rPr>
          <w:rFonts w:ascii="Arial" w:eastAsia="Times New Roman" w:hAnsi="Arial" w:cs="Arial"/>
          <w:color w:val="000000"/>
          <w:sz w:val="24"/>
          <w:szCs w:val="24"/>
          <w:lang w:eastAsia="en-GB"/>
        </w:rPr>
        <w:t>: Independent t-test assessing clotted variable against surveillance/no surveillance.</w:t>
      </w:r>
    </w:p>
    <w:p w14:paraId="4D440E07" w14:textId="77777777" w:rsidR="00E76E51" w:rsidRDefault="00E76E51" w:rsidP="00E76E51">
      <w:pPr>
        <w:spacing w:after="0" w:line="360" w:lineRule="auto"/>
        <w:textAlignment w:val="baseline"/>
        <w:rPr>
          <w:rFonts w:ascii="Arial" w:eastAsia="Times New Roman" w:hAnsi="Arial" w:cs="Arial"/>
          <w:color w:val="000000"/>
          <w:sz w:val="24"/>
          <w:szCs w:val="24"/>
          <w:lang w:eastAsia="en-GB"/>
        </w:rPr>
      </w:pPr>
    </w:p>
    <w:p w14:paraId="46DAF198" w14:textId="77777777" w:rsidR="00E76E51" w:rsidRPr="00C66B7F" w:rsidRDefault="00E76E51" w:rsidP="00E76E51">
      <w:pPr>
        <w:spacing w:after="0" w:line="360" w:lineRule="auto"/>
        <w:textAlignment w:val="baseline"/>
        <w:rPr>
          <w:rFonts w:ascii="Arial" w:eastAsia="Times New Roman" w:hAnsi="Arial" w:cs="Arial"/>
          <w:color w:val="000000"/>
          <w:sz w:val="24"/>
          <w:szCs w:val="24"/>
          <w:lang w:eastAsia="en-GB"/>
        </w:rPr>
      </w:pPr>
    </w:p>
    <w:p w14:paraId="58731FE5" w14:textId="77777777" w:rsidR="00E76E51" w:rsidRPr="00C66B7F" w:rsidRDefault="00E76E51" w:rsidP="00E76E51">
      <w:pPr>
        <w:spacing w:after="0" w:line="360" w:lineRule="auto"/>
        <w:textAlignment w:val="baseline"/>
        <w:rPr>
          <w:rFonts w:ascii="Arial" w:eastAsia="Times New Roman" w:hAnsi="Arial" w:cs="Arial"/>
          <w:color w:val="000000"/>
          <w:sz w:val="24"/>
          <w:szCs w:val="24"/>
          <w:lang w:eastAsia="en-GB"/>
        </w:rPr>
      </w:pPr>
      <w:r w:rsidRPr="00C66B7F">
        <w:rPr>
          <w:rFonts w:ascii="Arial" w:eastAsia="Times New Roman" w:hAnsi="Arial" w:cs="Arial"/>
          <w:color w:val="000000"/>
          <w:sz w:val="24"/>
          <w:szCs w:val="24"/>
          <w:lang w:eastAsia="en-GB"/>
        </w:rPr>
        <w:t xml:space="preserve"> </w:t>
      </w:r>
    </w:p>
    <w:p w14:paraId="539B7F90" w14:textId="77777777" w:rsidR="00E76E51" w:rsidRPr="00C66B7F" w:rsidRDefault="00E76E51" w:rsidP="00E76E51">
      <w:pPr>
        <w:tabs>
          <w:tab w:val="left" w:pos="1608"/>
        </w:tabs>
        <w:spacing w:line="360" w:lineRule="auto"/>
        <w:rPr>
          <w:rFonts w:ascii="Arial" w:hAnsi="Arial" w:cs="Arial"/>
          <w:sz w:val="24"/>
          <w:szCs w:val="24"/>
        </w:rPr>
      </w:pPr>
      <w:r w:rsidRPr="00C66B7F">
        <w:rPr>
          <w:rFonts w:ascii="Arial" w:hAnsi="Arial" w:cs="Arial"/>
          <w:b/>
          <w:sz w:val="24"/>
          <w:szCs w:val="24"/>
        </w:rPr>
        <w:t>Discussion</w:t>
      </w:r>
      <w:r w:rsidRPr="00C66B7F">
        <w:rPr>
          <w:rFonts w:ascii="Arial" w:hAnsi="Arial" w:cs="Arial"/>
          <w:sz w:val="24"/>
          <w:szCs w:val="24"/>
        </w:rPr>
        <w:t xml:space="preserve"> </w:t>
      </w:r>
    </w:p>
    <w:p w14:paraId="0F799C52" w14:textId="0BD72E8C" w:rsidR="00E76E51" w:rsidRPr="00965C02" w:rsidRDefault="00965C02" w:rsidP="00965C02">
      <w:pPr>
        <w:pStyle w:val="PlainText"/>
        <w:spacing w:line="360" w:lineRule="auto"/>
        <w:rPr>
          <w:color w:val="FF0000"/>
        </w:rPr>
      </w:pPr>
      <w:r w:rsidRPr="002A2716">
        <w:rPr>
          <w:rFonts w:ascii="Arial" w:hAnsi="Arial" w:cs="Arial"/>
          <w:sz w:val="24"/>
          <w:szCs w:val="24"/>
        </w:rPr>
        <w:t>This study showed a rise in thrombosis rate when a surveillance programme is suspended. Further research is needed to unpick whether this association was driven by service changes, COVID-19 or other factors during the pandemic.</w:t>
      </w:r>
      <w:r w:rsidRPr="002A2716">
        <w:t xml:space="preserve"> </w:t>
      </w:r>
      <w:r w:rsidR="00E76E51" w:rsidRPr="002A2716">
        <w:rPr>
          <w:rFonts w:ascii="Arial" w:hAnsi="Arial" w:cs="Arial"/>
          <w:sz w:val="24"/>
          <w:szCs w:val="24"/>
        </w:rPr>
        <w:t>Current literature supports other factors such as diabetes, smoking and pre-dialysis hypotension as other factors influencing thrombosis.</w:t>
      </w:r>
      <w:r w:rsidR="00E76E51" w:rsidRPr="002A2716">
        <w:rPr>
          <w:rFonts w:ascii="Arial" w:hAnsi="Arial" w:cs="Arial"/>
          <w:sz w:val="24"/>
          <w:szCs w:val="24"/>
          <w:vertAlign w:val="superscript"/>
        </w:rPr>
        <w:t>5</w:t>
      </w:r>
      <w:r w:rsidR="00E76E51" w:rsidRPr="002A2716">
        <w:rPr>
          <w:rFonts w:ascii="Arial" w:hAnsi="Arial" w:cs="Arial"/>
          <w:sz w:val="24"/>
          <w:szCs w:val="24"/>
        </w:rPr>
        <w:t xml:space="preserve"> It is important to bear in mind that other risks to access patency were not </w:t>
      </w:r>
      <w:proofErr w:type="gramStart"/>
      <w:r w:rsidR="00E76E51" w:rsidRPr="002A2716">
        <w:rPr>
          <w:rFonts w:ascii="Arial" w:hAnsi="Arial" w:cs="Arial"/>
          <w:sz w:val="24"/>
          <w:szCs w:val="24"/>
        </w:rPr>
        <w:t>taken into account</w:t>
      </w:r>
      <w:proofErr w:type="gramEnd"/>
      <w:r w:rsidR="00E76E51" w:rsidRPr="002A2716">
        <w:rPr>
          <w:rFonts w:ascii="Arial" w:hAnsi="Arial" w:cs="Arial"/>
          <w:sz w:val="24"/>
          <w:szCs w:val="24"/>
        </w:rPr>
        <w:t xml:space="preserve"> when assessing confounding variables and the long term effect of COVID-</w:t>
      </w:r>
      <w:r w:rsidR="00E76E51" w:rsidRPr="00C66B7F">
        <w:rPr>
          <w:rFonts w:ascii="Arial" w:hAnsi="Arial" w:cs="Arial"/>
          <w:sz w:val="24"/>
          <w:szCs w:val="24"/>
        </w:rPr>
        <w:t xml:space="preserve">19 on arterial and venous </w:t>
      </w:r>
      <w:r w:rsidR="00E76E51" w:rsidRPr="00C66B7F">
        <w:rPr>
          <w:rFonts w:ascii="Arial" w:hAnsi="Arial" w:cs="Arial"/>
          <w:sz w:val="24"/>
          <w:szCs w:val="24"/>
        </w:rPr>
        <w:lastRenderedPageBreak/>
        <w:t>thrombosis remains unanswered. The increase in COVID-19 cases during higher rates of thrombosis would suggest a correlation however to unpick this would require a multi-centre study involving a larger sample size and the results there for need to be interpreted with caution.</w:t>
      </w:r>
    </w:p>
    <w:p w14:paraId="476EA392" w14:textId="77777777" w:rsidR="00E76E51" w:rsidRDefault="00E76E51" w:rsidP="00E76E51">
      <w:pPr>
        <w:spacing w:line="360" w:lineRule="auto"/>
        <w:rPr>
          <w:rFonts w:ascii="Arial" w:hAnsi="Arial" w:cs="Arial"/>
          <w:sz w:val="24"/>
          <w:szCs w:val="24"/>
        </w:rPr>
      </w:pPr>
      <w:r w:rsidRPr="00C66B7F">
        <w:rPr>
          <w:rFonts w:ascii="Arial" w:hAnsi="Arial" w:cs="Arial"/>
          <w:sz w:val="24"/>
          <w:szCs w:val="24"/>
        </w:rPr>
        <w:t>It has been mentioned in a previous study about the treatment burden that patients with chronic kidney disease endure and how an increased awareness and understanding of the overall burden by health care teams is warranted.</w:t>
      </w:r>
      <w:r w:rsidRPr="00C66B7F">
        <w:rPr>
          <w:rFonts w:ascii="Arial" w:hAnsi="Arial" w:cs="Arial"/>
          <w:sz w:val="24"/>
          <w:szCs w:val="24"/>
          <w:vertAlign w:val="superscript"/>
        </w:rPr>
        <w:t>19</w:t>
      </w:r>
      <w:r w:rsidRPr="00C66B7F">
        <w:rPr>
          <w:rFonts w:ascii="Arial" w:hAnsi="Arial" w:cs="Arial"/>
          <w:sz w:val="24"/>
          <w:szCs w:val="24"/>
        </w:rPr>
        <w:t xml:space="preserve"> Ultrasound surveillance is deemed to have a significant effect</w:t>
      </w:r>
      <w:r>
        <w:rPr>
          <w:rFonts w:ascii="Arial" w:hAnsi="Arial" w:cs="Arial"/>
          <w:sz w:val="24"/>
          <w:szCs w:val="24"/>
        </w:rPr>
        <w:t xml:space="preserve"> on the access thrombosis rate, however</w:t>
      </w:r>
      <w:r w:rsidRPr="00C66B7F">
        <w:rPr>
          <w:rFonts w:ascii="Arial" w:hAnsi="Arial" w:cs="Arial"/>
          <w:sz w:val="24"/>
          <w:szCs w:val="24"/>
        </w:rPr>
        <w:t xml:space="preserve"> any </w:t>
      </w:r>
      <w:r>
        <w:rPr>
          <w:rFonts w:ascii="Arial" w:hAnsi="Arial" w:cs="Arial"/>
          <w:sz w:val="24"/>
          <w:szCs w:val="24"/>
        </w:rPr>
        <w:t xml:space="preserve">reintroduction or </w:t>
      </w:r>
      <w:r w:rsidRPr="00C66B7F">
        <w:rPr>
          <w:rFonts w:ascii="Arial" w:hAnsi="Arial" w:cs="Arial"/>
          <w:sz w:val="24"/>
          <w:szCs w:val="24"/>
        </w:rPr>
        <w:t xml:space="preserve">improvement to the service should </w:t>
      </w:r>
      <w:proofErr w:type="gramStart"/>
      <w:r w:rsidRPr="00C66B7F">
        <w:rPr>
          <w:rFonts w:ascii="Arial" w:hAnsi="Arial" w:cs="Arial"/>
          <w:sz w:val="24"/>
          <w:szCs w:val="24"/>
        </w:rPr>
        <w:t>take into account</w:t>
      </w:r>
      <w:proofErr w:type="gramEnd"/>
      <w:r w:rsidRPr="00C66B7F">
        <w:rPr>
          <w:rFonts w:ascii="Arial" w:hAnsi="Arial" w:cs="Arial"/>
          <w:sz w:val="24"/>
          <w:szCs w:val="24"/>
        </w:rPr>
        <w:t xml:space="preserve"> patient perspective and qu</w:t>
      </w:r>
      <w:r>
        <w:rPr>
          <w:rFonts w:ascii="Arial" w:hAnsi="Arial" w:cs="Arial"/>
          <w:sz w:val="24"/>
          <w:szCs w:val="24"/>
        </w:rPr>
        <w:t>ality of life.</w:t>
      </w:r>
    </w:p>
    <w:p w14:paraId="7A85F133" w14:textId="77777777" w:rsidR="00E76E51" w:rsidRPr="00C66B7F" w:rsidRDefault="00E76E51" w:rsidP="00E76E51">
      <w:pPr>
        <w:spacing w:line="360" w:lineRule="auto"/>
        <w:rPr>
          <w:rFonts w:ascii="Arial" w:hAnsi="Arial" w:cs="Arial"/>
          <w:sz w:val="24"/>
          <w:szCs w:val="24"/>
        </w:rPr>
      </w:pPr>
      <w:r w:rsidRPr="00C66B7F">
        <w:rPr>
          <w:rFonts w:ascii="Arial" w:hAnsi="Arial" w:cs="Arial"/>
          <w:sz w:val="24"/>
          <w:szCs w:val="24"/>
        </w:rPr>
        <w:t xml:space="preserve"> Ongoing suggestions from patients regarding closer to home access clinics encouraged the team to establishing regular satellite ward rounds with outreach vascular access surgeon and nurse clinics combined. This has brought the service to the patient catchment area preventing non-dialysis day clinic appointments and reducing patient treatment burden. Since completion of this study at portable ultrasound scanner has been purchased to provide surveillance at the satellite units. </w:t>
      </w:r>
    </w:p>
    <w:p w14:paraId="7F833792" w14:textId="77777777" w:rsidR="00E76E51" w:rsidRPr="00C66B7F" w:rsidRDefault="00E76E51" w:rsidP="00E76E51">
      <w:pPr>
        <w:spacing w:line="360" w:lineRule="auto"/>
        <w:rPr>
          <w:rFonts w:ascii="Arial" w:hAnsi="Arial" w:cs="Arial"/>
          <w:sz w:val="24"/>
          <w:szCs w:val="24"/>
          <w:vertAlign w:val="superscript"/>
        </w:rPr>
      </w:pPr>
      <w:r w:rsidRPr="00C66B7F">
        <w:rPr>
          <w:rFonts w:ascii="Arial" w:hAnsi="Arial" w:cs="Arial"/>
          <w:sz w:val="24"/>
          <w:szCs w:val="24"/>
        </w:rPr>
        <w:t>While no working environment will ever be the same and life has changed so much for everyone, there is now a certain sense of getting back to business bringing with it further challenge and change that for vascular access will hopefully be for the best.</w:t>
      </w:r>
      <w:r w:rsidRPr="00C66B7F">
        <w:rPr>
          <w:rFonts w:ascii="Arial" w:hAnsi="Arial" w:cs="Arial"/>
          <w:sz w:val="24"/>
          <w:szCs w:val="24"/>
          <w:vertAlign w:val="superscript"/>
        </w:rPr>
        <w:t>3</w:t>
      </w:r>
    </w:p>
    <w:p w14:paraId="67F7DA97" w14:textId="77777777" w:rsidR="00E76E51" w:rsidRPr="00C66B7F" w:rsidRDefault="00E76E51" w:rsidP="00E76E51">
      <w:pPr>
        <w:spacing w:line="360" w:lineRule="auto"/>
        <w:rPr>
          <w:rFonts w:ascii="Arial" w:hAnsi="Arial" w:cs="Arial"/>
          <w:sz w:val="24"/>
          <w:szCs w:val="24"/>
        </w:rPr>
      </w:pPr>
    </w:p>
    <w:p w14:paraId="2A89CB1E" w14:textId="77777777" w:rsidR="00E76E51" w:rsidRDefault="00E76E51" w:rsidP="00E76E51">
      <w:pPr>
        <w:spacing w:line="360" w:lineRule="auto"/>
        <w:rPr>
          <w:rFonts w:ascii="Arial" w:hAnsi="Arial" w:cs="Arial"/>
          <w:b/>
          <w:sz w:val="24"/>
          <w:szCs w:val="24"/>
        </w:rPr>
      </w:pPr>
      <w:r w:rsidRPr="00C66B7F">
        <w:rPr>
          <w:rFonts w:ascii="Arial" w:hAnsi="Arial" w:cs="Arial"/>
          <w:b/>
          <w:sz w:val="24"/>
          <w:szCs w:val="24"/>
        </w:rPr>
        <w:t>Acknowledgements</w:t>
      </w:r>
    </w:p>
    <w:p w14:paraId="034205D5" w14:textId="77777777" w:rsidR="00E76E51" w:rsidRPr="007D6C52" w:rsidRDefault="00E76E51" w:rsidP="00E76E51">
      <w:pPr>
        <w:spacing w:line="360" w:lineRule="auto"/>
        <w:rPr>
          <w:rFonts w:ascii="Arial" w:hAnsi="Arial" w:cs="Arial"/>
          <w:sz w:val="24"/>
          <w:szCs w:val="24"/>
        </w:rPr>
      </w:pPr>
      <w:r>
        <w:rPr>
          <w:rFonts w:ascii="Arial" w:hAnsi="Arial" w:cs="Arial"/>
          <w:sz w:val="24"/>
          <w:szCs w:val="24"/>
        </w:rPr>
        <w:t>For their continuous advice and support the author would like to thank Dr Rommel Ravanan, Consultant Nephrologist and Dr Graham Collin, Consultant Interventional Radiologist.</w:t>
      </w:r>
    </w:p>
    <w:p w14:paraId="16E67E3E" w14:textId="77777777" w:rsidR="00E76E51" w:rsidRPr="00C66B7F" w:rsidRDefault="00E76E51" w:rsidP="00E76E51">
      <w:pPr>
        <w:spacing w:line="360" w:lineRule="auto"/>
        <w:rPr>
          <w:rFonts w:ascii="Arial" w:hAnsi="Arial" w:cs="Arial"/>
          <w:sz w:val="24"/>
          <w:szCs w:val="24"/>
        </w:rPr>
      </w:pPr>
    </w:p>
    <w:p w14:paraId="2385DD67" w14:textId="77777777" w:rsidR="00E76E51" w:rsidRPr="00C66B7F" w:rsidRDefault="00E76E51" w:rsidP="00E76E51">
      <w:pPr>
        <w:spacing w:line="360" w:lineRule="auto"/>
        <w:rPr>
          <w:rFonts w:ascii="Arial" w:hAnsi="Arial" w:cs="Arial"/>
          <w:b/>
          <w:sz w:val="24"/>
          <w:szCs w:val="24"/>
        </w:rPr>
      </w:pPr>
      <w:r w:rsidRPr="00C66B7F">
        <w:rPr>
          <w:rFonts w:ascii="Arial" w:hAnsi="Arial" w:cs="Arial"/>
          <w:b/>
          <w:sz w:val="24"/>
          <w:szCs w:val="24"/>
        </w:rPr>
        <w:t>Disclosure</w:t>
      </w:r>
    </w:p>
    <w:p w14:paraId="618B90D5" w14:textId="0E6DB3F8" w:rsidR="00E76E51" w:rsidRDefault="00E76E51" w:rsidP="00E76E51">
      <w:pPr>
        <w:spacing w:line="360" w:lineRule="auto"/>
        <w:rPr>
          <w:rFonts w:ascii="Arial" w:hAnsi="Arial" w:cs="Arial"/>
          <w:color w:val="201F1E"/>
          <w:sz w:val="24"/>
          <w:szCs w:val="24"/>
          <w:shd w:val="clear" w:color="auto" w:fill="FFFFFF"/>
        </w:rPr>
      </w:pPr>
      <w:r w:rsidRPr="00C66B7F">
        <w:rPr>
          <w:rFonts w:ascii="Arial" w:hAnsi="Arial" w:cs="Arial"/>
          <w:color w:val="201F1E"/>
          <w:sz w:val="24"/>
          <w:szCs w:val="24"/>
          <w:shd w:val="clear" w:color="auto" w:fill="FFFFFF"/>
        </w:rPr>
        <w:t xml:space="preserve">This study used anonymised retrospective patient data collected from hospital clinical core IT systems that are used in routine patient care. The hospital research and development department confirmed this was a service evaluation and thus full NHS ethics committee approval was not required. Ethical approval was deemed not </w:t>
      </w:r>
      <w:r w:rsidRPr="00C66B7F">
        <w:rPr>
          <w:rFonts w:ascii="Arial" w:hAnsi="Arial" w:cs="Arial"/>
          <w:color w:val="201F1E"/>
          <w:sz w:val="24"/>
          <w:szCs w:val="24"/>
          <w:shd w:val="clear" w:color="auto" w:fill="FFFFFF"/>
        </w:rPr>
        <w:lastRenderedPageBreak/>
        <w:t>required from the faculty of the University of the West of England. A Clinical Effectiveness Project was registered with the quality improvement team at the TRUST and accepted with the reference number: CE48353. No Financial support was given to the author.</w:t>
      </w:r>
    </w:p>
    <w:p w14:paraId="219DEBC4" w14:textId="426A7A4C" w:rsidR="00AC2A06" w:rsidRDefault="00AC2A06" w:rsidP="00E76E51">
      <w:pPr>
        <w:spacing w:line="360" w:lineRule="auto"/>
        <w:rPr>
          <w:rFonts w:ascii="Arial" w:hAnsi="Arial" w:cs="Arial"/>
          <w:color w:val="201F1E"/>
          <w:sz w:val="24"/>
          <w:szCs w:val="24"/>
          <w:shd w:val="clear" w:color="auto" w:fill="FFFFFF"/>
        </w:rPr>
      </w:pPr>
    </w:p>
    <w:p w14:paraId="09E28304" w14:textId="51C8D5EB" w:rsidR="00AC2A06" w:rsidRDefault="00AC2A06" w:rsidP="00E76E51">
      <w:pPr>
        <w:spacing w:line="360" w:lineRule="auto"/>
        <w:rPr>
          <w:rFonts w:ascii="Arial" w:hAnsi="Arial" w:cs="Arial"/>
          <w:color w:val="201F1E"/>
          <w:sz w:val="24"/>
          <w:szCs w:val="24"/>
          <w:shd w:val="clear" w:color="auto" w:fill="FFFFFF"/>
        </w:rPr>
      </w:pPr>
    </w:p>
    <w:p w14:paraId="20C36B52" w14:textId="77777777" w:rsidR="00AC2A06" w:rsidRDefault="00AC2A06" w:rsidP="00E76E51">
      <w:pPr>
        <w:spacing w:line="360" w:lineRule="auto"/>
        <w:rPr>
          <w:rFonts w:ascii="Arial" w:hAnsi="Arial" w:cs="Arial"/>
          <w:color w:val="201F1E"/>
          <w:sz w:val="24"/>
          <w:szCs w:val="24"/>
          <w:shd w:val="clear" w:color="auto" w:fill="FFFFFF"/>
        </w:rPr>
      </w:pPr>
    </w:p>
    <w:p w14:paraId="4240221B" w14:textId="77777777" w:rsidR="00E76E51" w:rsidRDefault="00E76E51" w:rsidP="00E76E51">
      <w:pPr>
        <w:spacing w:line="360" w:lineRule="auto"/>
        <w:rPr>
          <w:rFonts w:ascii="Arial" w:hAnsi="Arial" w:cs="Arial"/>
          <w:color w:val="201F1E"/>
          <w:sz w:val="24"/>
          <w:szCs w:val="24"/>
          <w:shd w:val="clear" w:color="auto" w:fill="FFFFFF"/>
        </w:rPr>
      </w:pPr>
    </w:p>
    <w:p w14:paraId="316940C6" w14:textId="1F6ACEA9" w:rsidR="00E76E51" w:rsidRDefault="00E76E51" w:rsidP="00E76E51">
      <w:pPr>
        <w:spacing w:line="360" w:lineRule="auto"/>
        <w:rPr>
          <w:rFonts w:ascii="Arial" w:hAnsi="Arial" w:cs="Arial"/>
          <w:color w:val="201F1E"/>
          <w:sz w:val="24"/>
          <w:szCs w:val="24"/>
          <w:shd w:val="clear" w:color="auto" w:fill="FFFFFF"/>
        </w:rPr>
      </w:pPr>
    </w:p>
    <w:p w14:paraId="5F86E3FD" w14:textId="54E53C66" w:rsidR="00AE3757" w:rsidRDefault="00AE3757" w:rsidP="00E76E51">
      <w:pPr>
        <w:spacing w:line="360" w:lineRule="auto"/>
        <w:rPr>
          <w:rFonts w:ascii="Arial" w:hAnsi="Arial" w:cs="Arial"/>
          <w:color w:val="201F1E"/>
          <w:sz w:val="24"/>
          <w:szCs w:val="24"/>
          <w:shd w:val="clear" w:color="auto" w:fill="FFFFFF"/>
        </w:rPr>
      </w:pPr>
    </w:p>
    <w:p w14:paraId="794AE693" w14:textId="497C8738" w:rsidR="00AE3757" w:rsidRDefault="00AE3757" w:rsidP="00E76E51">
      <w:pPr>
        <w:spacing w:line="360" w:lineRule="auto"/>
        <w:rPr>
          <w:rFonts w:ascii="Arial" w:hAnsi="Arial" w:cs="Arial"/>
          <w:color w:val="201F1E"/>
          <w:sz w:val="24"/>
          <w:szCs w:val="24"/>
          <w:shd w:val="clear" w:color="auto" w:fill="FFFFFF"/>
        </w:rPr>
      </w:pPr>
    </w:p>
    <w:p w14:paraId="495C45E3" w14:textId="73F1E76F" w:rsidR="00AE3757" w:rsidRDefault="00AE3757" w:rsidP="00E76E51">
      <w:pPr>
        <w:spacing w:line="360" w:lineRule="auto"/>
        <w:rPr>
          <w:rFonts w:ascii="Arial" w:hAnsi="Arial" w:cs="Arial"/>
          <w:color w:val="201F1E"/>
          <w:sz w:val="24"/>
          <w:szCs w:val="24"/>
          <w:shd w:val="clear" w:color="auto" w:fill="FFFFFF"/>
        </w:rPr>
      </w:pPr>
    </w:p>
    <w:p w14:paraId="22488297" w14:textId="52C698AC" w:rsidR="00AE3757" w:rsidRDefault="00AE3757" w:rsidP="00E76E51">
      <w:pPr>
        <w:spacing w:line="360" w:lineRule="auto"/>
        <w:rPr>
          <w:rFonts w:ascii="Arial" w:hAnsi="Arial" w:cs="Arial"/>
          <w:color w:val="201F1E"/>
          <w:sz w:val="24"/>
          <w:szCs w:val="24"/>
          <w:shd w:val="clear" w:color="auto" w:fill="FFFFFF"/>
        </w:rPr>
      </w:pPr>
    </w:p>
    <w:p w14:paraId="27DBD2B5" w14:textId="372F2386" w:rsidR="00AE3757" w:rsidRDefault="00AE3757" w:rsidP="00E76E51">
      <w:pPr>
        <w:spacing w:line="360" w:lineRule="auto"/>
        <w:rPr>
          <w:rFonts w:ascii="Arial" w:hAnsi="Arial" w:cs="Arial"/>
          <w:color w:val="201F1E"/>
          <w:sz w:val="24"/>
          <w:szCs w:val="24"/>
          <w:shd w:val="clear" w:color="auto" w:fill="FFFFFF"/>
        </w:rPr>
      </w:pPr>
    </w:p>
    <w:p w14:paraId="2672A73E" w14:textId="1786CE04" w:rsidR="00AE3757" w:rsidRDefault="00AE3757" w:rsidP="00E76E51">
      <w:pPr>
        <w:spacing w:line="360" w:lineRule="auto"/>
        <w:rPr>
          <w:rFonts w:ascii="Arial" w:hAnsi="Arial" w:cs="Arial"/>
          <w:color w:val="201F1E"/>
          <w:sz w:val="24"/>
          <w:szCs w:val="24"/>
          <w:shd w:val="clear" w:color="auto" w:fill="FFFFFF"/>
        </w:rPr>
      </w:pPr>
    </w:p>
    <w:p w14:paraId="299A36C9" w14:textId="1C3493DD" w:rsidR="00AE3757" w:rsidRDefault="00AE3757" w:rsidP="00E76E51">
      <w:pPr>
        <w:spacing w:line="360" w:lineRule="auto"/>
        <w:rPr>
          <w:rFonts w:ascii="Arial" w:hAnsi="Arial" w:cs="Arial"/>
          <w:color w:val="201F1E"/>
          <w:sz w:val="24"/>
          <w:szCs w:val="24"/>
          <w:shd w:val="clear" w:color="auto" w:fill="FFFFFF"/>
        </w:rPr>
      </w:pPr>
    </w:p>
    <w:p w14:paraId="28194CC5" w14:textId="6DA2DFFB" w:rsidR="00AE3757" w:rsidRDefault="00AE3757" w:rsidP="00E76E51">
      <w:pPr>
        <w:spacing w:line="360" w:lineRule="auto"/>
        <w:rPr>
          <w:rFonts w:ascii="Arial" w:hAnsi="Arial" w:cs="Arial"/>
          <w:color w:val="201F1E"/>
          <w:sz w:val="24"/>
          <w:szCs w:val="24"/>
          <w:shd w:val="clear" w:color="auto" w:fill="FFFFFF"/>
        </w:rPr>
      </w:pPr>
    </w:p>
    <w:p w14:paraId="1C7785CA" w14:textId="3054558C" w:rsidR="00AE3757" w:rsidRDefault="00AE3757" w:rsidP="00E76E51">
      <w:pPr>
        <w:spacing w:line="360" w:lineRule="auto"/>
        <w:rPr>
          <w:rFonts w:ascii="Arial" w:hAnsi="Arial" w:cs="Arial"/>
          <w:color w:val="201F1E"/>
          <w:sz w:val="24"/>
          <w:szCs w:val="24"/>
          <w:shd w:val="clear" w:color="auto" w:fill="FFFFFF"/>
        </w:rPr>
      </w:pPr>
    </w:p>
    <w:p w14:paraId="2E62BA6C" w14:textId="1C967D8E" w:rsidR="00AE3757" w:rsidRDefault="00AE3757" w:rsidP="00E76E51">
      <w:pPr>
        <w:spacing w:line="360" w:lineRule="auto"/>
        <w:rPr>
          <w:rFonts w:ascii="Arial" w:hAnsi="Arial" w:cs="Arial"/>
          <w:color w:val="201F1E"/>
          <w:sz w:val="24"/>
          <w:szCs w:val="24"/>
          <w:shd w:val="clear" w:color="auto" w:fill="FFFFFF"/>
        </w:rPr>
      </w:pPr>
    </w:p>
    <w:p w14:paraId="545B6C87" w14:textId="525F5CDF" w:rsidR="00AE3757" w:rsidRDefault="00AE3757" w:rsidP="00E76E51">
      <w:pPr>
        <w:spacing w:line="360" w:lineRule="auto"/>
        <w:rPr>
          <w:rFonts w:ascii="Arial" w:hAnsi="Arial" w:cs="Arial"/>
          <w:color w:val="201F1E"/>
          <w:sz w:val="24"/>
          <w:szCs w:val="24"/>
          <w:shd w:val="clear" w:color="auto" w:fill="FFFFFF"/>
        </w:rPr>
      </w:pPr>
    </w:p>
    <w:p w14:paraId="2F7AAB15" w14:textId="100216D4" w:rsidR="00AE3757" w:rsidRDefault="00AE3757" w:rsidP="00E76E51">
      <w:pPr>
        <w:spacing w:line="360" w:lineRule="auto"/>
        <w:rPr>
          <w:rFonts w:ascii="Arial" w:hAnsi="Arial" w:cs="Arial"/>
          <w:color w:val="201F1E"/>
          <w:sz w:val="24"/>
          <w:szCs w:val="24"/>
          <w:shd w:val="clear" w:color="auto" w:fill="FFFFFF"/>
        </w:rPr>
      </w:pPr>
    </w:p>
    <w:p w14:paraId="3B328075" w14:textId="1B76E03F" w:rsidR="00AE3757" w:rsidRDefault="00AE3757" w:rsidP="00E76E51">
      <w:pPr>
        <w:spacing w:line="360" w:lineRule="auto"/>
        <w:rPr>
          <w:rFonts w:ascii="Arial" w:hAnsi="Arial" w:cs="Arial"/>
          <w:color w:val="201F1E"/>
          <w:sz w:val="24"/>
          <w:szCs w:val="24"/>
          <w:shd w:val="clear" w:color="auto" w:fill="FFFFFF"/>
        </w:rPr>
      </w:pPr>
    </w:p>
    <w:p w14:paraId="3A859F43" w14:textId="33C99E84" w:rsidR="00AE3757" w:rsidRDefault="00AE3757" w:rsidP="00E76E51">
      <w:pPr>
        <w:spacing w:line="360" w:lineRule="auto"/>
        <w:rPr>
          <w:rFonts w:ascii="Arial" w:hAnsi="Arial" w:cs="Arial"/>
          <w:color w:val="201F1E"/>
          <w:sz w:val="24"/>
          <w:szCs w:val="24"/>
          <w:shd w:val="clear" w:color="auto" w:fill="FFFFFF"/>
        </w:rPr>
      </w:pPr>
    </w:p>
    <w:p w14:paraId="2544AD30" w14:textId="56B4D4B1" w:rsidR="00AE3757" w:rsidRDefault="00AE3757" w:rsidP="00E76E51">
      <w:pPr>
        <w:spacing w:line="360" w:lineRule="auto"/>
        <w:rPr>
          <w:rFonts w:ascii="Arial" w:hAnsi="Arial" w:cs="Arial"/>
          <w:color w:val="201F1E"/>
          <w:sz w:val="24"/>
          <w:szCs w:val="24"/>
          <w:shd w:val="clear" w:color="auto" w:fill="FFFFFF"/>
        </w:rPr>
      </w:pPr>
    </w:p>
    <w:p w14:paraId="7250645D" w14:textId="77777777" w:rsidR="00AE3757" w:rsidRDefault="00AE3757" w:rsidP="00E76E51">
      <w:pPr>
        <w:spacing w:line="360" w:lineRule="auto"/>
        <w:rPr>
          <w:rFonts w:ascii="Arial" w:hAnsi="Arial" w:cs="Arial"/>
          <w:color w:val="201F1E"/>
          <w:sz w:val="24"/>
          <w:szCs w:val="24"/>
          <w:shd w:val="clear" w:color="auto" w:fill="FFFFFF"/>
        </w:rPr>
      </w:pPr>
    </w:p>
    <w:p w14:paraId="062F2685" w14:textId="3E60B775" w:rsidR="00AE3757" w:rsidRPr="00AE3757" w:rsidRDefault="00E76E51" w:rsidP="00AE3757">
      <w:pPr>
        <w:spacing w:line="360" w:lineRule="auto"/>
        <w:rPr>
          <w:rFonts w:ascii="Arial" w:hAnsi="Arial" w:cs="Arial"/>
          <w:color w:val="201F1E"/>
          <w:sz w:val="24"/>
          <w:szCs w:val="24"/>
          <w:shd w:val="clear" w:color="auto" w:fill="FFFFFF"/>
        </w:rPr>
      </w:pPr>
      <w:r>
        <w:rPr>
          <w:rFonts w:ascii="Arial" w:hAnsi="Arial" w:cs="Arial"/>
          <w:color w:val="201F1E"/>
          <w:sz w:val="24"/>
          <w:szCs w:val="24"/>
          <w:shd w:val="clear" w:color="auto" w:fill="FFFFFF"/>
        </w:rPr>
        <w:lastRenderedPageBreak/>
        <w:t>Tables and Figures for Manuscript.</w:t>
      </w:r>
    </w:p>
    <w:p w14:paraId="59E579E8" w14:textId="333BA708" w:rsidR="00AE3757" w:rsidRDefault="00AE3757" w:rsidP="00AE3757"/>
    <w:p w14:paraId="1283A1A5" w14:textId="5EDCF235" w:rsidR="00AE3757" w:rsidRDefault="00AE3757" w:rsidP="00AE3757"/>
    <w:p w14:paraId="5D44CF17" w14:textId="77777777" w:rsidR="00AE3757" w:rsidRDefault="00AE3757" w:rsidP="00AE3757"/>
    <w:tbl>
      <w:tblPr>
        <w:tblStyle w:val="TableGrid"/>
        <w:tblW w:w="0" w:type="auto"/>
        <w:tblLook w:val="04A0" w:firstRow="1" w:lastRow="0" w:firstColumn="1" w:lastColumn="0" w:noHBand="0" w:noVBand="1"/>
      </w:tblPr>
      <w:tblGrid>
        <w:gridCol w:w="1803"/>
        <w:gridCol w:w="1803"/>
        <w:gridCol w:w="1803"/>
        <w:gridCol w:w="1803"/>
        <w:gridCol w:w="1804"/>
      </w:tblGrid>
      <w:tr w:rsidR="00AE3757" w14:paraId="3A50D33E" w14:textId="77777777" w:rsidTr="00457FA5">
        <w:tc>
          <w:tcPr>
            <w:tcW w:w="1803" w:type="dxa"/>
          </w:tcPr>
          <w:p w14:paraId="53829EF5" w14:textId="77777777" w:rsidR="00AE3757" w:rsidRDefault="00AE3757" w:rsidP="00457FA5"/>
        </w:tc>
        <w:tc>
          <w:tcPr>
            <w:tcW w:w="3606" w:type="dxa"/>
            <w:gridSpan w:val="2"/>
          </w:tcPr>
          <w:p w14:paraId="55190980" w14:textId="77777777" w:rsidR="00AE3757" w:rsidRDefault="00AE3757" w:rsidP="00457FA5">
            <w:r w:rsidRPr="00CD5FDA">
              <w:rPr>
                <w:rFonts w:ascii="Arial" w:eastAsia="Calibri" w:hAnsi="Arial" w:cs="Arial"/>
                <w:b/>
                <w:i/>
                <w:sz w:val="24"/>
                <w:szCs w:val="24"/>
              </w:rPr>
              <w:t xml:space="preserve">Year 1 April 2019-March 2020              </w:t>
            </w:r>
          </w:p>
        </w:tc>
        <w:tc>
          <w:tcPr>
            <w:tcW w:w="3607" w:type="dxa"/>
            <w:gridSpan w:val="2"/>
          </w:tcPr>
          <w:p w14:paraId="3C8E4DF0" w14:textId="77777777" w:rsidR="00AE3757" w:rsidRDefault="00AE3757" w:rsidP="00457FA5">
            <w:r w:rsidRPr="00CD5FDA">
              <w:rPr>
                <w:rFonts w:ascii="Arial" w:eastAsia="Calibri" w:hAnsi="Arial" w:cs="Arial"/>
                <w:b/>
                <w:i/>
                <w:sz w:val="24"/>
                <w:szCs w:val="24"/>
              </w:rPr>
              <w:t>Year 2 April 2020-March 2021</w:t>
            </w:r>
          </w:p>
        </w:tc>
      </w:tr>
      <w:tr w:rsidR="00AE3757" w14:paraId="0F6846FB" w14:textId="77777777" w:rsidTr="00457FA5">
        <w:tc>
          <w:tcPr>
            <w:tcW w:w="1803" w:type="dxa"/>
          </w:tcPr>
          <w:p w14:paraId="49C4D04F" w14:textId="77777777" w:rsidR="00AE3757" w:rsidRPr="00CD5FDA" w:rsidRDefault="00AE3757" w:rsidP="00457FA5">
            <w:pPr>
              <w:rPr>
                <w:rFonts w:ascii="Arial" w:eastAsia="Calibri" w:hAnsi="Arial" w:cs="Arial"/>
                <w:i/>
                <w:sz w:val="18"/>
                <w:szCs w:val="18"/>
              </w:rPr>
            </w:pPr>
            <w:r w:rsidRPr="00CD5FDA">
              <w:rPr>
                <w:rFonts w:ascii="Arial" w:eastAsia="Calibri" w:hAnsi="Arial" w:cs="Arial"/>
                <w:sz w:val="18"/>
                <w:szCs w:val="18"/>
              </w:rPr>
              <w:t xml:space="preserve">Total </w:t>
            </w:r>
            <w:r>
              <w:rPr>
                <w:rFonts w:ascii="Arial" w:eastAsia="Calibri" w:hAnsi="Arial" w:cs="Arial"/>
                <w:sz w:val="18"/>
                <w:szCs w:val="18"/>
              </w:rPr>
              <w:t xml:space="preserve">combined </w:t>
            </w:r>
            <w:r w:rsidRPr="00CD5FDA">
              <w:rPr>
                <w:rFonts w:ascii="Arial" w:eastAsia="Calibri" w:hAnsi="Arial" w:cs="Arial"/>
                <w:sz w:val="18"/>
                <w:szCs w:val="18"/>
              </w:rPr>
              <w:t xml:space="preserve">thrombosed access </w:t>
            </w:r>
          </w:p>
          <w:p w14:paraId="1E7837ED" w14:textId="77777777" w:rsidR="00AE3757" w:rsidRDefault="00AE3757" w:rsidP="00457FA5">
            <w:r w:rsidRPr="00CD5FDA">
              <w:rPr>
                <w:rFonts w:ascii="Arial" w:eastAsia="Calibri" w:hAnsi="Arial" w:cs="Arial"/>
                <w:i/>
                <w:sz w:val="18"/>
                <w:szCs w:val="18"/>
              </w:rPr>
              <w:t>n</w:t>
            </w:r>
            <w:r w:rsidRPr="00CD5FDA">
              <w:rPr>
                <w:rFonts w:ascii="Arial" w:eastAsia="Calibri" w:hAnsi="Arial" w:cs="Arial"/>
                <w:sz w:val="18"/>
                <w:szCs w:val="18"/>
              </w:rPr>
              <w:t xml:space="preserve"> (%) rate</w:t>
            </w:r>
            <w:r w:rsidRPr="00CD5FDA">
              <w:rPr>
                <w:rFonts w:ascii="Arial" w:eastAsia="Calibri" w:hAnsi="Arial" w:cs="Arial"/>
                <w:sz w:val="24"/>
                <w:szCs w:val="24"/>
              </w:rPr>
              <w:t xml:space="preserve">  </w:t>
            </w:r>
          </w:p>
        </w:tc>
        <w:tc>
          <w:tcPr>
            <w:tcW w:w="3606" w:type="dxa"/>
            <w:gridSpan w:val="2"/>
          </w:tcPr>
          <w:p w14:paraId="05062EAE" w14:textId="77777777" w:rsidR="00AE3757" w:rsidRPr="00CD5FDA" w:rsidRDefault="00AE3757" w:rsidP="00457FA5">
            <w:pPr>
              <w:rPr>
                <w:bCs/>
              </w:rPr>
            </w:pPr>
            <w:r w:rsidRPr="00CD5FDA">
              <w:rPr>
                <w:bCs/>
                <w:i/>
              </w:rPr>
              <w:t xml:space="preserve">44 </w:t>
            </w:r>
            <w:r w:rsidRPr="00CD5FDA">
              <w:rPr>
                <w:bCs/>
              </w:rPr>
              <w:t>(1.20)</w:t>
            </w:r>
          </w:p>
        </w:tc>
        <w:tc>
          <w:tcPr>
            <w:tcW w:w="3607" w:type="dxa"/>
            <w:gridSpan w:val="2"/>
          </w:tcPr>
          <w:p w14:paraId="593989CC" w14:textId="77777777" w:rsidR="00AE3757" w:rsidRPr="00602E88" w:rsidRDefault="00AE3757" w:rsidP="00457FA5">
            <w:pPr>
              <w:rPr>
                <w:i/>
                <w:iCs/>
              </w:rPr>
            </w:pPr>
            <w:r>
              <w:rPr>
                <w:i/>
                <w:iCs/>
              </w:rPr>
              <w:t>59 (1.68)</w:t>
            </w:r>
          </w:p>
        </w:tc>
      </w:tr>
      <w:tr w:rsidR="00AE3757" w14:paraId="425E9077" w14:textId="77777777" w:rsidTr="00457FA5">
        <w:tc>
          <w:tcPr>
            <w:tcW w:w="1803" w:type="dxa"/>
          </w:tcPr>
          <w:p w14:paraId="2E77C5EE" w14:textId="77777777" w:rsidR="00AE3757" w:rsidRPr="00CD5FDA" w:rsidRDefault="00AE3757" w:rsidP="00457FA5">
            <w:pPr>
              <w:rPr>
                <w:rFonts w:ascii="Arial" w:eastAsia="Calibri" w:hAnsi="Arial" w:cs="Arial"/>
                <w:sz w:val="18"/>
                <w:szCs w:val="18"/>
              </w:rPr>
            </w:pPr>
            <w:r>
              <w:rPr>
                <w:rFonts w:ascii="Arial" w:eastAsia="Calibri" w:hAnsi="Arial" w:cs="Arial"/>
                <w:sz w:val="18"/>
                <w:szCs w:val="18"/>
              </w:rPr>
              <w:t xml:space="preserve">Total individual thrombosed access, </w:t>
            </w:r>
            <w:r w:rsidRPr="00CD5FDA">
              <w:rPr>
                <w:rFonts w:ascii="Arial" w:eastAsia="Calibri" w:hAnsi="Arial" w:cs="Arial"/>
                <w:i/>
                <w:iCs/>
                <w:sz w:val="18"/>
                <w:szCs w:val="18"/>
              </w:rPr>
              <w:t xml:space="preserve">n </w:t>
            </w:r>
            <w:r w:rsidRPr="00CD5FDA">
              <w:rPr>
                <w:rFonts w:ascii="Arial" w:eastAsia="Calibri" w:hAnsi="Arial" w:cs="Arial"/>
                <w:sz w:val="18"/>
                <w:szCs w:val="18"/>
              </w:rPr>
              <w:t>AVF (%), n AVG (%)</w:t>
            </w:r>
          </w:p>
          <w:p w14:paraId="43F0FE86" w14:textId="77777777" w:rsidR="00AE3757" w:rsidRPr="00CD5FDA" w:rsidRDefault="00AE3757" w:rsidP="00457FA5">
            <w:pPr>
              <w:rPr>
                <w:rFonts w:ascii="Arial" w:eastAsia="Calibri" w:hAnsi="Arial" w:cs="Arial"/>
                <w:sz w:val="18"/>
                <w:szCs w:val="18"/>
              </w:rPr>
            </w:pPr>
          </w:p>
        </w:tc>
        <w:tc>
          <w:tcPr>
            <w:tcW w:w="3606" w:type="dxa"/>
            <w:gridSpan w:val="2"/>
          </w:tcPr>
          <w:p w14:paraId="0F6123F6" w14:textId="77777777" w:rsidR="00AE3757" w:rsidRPr="00CD5FDA" w:rsidRDefault="00AE3757" w:rsidP="00457FA5">
            <w:pPr>
              <w:rPr>
                <w:bCs/>
              </w:rPr>
            </w:pPr>
            <w:r w:rsidRPr="00CD5FDA">
              <w:rPr>
                <w:bCs/>
                <w:i/>
                <w:iCs/>
              </w:rPr>
              <w:t>30 (68.2), 14 (31.8</w:t>
            </w:r>
            <w:r>
              <w:rPr>
                <w:bCs/>
                <w:i/>
                <w:iCs/>
              </w:rPr>
              <w:t>)</w:t>
            </w:r>
          </w:p>
        </w:tc>
        <w:tc>
          <w:tcPr>
            <w:tcW w:w="3607" w:type="dxa"/>
            <w:gridSpan w:val="2"/>
          </w:tcPr>
          <w:p w14:paraId="1CAD6092" w14:textId="77777777" w:rsidR="00AE3757" w:rsidRPr="00602E88" w:rsidRDefault="00AE3757" w:rsidP="00457FA5">
            <w:pPr>
              <w:rPr>
                <w:i/>
                <w:iCs/>
              </w:rPr>
            </w:pPr>
            <w:r>
              <w:rPr>
                <w:i/>
                <w:iCs/>
              </w:rPr>
              <w:t>35 (59.4) 24 (40.6)</w:t>
            </w:r>
          </w:p>
        </w:tc>
      </w:tr>
      <w:tr w:rsidR="00AE3757" w14:paraId="54717A28" w14:textId="77777777" w:rsidTr="00457FA5">
        <w:tc>
          <w:tcPr>
            <w:tcW w:w="1803" w:type="dxa"/>
          </w:tcPr>
          <w:p w14:paraId="40D8ED63" w14:textId="77777777" w:rsidR="00AE3757" w:rsidRDefault="00AE3757" w:rsidP="00457FA5">
            <w:r>
              <w:t xml:space="preserve">Monthly combined rate of thrombosed access </w:t>
            </w:r>
          </w:p>
        </w:tc>
        <w:tc>
          <w:tcPr>
            <w:tcW w:w="1803" w:type="dxa"/>
          </w:tcPr>
          <w:p w14:paraId="5D17C5BB" w14:textId="77777777" w:rsidR="00AE3757" w:rsidRDefault="00AE3757" w:rsidP="00457FA5">
            <w:pPr>
              <w:rPr>
                <w:rFonts w:eastAsia="Calibri" w:cstheme="minorHAnsi"/>
              </w:rPr>
            </w:pPr>
            <w:r w:rsidRPr="00CD5FDA">
              <w:rPr>
                <w:rFonts w:eastAsia="Calibri" w:cstheme="minorHAnsi"/>
                <w:i/>
                <w:iCs/>
              </w:rPr>
              <w:t xml:space="preserve">n </w:t>
            </w:r>
            <w:r w:rsidRPr="00CD5FDA">
              <w:rPr>
                <w:rFonts w:eastAsia="Calibri" w:cstheme="minorHAnsi"/>
              </w:rPr>
              <w:t xml:space="preserve">AVF, </w:t>
            </w:r>
            <w:r>
              <w:rPr>
                <w:rFonts w:eastAsia="Calibri" w:cstheme="minorHAnsi"/>
                <w:i/>
                <w:iCs/>
              </w:rPr>
              <w:t>n</w:t>
            </w:r>
            <w:r w:rsidRPr="00CD5FDA">
              <w:rPr>
                <w:rFonts w:eastAsia="Calibri" w:cstheme="minorHAnsi"/>
              </w:rPr>
              <w:t xml:space="preserve"> AVG</w:t>
            </w:r>
          </w:p>
          <w:p w14:paraId="74097DCF" w14:textId="77777777" w:rsidR="00AE3757" w:rsidRPr="00CD5FDA" w:rsidRDefault="00AE3757" w:rsidP="00457FA5">
            <w:pPr>
              <w:rPr>
                <w:rFonts w:eastAsia="Calibri" w:cstheme="minorHAnsi"/>
              </w:rPr>
            </w:pPr>
            <w:r>
              <w:rPr>
                <w:rFonts w:eastAsia="Calibri" w:cstheme="minorHAnsi"/>
              </w:rPr>
              <w:t>combined</w:t>
            </w:r>
            <w:r w:rsidRPr="00CD5FDA">
              <w:rPr>
                <w:rFonts w:eastAsia="Calibri" w:cstheme="minorHAnsi"/>
              </w:rPr>
              <w:t xml:space="preserve"> (%)</w:t>
            </w:r>
          </w:p>
          <w:p w14:paraId="2B2C571A" w14:textId="77777777" w:rsidR="00AE3757" w:rsidRDefault="00AE3757" w:rsidP="00457FA5"/>
        </w:tc>
        <w:tc>
          <w:tcPr>
            <w:tcW w:w="1803" w:type="dxa"/>
          </w:tcPr>
          <w:p w14:paraId="5F163F4F" w14:textId="77777777" w:rsidR="00AE3757" w:rsidRDefault="00AE3757" w:rsidP="00457FA5">
            <w:r w:rsidRPr="00CD5FDA">
              <w:rPr>
                <w:i/>
              </w:rPr>
              <w:t xml:space="preserve">n </w:t>
            </w:r>
            <w:r w:rsidRPr="00CD5FDA">
              <w:t>(%) rate of COVID-19 positive cases</w:t>
            </w:r>
          </w:p>
        </w:tc>
        <w:tc>
          <w:tcPr>
            <w:tcW w:w="1803" w:type="dxa"/>
          </w:tcPr>
          <w:p w14:paraId="7387A2BF" w14:textId="77777777" w:rsidR="00AE3757" w:rsidRDefault="00AE3757" w:rsidP="00457FA5">
            <w:r>
              <w:rPr>
                <w:i/>
                <w:iCs/>
              </w:rPr>
              <w:t xml:space="preserve">n </w:t>
            </w:r>
            <w:r>
              <w:t xml:space="preserve">AVF, </w:t>
            </w:r>
            <w:r>
              <w:rPr>
                <w:i/>
                <w:iCs/>
              </w:rPr>
              <w:t xml:space="preserve">n </w:t>
            </w:r>
            <w:r>
              <w:t>AVG</w:t>
            </w:r>
          </w:p>
          <w:p w14:paraId="357B6C8D" w14:textId="77777777" w:rsidR="00AE3757" w:rsidRDefault="00AE3757" w:rsidP="00457FA5"/>
          <w:p w14:paraId="5B003E1B" w14:textId="77777777" w:rsidR="00AE3757" w:rsidRPr="002D24D2" w:rsidRDefault="00AE3757" w:rsidP="00457FA5">
            <w:r>
              <w:t>combined (%)</w:t>
            </w:r>
          </w:p>
        </w:tc>
        <w:tc>
          <w:tcPr>
            <w:tcW w:w="1804" w:type="dxa"/>
          </w:tcPr>
          <w:p w14:paraId="335B6654" w14:textId="77777777" w:rsidR="00AE3757" w:rsidRDefault="00AE3757" w:rsidP="00457FA5">
            <w:r w:rsidRPr="00CD5FDA">
              <w:rPr>
                <w:i/>
              </w:rPr>
              <w:t>N</w:t>
            </w:r>
            <w:r>
              <w:rPr>
                <w:i/>
              </w:rPr>
              <w:t xml:space="preserve"> </w:t>
            </w:r>
            <w:r w:rsidRPr="00CD5FDA">
              <w:t>(%) rate of COVID-19 positive cases</w:t>
            </w:r>
          </w:p>
        </w:tc>
      </w:tr>
      <w:tr w:rsidR="00AE3757" w14:paraId="5E4F467B" w14:textId="77777777" w:rsidTr="00457FA5">
        <w:tc>
          <w:tcPr>
            <w:tcW w:w="1803" w:type="dxa"/>
          </w:tcPr>
          <w:p w14:paraId="206841FA" w14:textId="77777777" w:rsidR="00AE3757" w:rsidRDefault="00AE3757" w:rsidP="00457FA5">
            <w:r>
              <w:t>Month 1</w:t>
            </w:r>
          </w:p>
        </w:tc>
        <w:tc>
          <w:tcPr>
            <w:tcW w:w="1803" w:type="dxa"/>
          </w:tcPr>
          <w:p w14:paraId="5AB7C772" w14:textId="77777777" w:rsidR="00AE3757" w:rsidRDefault="00AE3757" w:rsidP="00457FA5">
            <w:r>
              <w:rPr>
                <w:i/>
                <w:iCs/>
              </w:rPr>
              <w:t xml:space="preserve">3,3 </w:t>
            </w:r>
            <w:r>
              <w:t xml:space="preserve">(2.0) </w:t>
            </w:r>
          </w:p>
        </w:tc>
        <w:tc>
          <w:tcPr>
            <w:tcW w:w="1803" w:type="dxa"/>
          </w:tcPr>
          <w:p w14:paraId="576B4005" w14:textId="77777777" w:rsidR="00AE3757" w:rsidRDefault="00AE3757" w:rsidP="00457FA5">
            <w:r>
              <w:t>0 (0.0)</w:t>
            </w:r>
          </w:p>
        </w:tc>
        <w:tc>
          <w:tcPr>
            <w:tcW w:w="1803" w:type="dxa"/>
          </w:tcPr>
          <w:p w14:paraId="4883F754" w14:textId="77777777" w:rsidR="00AE3757" w:rsidRPr="002D24D2" w:rsidRDefault="00AE3757" w:rsidP="00457FA5">
            <w:r>
              <w:rPr>
                <w:i/>
                <w:iCs/>
              </w:rPr>
              <w:t xml:space="preserve">3,2 </w:t>
            </w:r>
            <w:r>
              <w:t>(1.5)</w:t>
            </w:r>
          </w:p>
        </w:tc>
        <w:tc>
          <w:tcPr>
            <w:tcW w:w="1804" w:type="dxa"/>
          </w:tcPr>
          <w:p w14:paraId="09B4207E" w14:textId="77777777" w:rsidR="00AE3757" w:rsidRPr="002D24D2" w:rsidRDefault="00AE3757" w:rsidP="00457FA5">
            <w:r>
              <w:rPr>
                <w:i/>
                <w:iCs/>
              </w:rPr>
              <w:t>7</w:t>
            </w:r>
            <w:r>
              <w:t xml:space="preserve"> (2.2)</w:t>
            </w:r>
          </w:p>
        </w:tc>
      </w:tr>
      <w:tr w:rsidR="00AE3757" w14:paraId="7BB7DF04" w14:textId="77777777" w:rsidTr="00457FA5">
        <w:tc>
          <w:tcPr>
            <w:tcW w:w="1803" w:type="dxa"/>
          </w:tcPr>
          <w:p w14:paraId="224FCC2E" w14:textId="77777777" w:rsidR="00AE3757" w:rsidRDefault="00AE3757" w:rsidP="00457FA5">
            <w:r>
              <w:t>Month 2</w:t>
            </w:r>
          </w:p>
        </w:tc>
        <w:tc>
          <w:tcPr>
            <w:tcW w:w="1803" w:type="dxa"/>
          </w:tcPr>
          <w:p w14:paraId="6A58BEF9" w14:textId="77777777" w:rsidR="00AE3757" w:rsidRDefault="00AE3757" w:rsidP="00457FA5">
            <w:r>
              <w:rPr>
                <w:i/>
                <w:iCs/>
              </w:rPr>
              <w:t xml:space="preserve">1,0 </w:t>
            </w:r>
            <w:r>
              <w:t>(0.3)</w:t>
            </w:r>
          </w:p>
        </w:tc>
        <w:tc>
          <w:tcPr>
            <w:tcW w:w="1803" w:type="dxa"/>
          </w:tcPr>
          <w:p w14:paraId="69A3547C" w14:textId="77777777" w:rsidR="00AE3757" w:rsidRDefault="00AE3757" w:rsidP="00457FA5">
            <w:r>
              <w:t>0 (0.0)</w:t>
            </w:r>
          </w:p>
        </w:tc>
        <w:tc>
          <w:tcPr>
            <w:tcW w:w="1803" w:type="dxa"/>
          </w:tcPr>
          <w:p w14:paraId="39ED06D1" w14:textId="77777777" w:rsidR="00AE3757" w:rsidRPr="002D24D2" w:rsidRDefault="00AE3757" w:rsidP="00457FA5">
            <w:r>
              <w:rPr>
                <w:i/>
                <w:iCs/>
              </w:rPr>
              <w:t>4,4</w:t>
            </w:r>
            <w:r>
              <w:t xml:space="preserve"> (2.6)</w:t>
            </w:r>
          </w:p>
        </w:tc>
        <w:tc>
          <w:tcPr>
            <w:tcW w:w="1804" w:type="dxa"/>
          </w:tcPr>
          <w:p w14:paraId="552B5DBC" w14:textId="77777777" w:rsidR="00AE3757" w:rsidRPr="002D24D2" w:rsidRDefault="00AE3757" w:rsidP="00457FA5">
            <w:r>
              <w:rPr>
                <w:i/>
                <w:iCs/>
              </w:rPr>
              <w:t xml:space="preserve">1 </w:t>
            </w:r>
            <w:r>
              <w:t>(0.3)</w:t>
            </w:r>
          </w:p>
        </w:tc>
      </w:tr>
      <w:tr w:rsidR="00AE3757" w14:paraId="14B56205" w14:textId="77777777" w:rsidTr="00457FA5">
        <w:tc>
          <w:tcPr>
            <w:tcW w:w="1803" w:type="dxa"/>
          </w:tcPr>
          <w:p w14:paraId="57F3A7F8" w14:textId="77777777" w:rsidR="00AE3757" w:rsidRDefault="00AE3757" w:rsidP="00457FA5">
            <w:r>
              <w:t>Month 3</w:t>
            </w:r>
          </w:p>
        </w:tc>
        <w:tc>
          <w:tcPr>
            <w:tcW w:w="1803" w:type="dxa"/>
          </w:tcPr>
          <w:p w14:paraId="397FB753" w14:textId="77777777" w:rsidR="00AE3757" w:rsidRDefault="00AE3757" w:rsidP="00457FA5">
            <w:r>
              <w:rPr>
                <w:i/>
                <w:iCs/>
              </w:rPr>
              <w:t xml:space="preserve">1,1 </w:t>
            </w:r>
            <w:r>
              <w:t>(0.6)</w:t>
            </w:r>
          </w:p>
        </w:tc>
        <w:tc>
          <w:tcPr>
            <w:tcW w:w="1803" w:type="dxa"/>
          </w:tcPr>
          <w:p w14:paraId="73A8CA02" w14:textId="77777777" w:rsidR="00AE3757" w:rsidRDefault="00AE3757" w:rsidP="00457FA5">
            <w:r>
              <w:t>0 (0.0)</w:t>
            </w:r>
          </w:p>
        </w:tc>
        <w:tc>
          <w:tcPr>
            <w:tcW w:w="1803" w:type="dxa"/>
          </w:tcPr>
          <w:p w14:paraId="2D5AAD48" w14:textId="77777777" w:rsidR="00AE3757" w:rsidRPr="002D24D2" w:rsidRDefault="00AE3757" w:rsidP="00457FA5">
            <w:r>
              <w:rPr>
                <w:i/>
                <w:iCs/>
              </w:rPr>
              <w:t>3,1</w:t>
            </w:r>
            <w:r>
              <w:t xml:space="preserve"> (1.3)</w:t>
            </w:r>
          </w:p>
        </w:tc>
        <w:tc>
          <w:tcPr>
            <w:tcW w:w="1804" w:type="dxa"/>
          </w:tcPr>
          <w:p w14:paraId="0AB6750E" w14:textId="77777777" w:rsidR="00AE3757" w:rsidRPr="002D24D2" w:rsidRDefault="00AE3757" w:rsidP="00457FA5">
            <w:r>
              <w:rPr>
                <w:i/>
                <w:iCs/>
              </w:rPr>
              <w:t xml:space="preserve">1 </w:t>
            </w:r>
            <w:r>
              <w:t>(0.3)</w:t>
            </w:r>
          </w:p>
        </w:tc>
      </w:tr>
      <w:tr w:rsidR="00AE3757" w14:paraId="4D7D8579" w14:textId="77777777" w:rsidTr="00457FA5">
        <w:tc>
          <w:tcPr>
            <w:tcW w:w="1803" w:type="dxa"/>
          </w:tcPr>
          <w:p w14:paraId="0D7E1BAF" w14:textId="77777777" w:rsidR="00AE3757" w:rsidRDefault="00AE3757" w:rsidP="00457FA5">
            <w:r>
              <w:t>Month 4</w:t>
            </w:r>
          </w:p>
        </w:tc>
        <w:tc>
          <w:tcPr>
            <w:tcW w:w="1803" w:type="dxa"/>
          </w:tcPr>
          <w:p w14:paraId="39F8AF17" w14:textId="77777777" w:rsidR="00AE3757" w:rsidRDefault="00AE3757" w:rsidP="00457FA5">
            <w:r>
              <w:rPr>
                <w:i/>
                <w:iCs/>
              </w:rPr>
              <w:t xml:space="preserve">6,1 </w:t>
            </w:r>
            <w:r>
              <w:t>(2.2)</w:t>
            </w:r>
          </w:p>
        </w:tc>
        <w:tc>
          <w:tcPr>
            <w:tcW w:w="1803" w:type="dxa"/>
          </w:tcPr>
          <w:p w14:paraId="1461C6C5" w14:textId="77777777" w:rsidR="00AE3757" w:rsidRDefault="00AE3757" w:rsidP="00457FA5">
            <w:r>
              <w:t>0 (0.0)</w:t>
            </w:r>
          </w:p>
        </w:tc>
        <w:tc>
          <w:tcPr>
            <w:tcW w:w="1803" w:type="dxa"/>
          </w:tcPr>
          <w:p w14:paraId="06133D00" w14:textId="77777777" w:rsidR="00AE3757" w:rsidRPr="002D24D2" w:rsidRDefault="00AE3757" w:rsidP="00457FA5">
            <w:r>
              <w:rPr>
                <w:i/>
                <w:iCs/>
              </w:rPr>
              <w:t xml:space="preserve">3,2 </w:t>
            </w:r>
            <w:r>
              <w:t>(1.6)</w:t>
            </w:r>
          </w:p>
        </w:tc>
        <w:tc>
          <w:tcPr>
            <w:tcW w:w="1804" w:type="dxa"/>
          </w:tcPr>
          <w:p w14:paraId="2B17DCC7" w14:textId="77777777" w:rsidR="00AE3757" w:rsidRPr="002D24D2" w:rsidRDefault="00AE3757" w:rsidP="00457FA5">
            <w:r>
              <w:rPr>
                <w:i/>
                <w:iCs/>
              </w:rPr>
              <w:t xml:space="preserve">1 </w:t>
            </w:r>
            <w:r>
              <w:t>(0.3)</w:t>
            </w:r>
          </w:p>
        </w:tc>
      </w:tr>
      <w:tr w:rsidR="00AE3757" w14:paraId="332D9D1B" w14:textId="77777777" w:rsidTr="00457FA5">
        <w:tc>
          <w:tcPr>
            <w:tcW w:w="1803" w:type="dxa"/>
          </w:tcPr>
          <w:p w14:paraId="63766239" w14:textId="77777777" w:rsidR="00AE3757" w:rsidRDefault="00AE3757" w:rsidP="00457FA5">
            <w:r>
              <w:t>Month 5</w:t>
            </w:r>
          </w:p>
        </w:tc>
        <w:tc>
          <w:tcPr>
            <w:tcW w:w="1803" w:type="dxa"/>
          </w:tcPr>
          <w:p w14:paraId="4FA31ACB" w14:textId="77777777" w:rsidR="00AE3757" w:rsidRDefault="00AE3757" w:rsidP="00457FA5">
            <w:r>
              <w:rPr>
                <w:i/>
                <w:iCs/>
              </w:rPr>
              <w:t>3,0</w:t>
            </w:r>
            <w:r>
              <w:t xml:space="preserve"> (0.9)</w:t>
            </w:r>
          </w:p>
        </w:tc>
        <w:tc>
          <w:tcPr>
            <w:tcW w:w="1803" w:type="dxa"/>
          </w:tcPr>
          <w:p w14:paraId="3F47C1C7" w14:textId="77777777" w:rsidR="00AE3757" w:rsidRDefault="00AE3757" w:rsidP="00457FA5">
            <w:r>
              <w:t>0 (0.0)</w:t>
            </w:r>
          </w:p>
        </w:tc>
        <w:tc>
          <w:tcPr>
            <w:tcW w:w="1803" w:type="dxa"/>
          </w:tcPr>
          <w:p w14:paraId="3EE1B593" w14:textId="77777777" w:rsidR="00AE3757" w:rsidRPr="002D24D2" w:rsidRDefault="00AE3757" w:rsidP="00457FA5">
            <w:r>
              <w:rPr>
                <w:i/>
                <w:iCs/>
              </w:rPr>
              <w:t>1,1</w:t>
            </w:r>
            <w:r>
              <w:t xml:space="preserve"> (0.6)</w:t>
            </w:r>
          </w:p>
        </w:tc>
        <w:tc>
          <w:tcPr>
            <w:tcW w:w="1804" w:type="dxa"/>
          </w:tcPr>
          <w:p w14:paraId="73FFB0C6" w14:textId="77777777" w:rsidR="00AE3757" w:rsidRPr="002D24D2" w:rsidRDefault="00AE3757" w:rsidP="00457FA5">
            <w:r>
              <w:rPr>
                <w:i/>
                <w:iCs/>
              </w:rPr>
              <w:t xml:space="preserve">0 </w:t>
            </w:r>
            <w:r>
              <w:t>(0.0)</w:t>
            </w:r>
          </w:p>
        </w:tc>
      </w:tr>
      <w:tr w:rsidR="00AE3757" w14:paraId="24BC93BE" w14:textId="77777777" w:rsidTr="00457FA5">
        <w:tc>
          <w:tcPr>
            <w:tcW w:w="1803" w:type="dxa"/>
          </w:tcPr>
          <w:p w14:paraId="77F0F457" w14:textId="77777777" w:rsidR="00AE3757" w:rsidRDefault="00AE3757" w:rsidP="00457FA5">
            <w:r>
              <w:t>Month 6</w:t>
            </w:r>
          </w:p>
        </w:tc>
        <w:tc>
          <w:tcPr>
            <w:tcW w:w="1803" w:type="dxa"/>
          </w:tcPr>
          <w:p w14:paraId="71DA9E25" w14:textId="77777777" w:rsidR="00AE3757" w:rsidRDefault="00AE3757" w:rsidP="00457FA5">
            <w:r>
              <w:rPr>
                <w:i/>
                <w:iCs/>
              </w:rPr>
              <w:t>0,4</w:t>
            </w:r>
            <w:r>
              <w:t xml:space="preserve"> (1.3)</w:t>
            </w:r>
          </w:p>
        </w:tc>
        <w:tc>
          <w:tcPr>
            <w:tcW w:w="1803" w:type="dxa"/>
          </w:tcPr>
          <w:p w14:paraId="6AF1EB0C" w14:textId="77777777" w:rsidR="00AE3757" w:rsidRDefault="00AE3757" w:rsidP="00457FA5">
            <w:r>
              <w:t>0 (0.0)</w:t>
            </w:r>
          </w:p>
        </w:tc>
        <w:tc>
          <w:tcPr>
            <w:tcW w:w="1803" w:type="dxa"/>
          </w:tcPr>
          <w:p w14:paraId="5DD32411" w14:textId="77777777" w:rsidR="00AE3757" w:rsidRPr="002D24D2" w:rsidRDefault="00AE3757" w:rsidP="00457FA5">
            <w:r>
              <w:rPr>
                <w:i/>
                <w:iCs/>
              </w:rPr>
              <w:t xml:space="preserve">4,1 </w:t>
            </w:r>
            <w:r>
              <w:t>(1.7)</w:t>
            </w:r>
          </w:p>
        </w:tc>
        <w:tc>
          <w:tcPr>
            <w:tcW w:w="1804" w:type="dxa"/>
          </w:tcPr>
          <w:p w14:paraId="081B91FF" w14:textId="77777777" w:rsidR="00AE3757" w:rsidRPr="002D24D2" w:rsidRDefault="00AE3757" w:rsidP="00457FA5">
            <w:r>
              <w:rPr>
                <w:i/>
                <w:iCs/>
              </w:rPr>
              <w:t xml:space="preserve">1 </w:t>
            </w:r>
            <w:r>
              <w:t>(0.3)</w:t>
            </w:r>
          </w:p>
        </w:tc>
      </w:tr>
      <w:tr w:rsidR="00AE3757" w14:paraId="78709333" w14:textId="77777777" w:rsidTr="00457FA5">
        <w:tc>
          <w:tcPr>
            <w:tcW w:w="1803" w:type="dxa"/>
          </w:tcPr>
          <w:p w14:paraId="717CAB06" w14:textId="77777777" w:rsidR="00AE3757" w:rsidRDefault="00AE3757" w:rsidP="00457FA5">
            <w:r>
              <w:t>Month 7</w:t>
            </w:r>
          </w:p>
        </w:tc>
        <w:tc>
          <w:tcPr>
            <w:tcW w:w="1803" w:type="dxa"/>
          </w:tcPr>
          <w:p w14:paraId="56B9FE90" w14:textId="77777777" w:rsidR="00AE3757" w:rsidRDefault="00AE3757" w:rsidP="00457FA5">
            <w:r>
              <w:rPr>
                <w:i/>
                <w:iCs/>
              </w:rPr>
              <w:t xml:space="preserve">0,1 </w:t>
            </w:r>
            <w:r>
              <w:t>(0.3)</w:t>
            </w:r>
          </w:p>
        </w:tc>
        <w:tc>
          <w:tcPr>
            <w:tcW w:w="1803" w:type="dxa"/>
          </w:tcPr>
          <w:p w14:paraId="3867BE0B" w14:textId="77777777" w:rsidR="00AE3757" w:rsidRDefault="00AE3757" w:rsidP="00457FA5">
            <w:r>
              <w:t>0 (0.0)</w:t>
            </w:r>
          </w:p>
        </w:tc>
        <w:tc>
          <w:tcPr>
            <w:tcW w:w="1803" w:type="dxa"/>
          </w:tcPr>
          <w:p w14:paraId="7EF27CC4" w14:textId="77777777" w:rsidR="00AE3757" w:rsidRPr="002D24D2" w:rsidRDefault="00AE3757" w:rsidP="00457FA5">
            <w:r>
              <w:rPr>
                <w:i/>
                <w:iCs/>
              </w:rPr>
              <w:t>1,1</w:t>
            </w:r>
            <w:r>
              <w:t xml:space="preserve"> (0.6)</w:t>
            </w:r>
          </w:p>
        </w:tc>
        <w:tc>
          <w:tcPr>
            <w:tcW w:w="1804" w:type="dxa"/>
          </w:tcPr>
          <w:p w14:paraId="37A96410" w14:textId="77777777" w:rsidR="00AE3757" w:rsidRPr="002D24D2" w:rsidRDefault="00AE3757" w:rsidP="00457FA5">
            <w:r>
              <w:rPr>
                <w:i/>
                <w:iCs/>
              </w:rPr>
              <w:t xml:space="preserve">1 </w:t>
            </w:r>
            <w:r>
              <w:t>(0.3)</w:t>
            </w:r>
          </w:p>
        </w:tc>
      </w:tr>
      <w:tr w:rsidR="00AE3757" w14:paraId="4E0FA2A0" w14:textId="77777777" w:rsidTr="00457FA5">
        <w:tc>
          <w:tcPr>
            <w:tcW w:w="1803" w:type="dxa"/>
          </w:tcPr>
          <w:p w14:paraId="11CC001E" w14:textId="77777777" w:rsidR="00AE3757" w:rsidRDefault="00AE3757" w:rsidP="00457FA5">
            <w:r>
              <w:t>Month 8</w:t>
            </w:r>
          </w:p>
        </w:tc>
        <w:tc>
          <w:tcPr>
            <w:tcW w:w="1803" w:type="dxa"/>
          </w:tcPr>
          <w:p w14:paraId="5A2D4AA6" w14:textId="77777777" w:rsidR="00AE3757" w:rsidRDefault="00AE3757" w:rsidP="00457FA5">
            <w:r>
              <w:rPr>
                <w:i/>
                <w:iCs/>
              </w:rPr>
              <w:t>3,3</w:t>
            </w:r>
            <w:r>
              <w:t xml:space="preserve"> (1.9)</w:t>
            </w:r>
          </w:p>
        </w:tc>
        <w:tc>
          <w:tcPr>
            <w:tcW w:w="1803" w:type="dxa"/>
          </w:tcPr>
          <w:p w14:paraId="1695B4A6" w14:textId="77777777" w:rsidR="00AE3757" w:rsidRDefault="00AE3757" w:rsidP="00457FA5">
            <w:r>
              <w:t>0 (0.0)</w:t>
            </w:r>
          </w:p>
        </w:tc>
        <w:tc>
          <w:tcPr>
            <w:tcW w:w="1803" w:type="dxa"/>
          </w:tcPr>
          <w:p w14:paraId="083FFED4" w14:textId="77777777" w:rsidR="00AE3757" w:rsidRPr="002D24D2" w:rsidRDefault="00AE3757" w:rsidP="00457FA5">
            <w:r>
              <w:rPr>
                <w:i/>
                <w:iCs/>
              </w:rPr>
              <w:t xml:space="preserve">5,2 </w:t>
            </w:r>
            <w:r>
              <w:t>(2.4)</w:t>
            </w:r>
          </w:p>
        </w:tc>
        <w:tc>
          <w:tcPr>
            <w:tcW w:w="1804" w:type="dxa"/>
          </w:tcPr>
          <w:p w14:paraId="1A1FB92D" w14:textId="77777777" w:rsidR="00AE3757" w:rsidRPr="002D24D2" w:rsidRDefault="00AE3757" w:rsidP="00457FA5">
            <w:r>
              <w:rPr>
                <w:i/>
                <w:iCs/>
              </w:rPr>
              <w:t xml:space="preserve">9 </w:t>
            </w:r>
            <w:r>
              <w:t>(3.1)</w:t>
            </w:r>
          </w:p>
        </w:tc>
      </w:tr>
      <w:tr w:rsidR="00AE3757" w14:paraId="65FABA33" w14:textId="77777777" w:rsidTr="00457FA5">
        <w:tc>
          <w:tcPr>
            <w:tcW w:w="1803" w:type="dxa"/>
          </w:tcPr>
          <w:p w14:paraId="48DEC591" w14:textId="77777777" w:rsidR="00AE3757" w:rsidRDefault="00AE3757" w:rsidP="00457FA5">
            <w:r>
              <w:t>Month 9</w:t>
            </w:r>
          </w:p>
        </w:tc>
        <w:tc>
          <w:tcPr>
            <w:tcW w:w="1803" w:type="dxa"/>
          </w:tcPr>
          <w:p w14:paraId="254E25AB" w14:textId="77777777" w:rsidR="00AE3757" w:rsidRDefault="00AE3757" w:rsidP="00457FA5">
            <w:r>
              <w:rPr>
                <w:i/>
                <w:iCs/>
              </w:rPr>
              <w:t xml:space="preserve">2,0 </w:t>
            </w:r>
            <w:r>
              <w:t>(0.6)</w:t>
            </w:r>
          </w:p>
        </w:tc>
        <w:tc>
          <w:tcPr>
            <w:tcW w:w="1803" w:type="dxa"/>
          </w:tcPr>
          <w:p w14:paraId="4207CA5E" w14:textId="77777777" w:rsidR="00AE3757" w:rsidRDefault="00AE3757" w:rsidP="00457FA5">
            <w:r>
              <w:t>0 (0.0)</w:t>
            </w:r>
          </w:p>
        </w:tc>
        <w:tc>
          <w:tcPr>
            <w:tcW w:w="1803" w:type="dxa"/>
          </w:tcPr>
          <w:p w14:paraId="3FEB494C" w14:textId="77777777" w:rsidR="00AE3757" w:rsidRPr="002D24D2" w:rsidRDefault="00AE3757" w:rsidP="00457FA5">
            <w:r>
              <w:rPr>
                <w:i/>
                <w:iCs/>
              </w:rPr>
              <w:t xml:space="preserve">2,1 </w:t>
            </w:r>
            <w:r>
              <w:t>(1.0)</w:t>
            </w:r>
          </w:p>
        </w:tc>
        <w:tc>
          <w:tcPr>
            <w:tcW w:w="1804" w:type="dxa"/>
          </w:tcPr>
          <w:p w14:paraId="4067B796" w14:textId="77777777" w:rsidR="00AE3757" w:rsidRPr="002D24D2" w:rsidRDefault="00AE3757" w:rsidP="00457FA5">
            <w:r>
              <w:rPr>
                <w:i/>
                <w:iCs/>
              </w:rPr>
              <w:t xml:space="preserve">5 </w:t>
            </w:r>
            <w:r>
              <w:t>(1.7)</w:t>
            </w:r>
          </w:p>
        </w:tc>
      </w:tr>
      <w:tr w:rsidR="00AE3757" w14:paraId="24A096C4" w14:textId="77777777" w:rsidTr="00457FA5">
        <w:tc>
          <w:tcPr>
            <w:tcW w:w="1803" w:type="dxa"/>
          </w:tcPr>
          <w:p w14:paraId="5EC62605" w14:textId="77777777" w:rsidR="00AE3757" w:rsidRDefault="00AE3757" w:rsidP="00457FA5">
            <w:r>
              <w:t>Month 10</w:t>
            </w:r>
          </w:p>
        </w:tc>
        <w:tc>
          <w:tcPr>
            <w:tcW w:w="1803" w:type="dxa"/>
          </w:tcPr>
          <w:p w14:paraId="72AD7271" w14:textId="77777777" w:rsidR="00AE3757" w:rsidRDefault="00AE3757" w:rsidP="00457FA5">
            <w:r>
              <w:rPr>
                <w:i/>
                <w:iCs/>
              </w:rPr>
              <w:t xml:space="preserve">2,1 </w:t>
            </w:r>
            <w:r>
              <w:t>(0.9)</w:t>
            </w:r>
          </w:p>
        </w:tc>
        <w:tc>
          <w:tcPr>
            <w:tcW w:w="1803" w:type="dxa"/>
          </w:tcPr>
          <w:p w14:paraId="030C5716" w14:textId="77777777" w:rsidR="00AE3757" w:rsidRDefault="00AE3757" w:rsidP="00457FA5">
            <w:r>
              <w:t>0 (0.0)</w:t>
            </w:r>
          </w:p>
        </w:tc>
        <w:tc>
          <w:tcPr>
            <w:tcW w:w="1803" w:type="dxa"/>
          </w:tcPr>
          <w:p w14:paraId="0B758830" w14:textId="77777777" w:rsidR="00AE3757" w:rsidRPr="002D24D2" w:rsidRDefault="00AE3757" w:rsidP="00457FA5">
            <w:r>
              <w:rPr>
                <w:i/>
                <w:iCs/>
              </w:rPr>
              <w:t xml:space="preserve">4,5 </w:t>
            </w:r>
            <w:r>
              <w:t>(3.1)</w:t>
            </w:r>
          </w:p>
        </w:tc>
        <w:tc>
          <w:tcPr>
            <w:tcW w:w="1804" w:type="dxa"/>
          </w:tcPr>
          <w:p w14:paraId="36F65ED3" w14:textId="77777777" w:rsidR="00AE3757" w:rsidRPr="002D24D2" w:rsidRDefault="00AE3757" w:rsidP="00457FA5">
            <w:r>
              <w:rPr>
                <w:i/>
                <w:iCs/>
              </w:rPr>
              <w:t xml:space="preserve">7 </w:t>
            </w:r>
            <w:r>
              <w:t>(2.4)</w:t>
            </w:r>
          </w:p>
        </w:tc>
      </w:tr>
      <w:tr w:rsidR="00AE3757" w14:paraId="1E230B6D" w14:textId="77777777" w:rsidTr="00457FA5">
        <w:tc>
          <w:tcPr>
            <w:tcW w:w="1803" w:type="dxa"/>
          </w:tcPr>
          <w:p w14:paraId="3FC4AAC1" w14:textId="77777777" w:rsidR="00AE3757" w:rsidRDefault="00AE3757" w:rsidP="00457FA5">
            <w:r>
              <w:t>Month 11</w:t>
            </w:r>
          </w:p>
        </w:tc>
        <w:tc>
          <w:tcPr>
            <w:tcW w:w="1803" w:type="dxa"/>
          </w:tcPr>
          <w:p w14:paraId="76D787E0" w14:textId="77777777" w:rsidR="00AE3757" w:rsidRDefault="00AE3757" w:rsidP="00457FA5">
            <w:r>
              <w:rPr>
                <w:i/>
                <w:iCs/>
              </w:rPr>
              <w:t xml:space="preserve">3,0 </w:t>
            </w:r>
            <w:r>
              <w:t>(0.9)</w:t>
            </w:r>
          </w:p>
        </w:tc>
        <w:tc>
          <w:tcPr>
            <w:tcW w:w="1803" w:type="dxa"/>
          </w:tcPr>
          <w:p w14:paraId="45848D71" w14:textId="77777777" w:rsidR="00AE3757" w:rsidRDefault="00AE3757" w:rsidP="00457FA5">
            <w:r>
              <w:t>0 (0.0)</w:t>
            </w:r>
          </w:p>
        </w:tc>
        <w:tc>
          <w:tcPr>
            <w:tcW w:w="1803" w:type="dxa"/>
          </w:tcPr>
          <w:p w14:paraId="093305A4" w14:textId="77777777" w:rsidR="00AE3757" w:rsidRPr="002D24D2" w:rsidRDefault="00AE3757" w:rsidP="00457FA5">
            <w:r>
              <w:rPr>
                <w:i/>
                <w:iCs/>
              </w:rPr>
              <w:t xml:space="preserve">2,2 </w:t>
            </w:r>
            <w:r>
              <w:t>(1.4)</w:t>
            </w:r>
          </w:p>
        </w:tc>
        <w:tc>
          <w:tcPr>
            <w:tcW w:w="1804" w:type="dxa"/>
          </w:tcPr>
          <w:p w14:paraId="056C130A" w14:textId="77777777" w:rsidR="00AE3757" w:rsidRPr="002D24D2" w:rsidRDefault="00AE3757" w:rsidP="00457FA5">
            <w:r>
              <w:rPr>
                <w:i/>
                <w:iCs/>
              </w:rPr>
              <w:t xml:space="preserve">1 </w:t>
            </w:r>
            <w:r>
              <w:t>(0.3)</w:t>
            </w:r>
          </w:p>
        </w:tc>
      </w:tr>
      <w:tr w:rsidR="00AE3757" w14:paraId="4A92AF01" w14:textId="77777777" w:rsidTr="00457FA5">
        <w:tc>
          <w:tcPr>
            <w:tcW w:w="1803" w:type="dxa"/>
          </w:tcPr>
          <w:p w14:paraId="417A0F31" w14:textId="77777777" w:rsidR="00AE3757" w:rsidRDefault="00AE3757" w:rsidP="00457FA5">
            <w:r>
              <w:t>Month 12</w:t>
            </w:r>
          </w:p>
        </w:tc>
        <w:tc>
          <w:tcPr>
            <w:tcW w:w="1803" w:type="dxa"/>
          </w:tcPr>
          <w:p w14:paraId="02A5A64B" w14:textId="77777777" w:rsidR="00AE3757" w:rsidRDefault="00AE3757" w:rsidP="00457FA5">
            <w:r>
              <w:rPr>
                <w:i/>
                <w:iCs/>
              </w:rPr>
              <w:t>5,1</w:t>
            </w:r>
            <w:r>
              <w:t xml:space="preserve"> (1.9)</w:t>
            </w:r>
          </w:p>
        </w:tc>
        <w:tc>
          <w:tcPr>
            <w:tcW w:w="1803" w:type="dxa"/>
          </w:tcPr>
          <w:p w14:paraId="27E93668" w14:textId="77777777" w:rsidR="00AE3757" w:rsidRDefault="00AE3757" w:rsidP="00457FA5">
            <w:r>
              <w:t>0 (0.0)</w:t>
            </w:r>
          </w:p>
        </w:tc>
        <w:tc>
          <w:tcPr>
            <w:tcW w:w="1803" w:type="dxa"/>
          </w:tcPr>
          <w:p w14:paraId="38D8FF3D" w14:textId="77777777" w:rsidR="00AE3757" w:rsidRPr="002D24D2" w:rsidRDefault="00AE3757" w:rsidP="00457FA5">
            <w:r>
              <w:rPr>
                <w:i/>
                <w:iCs/>
              </w:rPr>
              <w:t xml:space="preserve">3,2 </w:t>
            </w:r>
            <w:r>
              <w:t>(1.7)</w:t>
            </w:r>
          </w:p>
        </w:tc>
        <w:tc>
          <w:tcPr>
            <w:tcW w:w="1804" w:type="dxa"/>
          </w:tcPr>
          <w:p w14:paraId="77C48E44" w14:textId="77777777" w:rsidR="00AE3757" w:rsidRPr="002D24D2" w:rsidRDefault="00AE3757" w:rsidP="00457FA5">
            <w:r>
              <w:rPr>
                <w:i/>
                <w:iCs/>
              </w:rPr>
              <w:t xml:space="preserve">1 </w:t>
            </w:r>
            <w:r>
              <w:t>(0.30</w:t>
            </w:r>
          </w:p>
        </w:tc>
      </w:tr>
    </w:tbl>
    <w:p w14:paraId="6F4E4530" w14:textId="6FEC7B27" w:rsidR="00AC2A06" w:rsidRDefault="00AE3757" w:rsidP="00E76E51">
      <w:pPr>
        <w:spacing w:line="360" w:lineRule="auto"/>
        <w:rPr>
          <w:rFonts w:ascii="Arial" w:hAnsi="Arial" w:cs="Arial"/>
          <w:noProof/>
          <w:sz w:val="24"/>
          <w:szCs w:val="24"/>
          <w:lang w:eastAsia="en-GB"/>
        </w:rPr>
      </w:pPr>
      <w:r>
        <w:rPr>
          <w:rFonts w:ascii="Arial" w:hAnsi="Arial" w:cs="Arial"/>
          <w:noProof/>
          <w:sz w:val="24"/>
          <w:szCs w:val="24"/>
          <w:lang w:eastAsia="en-GB"/>
        </w:rPr>
        <w:t xml:space="preserve">Table </w:t>
      </w:r>
      <w:r w:rsidR="0049559C">
        <w:rPr>
          <w:rFonts w:ascii="Arial" w:hAnsi="Arial" w:cs="Arial"/>
          <w:noProof/>
          <w:sz w:val="24"/>
          <w:szCs w:val="24"/>
          <w:lang w:eastAsia="en-GB"/>
        </w:rPr>
        <w:t>1</w:t>
      </w:r>
      <w:r>
        <w:rPr>
          <w:rFonts w:ascii="Arial" w:hAnsi="Arial" w:cs="Arial"/>
          <w:noProof/>
          <w:sz w:val="24"/>
          <w:szCs w:val="24"/>
          <w:lang w:eastAsia="en-GB"/>
        </w:rPr>
        <w:t>: Clotted access versus Covid-19 cases.</w:t>
      </w:r>
    </w:p>
    <w:p w14:paraId="179111A3" w14:textId="335E60CC" w:rsidR="00AC2A06" w:rsidRDefault="00AC2A06" w:rsidP="00E76E51">
      <w:pPr>
        <w:spacing w:line="360" w:lineRule="auto"/>
        <w:rPr>
          <w:rFonts w:ascii="Arial" w:hAnsi="Arial" w:cs="Arial"/>
          <w:noProof/>
          <w:sz w:val="24"/>
          <w:szCs w:val="24"/>
          <w:lang w:eastAsia="en-GB"/>
        </w:rPr>
      </w:pPr>
    </w:p>
    <w:p w14:paraId="40C6AD24" w14:textId="039A4E81" w:rsidR="00E76E51" w:rsidRPr="00E776F1" w:rsidRDefault="00E76E51" w:rsidP="00E76E51">
      <w:pPr>
        <w:rPr>
          <w:rFonts w:ascii="Arial" w:hAnsi="Arial" w:cs="Arial"/>
          <w:sz w:val="24"/>
          <w:szCs w:val="24"/>
        </w:rPr>
      </w:pPr>
    </w:p>
    <w:p w14:paraId="20ED1B71" w14:textId="77777777" w:rsidR="00E76E51" w:rsidRDefault="00E76E51" w:rsidP="00E76E51">
      <w:r>
        <w:t xml:space="preserve">                                                             </w:t>
      </w:r>
    </w:p>
    <w:p w14:paraId="43427DF7" w14:textId="77777777" w:rsidR="00E76E51" w:rsidRPr="008D3278" w:rsidRDefault="00E76E51" w:rsidP="00E76E51">
      <w:pPr>
        <w:rPr>
          <w:b/>
        </w:rPr>
      </w:pPr>
    </w:p>
    <w:p w14:paraId="68E7443F" w14:textId="77777777" w:rsidR="00E76E51" w:rsidRDefault="00E76E51" w:rsidP="00E76E51">
      <w:pPr>
        <w:autoSpaceDE w:val="0"/>
        <w:autoSpaceDN w:val="0"/>
        <w:adjustRightInd w:val="0"/>
        <w:spacing w:after="0" w:line="240" w:lineRule="auto"/>
        <w:rPr>
          <w:rFonts w:ascii="Times New Roman" w:hAnsi="Times New Roman" w:cs="Times New Roman"/>
          <w:sz w:val="24"/>
          <w:szCs w:val="24"/>
        </w:rPr>
      </w:pPr>
    </w:p>
    <w:p w14:paraId="0B3204B9" w14:textId="77777777" w:rsidR="00E76E51" w:rsidRPr="00A474C1" w:rsidRDefault="00E76E51" w:rsidP="00E76E51">
      <w:pPr>
        <w:autoSpaceDE w:val="0"/>
        <w:autoSpaceDN w:val="0"/>
        <w:adjustRightInd w:val="0"/>
        <w:spacing w:after="0" w:line="240" w:lineRule="auto"/>
        <w:rPr>
          <w:rFonts w:ascii="Times New Roman" w:hAnsi="Times New Roman" w:cs="Times New Roman"/>
          <w:sz w:val="24"/>
          <w:szCs w:val="24"/>
        </w:rPr>
      </w:pPr>
    </w:p>
    <w:tbl>
      <w:tblPr>
        <w:tblW w:w="7824" w:type="dxa"/>
        <w:tblLayout w:type="fixed"/>
        <w:tblCellMar>
          <w:left w:w="0" w:type="dxa"/>
          <w:right w:w="0" w:type="dxa"/>
        </w:tblCellMar>
        <w:tblLook w:val="0000" w:firstRow="0" w:lastRow="0" w:firstColumn="0" w:lastColumn="0" w:noHBand="0" w:noVBand="0"/>
      </w:tblPr>
      <w:tblGrid>
        <w:gridCol w:w="7824"/>
      </w:tblGrid>
      <w:tr w:rsidR="00E76E51" w:rsidRPr="00A474C1" w14:paraId="504F9574" w14:textId="77777777" w:rsidTr="00E2337A">
        <w:trPr>
          <w:cantSplit/>
          <w:trHeight w:val="1263"/>
        </w:trPr>
        <w:tc>
          <w:tcPr>
            <w:tcW w:w="7824" w:type="dxa"/>
            <w:tcBorders>
              <w:top w:val="nil"/>
              <w:left w:val="nil"/>
              <w:bottom w:val="nil"/>
              <w:right w:val="nil"/>
            </w:tcBorders>
            <w:shd w:val="clear" w:color="auto" w:fill="FFFFFF"/>
            <w:vAlign w:val="center"/>
          </w:tcPr>
          <w:p w14:paraId="18EBECE6" w14:textId="77777777" w:rsidR="00E76E51" w:rsidRDefault="00E76E51" w:rsidP="00A554FC">
            <w:pPr>
              <w:autoSpaceDE w:val="0"/>
              <w:autoSpaceDN w:val="0"/>
              <w:adjustRightInd w:val="0"/>
              <w:spacing w:after="0" w:line="320" w:lineRule="atLeast"/>
              <w:ind w:left="60" w:right="60"/>
              <w:jc w:val="center"/>
              <w:rPr>
                <w:rFonts w:ascii="Arial" w:hAnsi="Arial" w:cs="Arial"/>
                <w:b/>
                <w:bCs/>
                <w:color w:val="010205"/>
                <w:sz w:val="28"/>
                <w:szCs w:val="28"/>
              </w:rPr>
            </w:pPr>
          </w:p>
          <w:p w14:paraId="2DEBF62B" w14:textId="77777777" w:rsidR="00E76E51" w:rsidRPr="00A474C1" w:rsidRDefault="00E76E51" w:rsidP="00A554FC">
            <w:pPr>
              <w:autoSpaceDE w:val="0"/>
              <w:autoSpaceDN w:val="0"/>
              <w:adjustRightInd w:val="0"/>
              <w:spacing w:after="0" w:line="320" w:lineRule="atLeast"/>
              <w:ind w:left="60" w:right="60"/>
              <w:jc w:val="center"/>
              <w:rPr>
                <w:rFonts w:ascii="Arial" w:hAnsi="Arial" w:cs="Arial"/>
                <w:color w:val="010205"/>
                <w:sz w:val="28"/>
                <w:szCs w:val="28"/>
              </w:rPr>
            </w:pPr>
          </w:p>
        </w:tc>
      </w:tr>
    </w:tbl>
    <w:p w14:paraId="71609AC9" w14:textId="77777777" w:rsidR="00E76E51" w:rsidRPr="008378F6" w:rsidRDefault="00E76E51" w:rsidP="00E76E51">
      <w:pPr>
        <w:rPr>
          <w:rFonts w:ascii="Arial" w:hAnsi="Arial" w:cs="Arial"/>
          <w:sz w:val="24"/>
          <w:szCs w:val="24"/>
        </w:rPr>
      </w:pPr>
      <w:r w:rsidRPr="008378F6">
        <w:rPr>
          <w:rFonts w:ascii="Arial" w:hAnsi="Arial" w:cs="Arial"/>
          <w:sz w:val="24"/>
          <w:szCs w:val="24"/>
        </w:rPr>
        <w:t>References for article</w:t>
      </w:r>
    </w:p>
    <w:p w14:paraId="221F12BA" w14:textId="77777777" w:rsidR="00E76E51" w:rsidRPr="008378F6" w:rsidRDefault="00E76E51" w:rsidP="00E76E51">
      <w:pPr>
        <w:rPr>
          <w:rFonts w:ascii="Arial" w:hAnsi="Arial" w:cs="Arial"/>
          <w:sz w:val="24"/>
          <w:szCs w:val="24"/>
        </w:rPr>
      </w:pPr>
    </w:p>
    <w:p w14:paraId="1D1E1DCC" w14:textId="77777777" w:rsidR="00E76E51" w:rsidRPr="00FE4F2D" w:rsidRDefault="00E76E51" w:rsidP="00E76E51">
      <w:pPr>
        <w:rPr>
          <w:rFonts w:ascii="Arial" w:hAnsi="Arial" w:cs="Arial"/>
          <w:i/>
          <w:sz w:val="24"/>
          <w:szCs w:val="24"/>
        </w:rPr>
      </w:pPr>
      <w:r w:rsidRPr="008378F6">
        <w:rPr>
          <w:rFonts w:ascii="Arial" w:hAnsi="Arial" w:cs="Arial"/>
          <w:sz w:val="24"/>
          <w:szCs w:val="24"/>
        </w:rPr>
        <w:t>1.Besarb A. Access monitoring is worthwhile and valuable.</w:t>
      </w:r>
      <w:r>
        <w:rPr>
          <w:rFonts w:ascii="Arial" w:hAnsi="Arial" w:cs="Arial"/>
          <w:sz w:val="24"/>
          <w:szCs w:val="24"/>
        </w:rPr>
        <w:t xml:space="preserve"> </w:t>
      </w:r>
      <w:r w:rsidRPr="008378F6">
        <w:rPr>
          <w:rFonts w:ascii="Arial" w:hAnsi="Arial" w:cs="Arial"/>
          <w:i/>
          <w:sz w:val="24"/>
          <w:szCs w:val="24"/>
        </w:rPr>
        <w:t xml:space="preserve">Blood </w:t>
      </w:r>
      <w:proofErr w:type="spellStart"/>
      <w:r w:rsidRPr="008378F6">
        <w:rPr>
          <w:rFonts w:ascii="Arial" w:hAnsi="Arial" w:cs="Arial"/>
          <w:i/>
          <w:sz w:val="24"/>
          <w:szCs w:val="24"/>
        </w:rPr>
        <w:t>Purif</w:t>
      </w:r>
      <w:proofErr w:type="spellEnd"/>
      <w:r>
        <w:rPr>
          <w:rFonts w:ascii="Arial" w:hAnsi="Arial" w:cs="Arial"/>
          <w:i/>
          <w:sz w:val="24"/>
          <w:szCs w:val="24"/>
        </w:rPr>
        <w:t xml:space="preserve">. </w:t>
      </w:r>
      <w:r>
        <w:rPr>
          <w:rFonts w:ascii="Arial" w:hAnsi="Arial" w:cs="Arial"/>
          <w:sz w:val="24"/>
          <w:szCs w:val="24"/>
        </w:rPr>
        <w:t>2006;</w:t>
      </w:r>
      <w:r>
        <w:rPr>
          <w:rFonts w:ascii="Arial" w:hAnsi="Arial" w:cs="Arial"/>
          <w:i/>
          <w:sz w:val="24"/>
          <w:szCs w:val="24"/>
        </w:rPr>
        <w:t xml:space="preserve"> </w:t>
      </w:r>
      <w:r>
        <w:rPr>
          <w:rFonts w:ascii="Arial" w:hAnsi="Arial" w:cs="Arial"/>
          <w:sz w:val="24"/>
          <w:szCs w:val="24"/>
        </w:rPr>
        <w:t>24(1) :77-89. Doi:10.1159/000089442. PMID: 6361846</w:t>
      </w:r>
    </w:p>
    <w:p w14:paraId="2769E5BD" w14:textId="77777777" w:rsidR="00E76E51" w:rsidRPr="008378F6" w:rsidRDefault="00E76E51" w:rsidP="00E76E51">
      <w:pPr>
        <w:rPr>
          <w:rFonts w:ascii="Arial" w:hAnsi="Arial" w:cs="Arial"/>
          <w:sz w:val="24"/>
          <w:szCs w:val="24"/>
        </w:rPr>
      </w:pPr>
      <w:r w:rsidRPr="008378F6">
        <w:rPr>
          <w:rFonts w:ascii="Arial" w:hAnsi="Arial" w:cs="Arial"/>
          <w:sz w:val="24"/>
          <w:szCs w:val="24"/>
        </w:rPr>
        <w:t xml:space="preserve">2.Inston, N. </w:t>
      </w:r>
      <w:proofErr w:type="spellStart"/>
      <w:r w:rsidRPr="008378F6">
        <w:rPr>
          <w:rFonts w:ascii="Arial" w:hAnsi="Arial" w:cs="Arial"/>
          <w:sz w:val="24"/>
          <w:szCs w:val="24"/>
        </w:rPr>
        <w:t>Kirtou</w:t>
      </w:r>
      <w:proofErr w:type="spellEnd"/>
      <w:r w:rsidRPr="008378F6">
        <w:rPr>
          <w:rFonts w:ascii="Arial" w:hAnsi="Arial" w:cs="Arial"/>
          <w:sz w:val="24"/>
          <w:szCs w:val="24"/>
        </w:rPr>
        <w:t xml:space="preserve">, P. M. (2020) Dialysis access needs to be a priority in the COVID-19 era. </w:t>
      </w:r>
      <w:hyperlink r:id="rId9" w:history="1">
        <w:r w:rsidRPr="008378F6">
          <w:rPr>
            <w:rStyle w:val="Hyperlink"/>
            <w:rFonts w:ascii="Arial" w:hAnsi="Arial" w:cs="Arial"/>
            <w:sz w:val="24"/>
            <w:szCs w:val="24"/>
          </w:rPr>
          <w:t>https://vascularnews.com/dialysis-access-needs-to-be-a-priority-in-the-covid-19-era</w:t>
        </w:r>
      </w:hyperlink>
      <w:r>
        <w:rPr>
          <w:rFonts w:ascii="Arial" w:hAnsi="Arial" w:cs="Arial"/>
          <w:sz w:val="24"/>
          <w:szCs w:val="24"/>
        </w:rPr>
        <w:t xml:space="preserve"> (accessed 1st February </w:t>
      </w:r>
      <w:r w:rsidRPr="008378F6">
        <w:rPr>
          <w:rFonts w:ascii="Arial" w:hAnsi="Arial" w:cs="Arial"/>
          <w:sz w:val="24"/>
          <w:szCs w:val="24"/>
        </w:rPr>
        <w:t>2022)</w:t>
      </w:r>
    </w:p>
    <w:p w14:paraId="249F5A34" w14:textId="77777777" w:rsidR="00E76E51" w:rsidRPr="008378F6" w:rsidRDefault="00E76E51" w:rsidP="00E76E51">
      <w:pPr>
        <w:rPr>
          <w:rFonts w:ascii="Arial" w:hAnsi="Arial" w:cs="Arial"/>
          <w:sz w:val="24"/>
          <w:szCs w:val="24"/>
        </w:rPr>
      </w:pPr>
      <w:r w:rsidRPr="008378F6">
        <w:rPr>
          <w:rFonts w:ascii="Arial" w:hAnsi="Arial" w:cs="Arial"/>
          <w:sz w:val="24"/>
          <w:szCs w:val="24"/>
        </w:rPr>
        <w:t xml:space="preserve">3.Hurst, H. </w:t>
      </w:r>
      <w:proofErr w:type="spellStart"/>
      <w:r w:rsidRPr="008378F6">
        <w:rPr>
          <w:rFonts w:ascii="Arial" w:hAnsi="Arial" w:cs="Arial"/>
          <w:sz w:val="24"/>
          <w:szCs w:val="24"/>
        </w:rPr>
        <w:t>Ramsy</w:t>
      </w:r>
      <w:proofErr w:type="spellEnd"/>
      <w:r w:rsidRPr="008378F6">
        <w:rPr>
          <w:rFonts w:ascii="Arial" w:hAnsi="Arial" w:cs="Arial"/>
          <w:sz w:val="24"/>
          <w:szCs w:val="24"/>
        </w:rPr>
        <w:t xml:space="preserve">, S. Jenkins, K. </w:t>
      </w:r>
      <w:proofErr w:type="spellStart"/>
      <w:r w:rsidRPr="008378F6">
        <w:rPr>
          <w:rFonts w:ascii="Arial" w:hAnsi="Arial" w:cs="Arial"/>
          <w:sz w:val="24"/>
          <w:szCs w:val="24"/>
        </w:rPr>
        <w:t>Ormaney</w:t>
      </w:r>
      <w:proofErr w:type="spellEnd"/>
      <w:r w:rsidRPr="008378F6">
        <w:rPr>
          <w:rFonts w:ascii="Arial" w:hAnsi="Arial" w:cs="Arial"/>
          <w:sz w:val="24"/>
          <w:szCs w:val="24"/>
        </w:rPr>
        <w:t xml:space="preserve">, P. (2020) UK survey of renal unit practices and experiences of the COVID-19 pandemic. </w:t>
      </w:r>
      <w:r w:rsidRPr="008378F6">
        <w:rPr>
          <w:rFonts w:ascii="Arial" w:hAnsi="Arial" w:cs="Arial"/>
          <w:i/>
          <w:sz w:val="24"/>
          <w:szCs w:val="24"/>
        </w:rPr>
        <w:t xml:space="preserve">Journal of Kidney care. </w:t>
      </w:r>
      <w:hyperlink r:id="rId10" w:history="1">
        <w:r w:rsidRPr="008378F6">
          <w:rPr>
            <w:rStyle w:val="Hyperlink"/>
            <w:rFonts w:ascii="Arial" w:hAnsi="Arial" w:cs="Arial"/>
            <w:sz w:val="24"/>
            <w:szCs w:val="24"/>
          </w:rPr>
          <w:t>http://doi-org/10.12968/jokc.2020.5.5.2020</w:t>
        </w:r>
      </w:hyperlink>
      <w:r w:rsidRPr="008378F6">
        <w:rPr>
          <w:rFonts w:ascii="Arial" w:hAnsi="Arial" w:cs="Arial"/>
          <w:sz w:val="24"/>
          <w:szCs w:val="24"/>
        </w:rPr>
        <w:t>.</w:t>
      </w:r>
    </w:p>
    <w:p w14:paraId="10544EDE" w14:textId="77777777" w:rsidR="00E76E51" w:rsidRPr="008378F6" w:rsidRDefault="00E76E51" w:rsidP="00E76E51">
      <w:pPr>
        <w:rPr>
          <w:rFonts w:ascii="Arial" w:hAnsi="Arial" w:cs="Arial"/>
          <w:sz w:val="24"/>
          <w:szCs w:val="24"/>
        </w:rPr>
      </w:pPr>
      <w:r w:rsidRPr="008378F6">
        <w:rPr>
          <w:rFonts w:ascii="Arial" w:hAnsi="Arial" w:cs="Arial"/>
          <w:sz w:val="24"/>
          <w:szCs w:val="24"/>
        </w:rPr>
        <w:t xml:space="preserve">4.Ross-smith, M. Wallace, H. (2022) The downside of telephone health visits in a kidney transplant patient during the COVID-19 pandemic. </w:t>
      </w:r>
      <w:hyperlink r:id="rId11" w:history="1">
        <w:r w:rsidRPr="00E02FB0">
          <w:rPr>
            <w:rStyle w:val="Hyperlink"/>
            <w:rFonts w:ascii="Arial" w:hAnsi="Arial" w:cs="Arial"/>
            <w:sz w:val="24"/>
            <w:szCs w:val="24"/>
          </w:rPr>
          <w:t>www.kidney360.org</w:t>
        </w:r>
      </w:hyperlink>
      <w:r w:rsidRPr="00E02FB0">
        <w:rPr>
          <w:rFonts w:ascii="Arial" w:hAnsi="Arial" w:cs="Arial"/>
          <w:sz w:val="24"/>
          <w:szCs w:val="24"/>
        </w:rPr>
        <w:t xml:space="preserve"> </w:t>
      </w:r>
      <w:r w:rsidRPr="008378F6">
        <w:rPr>
          <w:rFonts w:ascii="Arial" w:hAnsi="Arial" w:cs="Arial"/>
          <w:sz w:val="24"/>
          <w:szCs w:val="24"/>
        </w:rPr>
        <w:t>190-191</w:t>
      </w:r>
      <w:r>
        <w:rPr>
          <w:rFonts w:ascii="Arial" w:hAnsi="Arial" w:cs="Arial"/>
          <w:sz w:val="24"/>
          <w:szCs w:val="24"/>
        </w:rPr>
        <w:t>. http://doi.org/10.34067/KID.0004562021</w:t>
      </w:r>
    </w:p>
    <w:p w14:paraId="0D624330" w14:textId="77777777" w:rsidR="00E76E51" w:rsidRPr="008378F6" w:rsidRDefault="00E76E51" w:rsidP="00E76E51">
      <w:pPr>
        <w:rPr>
          <w:rFonts w:ascii="Arial" w:hAnsi="Arial" w:cs="Arial"/>
          <w:sz w:val="24"/>
          <w:szCs w:val="24"/>
        </w:rPr>
      </w:pPr>
      <w:r w:rsidRPr="008378F6">
        <w:rPr>
          <w:rFonts w:ascii="Arial" w:hAnsi="Arial" w:cs="Arial"/>
          <w:sz w:val="24"/>
          <w:szCs w:val="24"/>
        </w:rPr>
        <w:t xml:space="preserve">5. Smith, G. </w:t>
      </w:r>
      <w:proofErr w:type="spellStart"/>
      <w:r w:rsidRPr="008378F6">
        <w:rPr>
          <w:rFonts w:ascii="Arial" w:hAnsi="Arial" w:cs="Arial"/>
          <w:sz w:val="24"/>
          <w:szCs w:val="24"/>
        </w:rPr>
        <w:t>Chetter</w:t>
      </w:r>
      <w:proofErr w:type="spellEnd"/>
      <w:r w:rsidRPr="008378F6">
        <w:rPr>
          <w:rFonts w:ascii="Arial" w:hAnsi="Arial" w:cs="Arial"/>
          <w:sz w:val="24"/>
          <w:szCs w:val="24"/>
        </w:rPr>
        <w:t xml:space="preserve">, I. (2012) Factors affecting the patency of arteriovenous fistulas for dialysis access. </w:t>
      </w:r>
      <w:r w:rsidRPr="008378F6">
        <w:rPr>
          <w:rFonts w:ascii="Arial" w:hAnsi="Arial" w:cs="Arial"/>
          <w:i/>
          <w:sz w:val="24"/>
          <w:szCs w:val="24"/>
        </w:rPr>
        <w:t xml:space="preserve">Journal of Vascular surgery. </w:t>
      </w:r>
      <w:r w:rsidRPr="008378F6">
        <w:rPr>
          <w:rFonts w:ascii="Arial" w:hAnsi="Arial" w:cs="Arial"/>
          <w:sz w:val="24"/>
          <w:szCs w:val="24"/>
        </w:rPr>
        <w:t>55: 849-55</w:t>
      </w:r>
      <w:r>
        <w:rPr>
          <w:rFonts w:ascii="Arial" w:hAnsi="Arial" w:cs="Arial"/>
          <w:sz w:val="24"/>
          <w:szCs w:val="24"/>
        </w:rPr>
        <w:t xml:space="preserve"> </w:t>
      </w:r>
      <w:hyperlink r:id="rId12" w:history="1">
        <w:r w:rsidRPr="00865302">
          <w:rPr>
            <w:rStyle w:val="Hyperlink"/>
            <w:rFonts w:ascii="Arial" w:hAnsi="Arial" w:cs="Arial"/>
            <w:sz w:val="24"/>
            <w:szCs w:val="24"/>
          </w:rPr>
          <w:t>https://doi.org/10.1016/j.jvs.2011.07.095</w:t>
        </w:r>
      </w:hyperlink>
      <w:r>
        <w:rPr>
          <w:rFonts w:ascii="Arial" w:hAnsi="Arial" w:cs="Arial"/>
          <w:sz w:val="24"/>
          <w:szCs w:val="24"/>
        </w:rPr>
        <w:t xml:space="preserve"> </w:t>
      </w:r>
    </w:p>
    <w:p w14:paraId="0DB8462F" w14:textId="77777777" w:rsidR="00E76E51" w:rsidRPr="008378F6" w:rsidRDefault="00E76E51" w:rsidP="00E76E51">
      <w:pPr>
        <w:rPr>
          <w:rFonts w:ascii="Arial" w:hAnsi="Arial" w:cs="Arial"/>
          <w:sz w:val="24"/>
          <w:szCs w:val="24"/>
        </w:rPr>
      </w:pPr>
      <w:r w:rsidRPr="008378F6">
        <w:rPr>
          <w:rFonts w:ascii="Arial" w:hAnsi="Arial" w:cs="Arial"/>
          <w:sz w:val="24"/>
          <w:szCs w:val="24"/>
        </w:rPr>
        <w:t xml:space="preserve">6.Ravani, P. Quinn, R. Oliver, M. </w:t>
      </w:r>
      <w:proofErr w:type="spellStart"/>
      <w:r w:rsidRPr="008378F6">
        <w:rPr>
          <w:rFonts w:ascii="Arial" w:hAnsi="Arial" w:cs="Arial"/>
          <w:sz w:val="24"/>
          <w:szCs w:val="24"/>
        </w:rPr>
        <w:t>Karsanji</w:t>
      </w:r>
      <w:proofErr w:type="spellEnd"/>
      <w:r w:rsidRPr="008378F6">
        <w:rPr>
          <w:rFonts w:ascii="Arial" w:hAnsi="Arial" w:cs="Arial"/>
          <w:sz w:val="24"/>
          <w:szCs w:val="24"/>
        </w:rPr>
        <w:t xml:space="preserve">, D. James, M. </w:t>
      </w:r>
      <w:proofErr w:type="spellStart"/>
      <w:r w:rsidRPr="008378F6">
        <w:rPr>
          <w:rFonts w:ascii="Arial" w:hAnsi="Arial" w:cs="Arial"/>
          <w:sz w:val="24"/>
          <w:szCs w:val="24"/>
        </w:rPr>
        <w:t>MacRae</w:t>
      </w:r>
      <w:proofErr w:type="spellEnd"/>
      <w:r w:rsidRPr="008378F6">
        <w:rPr>
          <w:rFonts w:ascii="Arial" w:hAnsi="Arial" w:cs="Arial"/>
          <w:sz w:val="24"/>
          <w:szCs w:val="24"/>
        </w:rPr>
        <w:t>, J.(2016) pre</w:t>
      </w:r>
      <w:r>
        <w:rPr>
          <w:rFonts w:ascii="Arial" w:hAnsi="Arial" w:cs="Arial"/>
          <w:sz w:val="24"/>
          <w:szCs w:val="24"/>
        </w:rPr>
        <w:t>-</w:t>
      </w:r>
      <w:r w:rsidRPr="008378F6">
        <w:rPr>
          <w:rFonts w:ascii="Arial" w:hAnsi="Arial" w:cs="Arial"/>
          <w:sz w:val="24"/>
          <w:szCs w:val="24"/>
        </w:rPr>
        <w:t xml:space="preserve">emptive correction of arteriovenous access stenosis: a systematic review and meta-analysis of randomized controlled trials. </w:t>
      </w:r>
      <w:r w:rsidRPr="008378F6">
        <w:rPr>
          <w:rFonts w:ascii="Arial" w:hAnsi="Arial" w:cs="Arial"/>
          <w:i/>
          <w:sz w:val="24"/>
          <w:szCs w:val="24"/>
        </w:rPr>
        <w:t>American Journal of Kidney Diseases</w:t>
      </w:r>
      <w:r w:rsidRPr="008378F6">
        <w:rPr>
          <w:rFonts w:ascii="Arial" w:hAnsi="Arial" w:cs="Arial"/>
          <w:sz w:val="24"/>
          <w:szCs w:val="24"/>
        </w:rPr>
        <w:t xml:space="preserve">; </w:t>
      </w:r>
      <w:proofErr w:type="spellStart"/>
      <w:r w:rsidRPr="008378F6">
        <w:rPr>
          <w:rFonts w:ascii="Arial" w:hAnsi="Arial" w:cs="Arial"/>
          <w:sz w:val="24"/>
          <w:szCs w:val="24"/>
        </w:rPr>
        <w:t>ePub:in</w:t>
      </w:r>
      <w:proofErr w:type="spellEnd"/>
      <w:r w:rsidRPr="008378F6">
        <w:rPr>
          <w:rFonts w:ascii="Arial" w:hAnsi="Arial" w:cs="Arial"/>
          <w:sz w:val="24"/>
          <w:szCs w:val="24"/>
        </w:rPr>
        <w:t xml:space="preserve"> press</w:t>
      </w:r>
    </w:p>
    <w:p w14:paraId="71691FF6" w14:textId="77777777" w:rsidR="00E76E51" w:rsidRPr="008378F6" w:rsidRDefault="00E76E51" w:rsidP="00E76E51">
      <w:pPr>
        <w:rPr>
          <w:rFonts w:ascii="Arial" w:hAnsi="Arial" w:cs="Arial"/>
          <w:sz w:val="24"/>
          <w:szCs w:val="24"/>
        </w:rPr>
      </w:pPr>
      <w:r w:rsidRPr="008378F6">
        <w:rPr>
          <w:rFonts w:ascii="Arial" w:hAnsi="Arial" w:cs="Arial"/>
          <w:sz w:val="24"/>
          <w:szCs w:val="24"/>
        </w:rPr>
        <w:t xml:space="preserve">7.Tonelli, M. James, M. Wiebe, N. Jindal, K. </w:t>
      </w:r>
      <w:proofErr w:type="spellStart"/>
      <w:r w:rsidRPr="008378F6">
        <w:rPr>
          <w:rFonts w:ascii="Arial" w:hAnsi="Arial" w:cs="Arial"/>
          <w:sz w:val="24"/>
          <w:szCs w:val="24"/>
        </w:rPr>
        <w:t>Hemmelgarn</w:t>
      </w:r>
      <w:proofErr w:type="spellEnd"/>
      <w:r w:rsidRPr="008378F6">
        <w:rPr>
          <w:rFonts w:ascii="Arial" w:hAnsi="Arial" w:cs="Arial"/>
          <w:sz w:val="24"/>
          <w:szCs w:val="24"/>
        </w:rPr>
        <w:t xml:space="preserve">, B. </w:t>
      </w:r>
      <w:proofErr w:type="spellStart"/>
      <w:r w:rsidRPr="008378F6">
        <w:rPr>
          <w:rFonts w:ascii="Arial" w:hAnsi="Arial" w:cs="Arial"/>
          <w:sz w:val="24"/>
          <w:szCs w:val="24"/>
        </w:rPr>
        <w:t>Aalberta</w:t>
      </w:r>
      <w:proofErr w:type="spellEnd"/>
      <w:r w:rsidRPr="008378F6">
        <w:rPr>
          <w:rFonts w:ascii="Arial" w:hAnsi="Arial" w:cs="Arial"/>
          <w:sz w:val="24"/>
          <w:szCs w:val="24"/>
        </w:rPr>
        <w:t xml:space="preserve"> Kidney Disease Network.</w:t>
      </w:r>
      <w:r>
        <w:rPr>
          <w:rFonts w:ascii="Arial" w:hAnsi="Arial" w:cs="Arial"/>
          <w:sz w:val="24"/>
          <w:szCs w:val="24"/>
        </w:rPr>
        <w:t xml:space="preserve"> (2008)</w:t>
      </w:r>
      <w:r w:rsidRPr="008378F6">
        <w:rPr>
          <w:rFonts w:ascii="Arial" w:hAnsi="Arial" w:cs="Arial"/>
          <w:sz w:val="24"/>
          <w:szCs w:val="24"/>
        </w:rPr>
        <w:t xml:space="preserve"> Ultrasound monitoring to detect access stenosis in haemodialysis patients: a systemic review.</w:t>
      </w:r>
      <w:r w:rsidRPr="008378F6">
        <w:rPr>
          <w:rFonts w:ascii="Arial" w:hAnsi="Arial" w:cs="Arial"/>
          <w:i/>
          <w:sz w:val="24"/>
          <w:szCs w:val="24"/>
        </w:rPr>
        <w:t xml:space="preserve"> Amer</w:t>
      </w:r>
      <w:r>
        <w:rPr>
          <w:rFonts w:ascii="Arial" w:hAnsi="Arial" w:cs="Arial"/>
          <w:i/>
          <w:sz w:val="24"/>
          <w:szCs w:val="24"/>
        </w:rPr>
        <w:t>ican Journal of Kidney Diseases</w:t>
      </w:r>
      <w:r>
        <w:rPr>
          <w:rFonts w:ascii="Arial" w:hAnsi="Arial" w:cs="Arial"/>
          <w:sz w:val="24"/>
          <w:szCs w:val="24"/>
        </w:rPr>
        <w:t>; 51 (4)</w:t>
      </w:r>
      <w:r w:rsidRPr="008378F6">
        <w:rPr>
          <w:rFonts w:ascii="Arial" w:hAnsi="Arial" w:cs="Arial"/>
          <w:sz w:val="24"/>
          <w:szCs w:val="24"/>
        </w:rPr>
        <w:t>: 630-40</w:t>
      </w:r>
      <w:r>
        <w:rPr>
          <w:rFonts w:ascii="Arial" w:hAnsi="Arial" w:cs="Arial"/>
          <w:sz w:val="24"/>
          <w:szCs w:val="24"/>
        </w:rPr>
        <w:t xml:space="preserve"> (MEDLINE: 18371539)</w:t>
      </w:r>
    </w:p>
    <w:p w14:paraId="68FC049E" w14:textId="77777777" w:rsidR="00E76E51" w:rsidRPr="008378F6" w:rsidRDefault="00E76E51" w:rsidP="00E76E51">
      <w:pPr>
        <w:pStyle w:val="NormalWeb"/>
        <w:rPr>
          <w:rFonts w:ascii="Arial" w:eastAsiaTheme="minorEastAsia" w:hAnsi="Arial" w:cs="Arial"/>
        </w:rPr>
      </w:pPr>
      <w:r w:rsidRPr="008378F6">
        <w:rPr>
          <w:rFonts w:ascii="Arial" w:eastAsiaTheme="minorEastAsia" w:hAnsi="Arial" w:cs="Arial"/>
        </w:rPr>
        <w:t xml:space="preserve">8.Pietryga, J. A. (2017) </w:t>
      </w:r>
      <w:r w:rsidRPr="008378F6">
        <w:rPr>
          <w:rFonts w:ascii="Arial" w:eastAsiaTheme="minorEastAsia" w:hAnsi="Arial" w:cs="Arial"/>
          <w:iCs/>
        </w:rPr>
        <w:t xml:space="preserve">Sonography of arteriovenous fistulas and grafts. </w:t>
      </w:r>
      <w:r w:rsidRPr="008378F6">
        <w:rPr>
          <w:rFonts w:ascii="Arial" w:eastAsiaTheme="minorEastAsia" w:hAnsi="Arial" w:cs="Arial"/>
          <w:i/>
        </w:rPr>
        <w:t>Seminars in dialysis,</w:t>
      </w:r>
      <w:r>
        <w:rPr>
          <w:rFonts w:ascii="Arial" w:eastAsiaTheme="minorEastAsia" w:hAnsi="Arial" w:cs="Arial"/>
        </w:rPr>
        <w:t xml:space="preserve"> 30 (4);</w:t>
      </w:r>
      <w:r w:rsidRPr="008378F6">
        <w:rPr>
          <w:rFonts w:ascii="Arial" w:eastAsiaTheme="minorEastAsia" w:hAnsi="Arial" w:cs="Arial"/>
        </w:rPr>
        <w:t xml:space="preserve"> 309-311.</w:t>
      </w:r>
      <w:r>
        <w:rPr>
          <w:rFonts w:ascii="Arial" w:eastAsiaTheme="minorEastAsia" w:hAnsi="Arial" w:cs="Arial"/>
        </w:rPr>
        <w:t xml:space="preserve"> ISSN: 0894-0959 </w:t>
      </w:r>
    </w:p>
    <w:p w14:paraId="274A231A" w14:textId="77777777" w:rsidR="00E76E51" w:rsidRPr="008378F6" w:rsidRDefault="00E76E51" w:rsidP="00E76E51">
      <w:pPr>
        <w:rPr>
          <w:rFonts w:ascii="Arial" w:hAnsi="Arial" w:cs="Arial"/>
          <w:sz w:val="24"/>
          <w:szCs w:val="24"/>
        </w:rPr>
      </w:pPr>
      <w:r w:rsidRPr="008378F6">
        <w:rPr>
          <w:rFonts w:ascii="Arial" w:hAnsi="Arial" w:cs="Arial"/>
          <w:sz w:val="24"/>
          <w:szCs w:val="24"/>
        </w:rPr>
        <w:t>9.Quencer, K. B. Kidd, J. Kinney, T. (2017) pre-proce</w:t>
      </w:r>
      <w:r w:rsidRPr="008378F6">
        <w:rPr>
          <w:rFonts w:ascii="Arial" w:hAnsi="Arial" w:cs="Arial"/>
          <w:iCs/>
          <w:sz w:val="24"/>
          <w:szCs w:val="24"/>
        </w:rPr>
        <w:t xml:space="preserve">dure evaluation of a dysfunctional dialysis access. </w:t>
      </w:r>
      <w:r w:rsidRPr="008378F6">
        <w:rPr>
          <w:rFonts w:ascii="Arial" w:hAnsi="Arial" w:cs="Arial"/>
          <w:i/>
          <w:sz w:val="24"/>
          <w:szCs w:val="24"/>
        </w:rPr>
        <w:t>Techniques in vascular and interventional radiology</w:t>
      </w:r>
      <w:r w:rsidRPr="008378F6">
        <w:rPr>
          <w:rFonts w:ascii="Arial" w:hAnsi="Arial" w:cs="Arial"/>
          <w:i/>
          <w:iCs/>
          <w:sz w:val="24"/>
          <w:szCs w:val="24"/>
        </w:rPr>
        <w:t>.</w:t>
      </w:r>
      <w:r>
        <w:rPr>
          <w:rFonts w:ascii="Arial" w:hAnsi="Arial" w:cs="Arial"/>
          <w:sz w:val="24"/>
          <w:szCs w:val="24"/>
        </w:rPr>
        <w:t xml:space="preserve">  20 (1);</w:t>
      </w:r>
      <w:r w:rsidRPr="008378F6">
        <w:rPr>
          <w:rFonts w:ascii="Arial" w:hAnsi="Arial" w:cs="Arial"/>
          <w:sz w:val="24"/>
          <w:szCs w:val="24"/>
        </w:rPr>
        <w:t xml:space="preserve"> 20-31</w:t>
      </w:r>
    </w:p>
    <w:p w14:paraId="62316007" w14:textId="77777777" w:rsidR="00E76E51" w:rsidRPr="008378F6" w:rsidRDefault="00E76E51" w:rsidP="00E76E51">
      <w:pPr>
        <w:rPr>
          <w:rFonts w:ascii="Arial" w:hAnsi="Arial" w:cs="Arial"/>
          <w:sz w:val="24"/>
          <w:szCs w:val="24"/>
        </w:rPr>
      </w:pPr>
      <w:r w:rsidRPr="008378F6">
        <w:rPr>
          <w:rFonts w:ascii="Arial" w:hAnsi="Arial" w:cs="Arial"/>
          <w:sz w:val="24"/>
          <w:szCs w:val="24"/>
        </w:rPr>
        <w:t xml:space="preserve">10.Poulson, W. Moist, L. Lok, C. (2012) Vascular access surveillance, an ongoing controversy. Kidney International. </w:t>
      </w:r>
      <w:r w:rsidRPr="008378F6">
        <w:rPr>
          <w:rFonts w:ascii="Arial" w:hAnsi="Arial" w:cs="Arial"/>
          <w:i/>
          <w:sz w:val="24"/>
          <w:szCs w:val="24"/>
        </w:rPr>
        <w:t xml:space="preserve">International society of Nephrology. </w:t>
      </w:r>
      <w:r w:rsidRPr="008378F6">
        <w:rPr>
          <w:rFonts w:ascii="Arial" w:hAnsi="Arial" w:cs="Arial"/>
          <w:sz w:val="24"/>
          <w:szCs w:val="24"/>
        </w:rPr>
        <w:t>81, 132-42.</w:t>
      </w:r>
      <w:r>
        <w:rPr>
          <w:rFonts w:ascii="Arial" w:hAnsi="Arial" w:cs="Arial"/>
          <w:sz w:val="24"/>
          <w:szCs w:val="24"/>
        </w:rPr>
        <w:t xml:space="preserve"> Doi:10.1038/ki.201.337 </w:t>
      </w:r>
    </w:p>
    <w:p w14:paraId="1B3DE69B" w14:textId="77777777" w:rsidR="00E76E51" w:rsidRPr="008378F6" w:rsidRDefault="00E76E51" w:rsidP="00E76E51">
      <w:pPr>
        <w:pStyle w:val="NormalWeb"/>
        <w:rPr>
          <w:rFonts w:ascii="Arial" w:hAnsi="Arial" w:cs="Arial"/>
        </w:rPr>
      </w:pPr>
      <w:r w:rsidRPr="008378F6">
        <w:rPr>
          <w:rFonts w:ascii="Arial" w:hAnsi="Arial" w:cs="Arial"/>
        </w:rPr>
        <w:lastRenderedPageBreak/>
        <w:t xml:space="preserve">11. Polkinghorne, K. (2008) </w:t>
      </w:r>
      <w:r w:rsidRPr="008378F6">
        <w:rPr>
          <w:rFonts w:ascii="Arial" w:hAnsi="Arial" w:cs="Arial"/>
          <w:iCs/>
        </w:rPr>
        <w:t>Vascular access surveillance</w:t>
      </w:r>
      <w:r w:rsidRPr="008378F6">
        <w:rPr>
          <w:rFonts w:ascii="Arial" w:hAnsi="Arial" w:cs="Arial"/>
        </w:rPr>
        <w:t xml:space="preserve">. </w:t>
      </w:r>
      <w:r w:rsidRPr="008378F6">
        <w:rPr>
          <w:rFonts w:ascii="Arial" w:hAnsi="Arial" w:cs="Arial"/>
          <w:i/>
        </w:rPr>
        <w:t>Asian pacific society for nephrology</w:t>
      </w:r>
      <w:r w:rsidRPr="008378F6">
        <w:rPr>
          <w:rFonts w:ascii="Arial" w:hAnsi="Arial" w:cs="Arial"/>
        </w:rPr>
        <w:t xml:space="preserve">. 13 </w:t>
      </w:r>
      <w:r>
        <w:rPr>
          <w:rFonts w:ascii="Arial" w:hAnsi="Arial" w:cs="Arial"/>
        </w:rPr>
        <w:t>(2);</w:t>
      </w:r>
      <w:r w:rsidRPr="008378F6">
        <w:rPr>
          <w:rFonts w:ascii="Arial" w:hAnsi="Arial" w:cs="Arial"/>
        </w:rPr>
        <w:t xml:space="preserve"> S1-S11</w:t>
      </w:r>
      <w:r>
        <w:rPr>
          <w:rFonts w:ascii="Arial" w:hAnsi="Arial" w:cs="Arial"/>
        </w:rPr>
        <w:t xml:space="preserve"> (MEDLINE: 18713118)</w:t>
      </w:r>
    </w:p>
    <w:p w14:paraId="30C477AA" w14:textId="77777777" w:rsidR="00E76E51" w:rsidRPr="008378F6" w:rsidRDefault="00E76E51" w:rsidP="00E76E51">
      <w:pPr>
        <w:rPr>
          <w:rFonts w:ascii="Arial" w:hAnsi="Arial" w:cs="Arial"/>
          <w:sz w:val="24"/>
          <w:szCs w:val="24"/>
        </w:rPr>
      </w:pPr>
      <w:r w:rsidRPr="008378F6">
        <w:rPr>
          <w:rFonts w:ascii="Arial" w:hAnsi="Arial" w:cs="Arial"/>
          <w:sz w:val="24"/>
          <w:szCs w:val="24"/>
        </w:rPr>
        <w:t xml:space="preserve">12.Kumwenda, M. Mitra, S. (2015) Clinical practice guidelines: </w:t>
      </w:r>
      <w:r w:rsidRPr="008378F6">
        <w:rPr>
          <w:rFonts w:ascii="Arial" w:hAnsi="Arial" w:cs="Arial"/>
          <w:iCs/>
          <w:sz w:val="24"/>
          <w:szCs w:val="24"/>
        </w:rPr>
        <w:t>Vascular access for haemodialysis</w:t>
      </w:r>
      <w:r w:rsidRPr="008378F6">
        <w:rPr>
          <w:rFonts w:ascii="Arial" w:hAnsi="Arial" w:cs="Arial"/>
          <w:sz w:val="24"/>
          <w:szCs w:val="24"/>
        </w:rPr>
        <w:t xml:space="preserve">1.1-8.3. </w:t>
      </w:r>
      <w:r w:rsidRPr="008378F6">
        <w:rPr>
          <w:rFonts w:ascii="Arial" w:hAnsi="Arial" w:cs="Arial"/>
          <w:i/>
          <w:sz w:val="24"/>
          <w:szCs w:val="24"/>
        </w:rPr>
        <w:t>UK Renal association</w:t>
      </w:r>
      <w:r w:rsidRPr="008378F6">
        <w:rPr>
          <w:rFonts w:ascii="Arial" w:hAnsi="Arial" w:cs="Arial"/>
          <w:sz w:val="24"/>
          <w:szCs w:val="24"/>
        </w:rPr>
        <w:t xml:space="preserve"> 6</w:t>
      </w:r>
      <w:r w:rsidRPr="008378F6">
        <w:rPr>
          <w:rFonts w:ascii="Arial" w:hAnsi="Arial" w:cs="Arial"/>
          <w:sz w:val="24"/>
          <w:szCs w:val="24"/>
          <w:vertAlign w:val="superscript"/>
        </w:rPr>
        <w:t>th</w:t>
      </w:r>
      <w:r w:rsidRPr="008378F6">
        <w:rPr>
          <w:rFonts w:ascii="Arial" w:hAnsi="Arial" w:cs="Arial"/>
          <w:sz w:val="24"/>
          <w:szCs w:val="24"/>
        </w:rPr>
        <w:t xml:space="preserve"> edition.</w:t>
      </w:r>
      <w:r>
        <w:rPr>
          <w:rFonts w:ascii="Arial" w:hAnsi="Arial" w:cs="Arial"/>
          <w:sz w:val="24"/>
          <w:szCs w:val="24"/>
        </w:rPr>
        <w:t xml:space="preserve"> </w:t>
      </w:r>
      <w:hyperlink r:id="rId13" w:history="1">
        <w:r w:rsidRPr="00865302">
          <w:rPr>
            <w:rStyle w:val="Hyperlink"/>
            <w:rFonts w:ascii="Arial" w:hAnsi="Arial" w:cs="Arial"/>
            <w:sz w:val="24"/>
            <w:szCs w:val="24"/>
          </w:rPr>
          <w:t>www.renal.org/guidelines</w:t>
        </w:r>
      </w:hyperlink>
      <w:r>
        <w:rPr>
          <w:rFonts w:ascii="Arial" w:hAnsi="Arial" w:cs="Arial"/>
          <w:sz w:val="24"/>
          <w:szCs w:val="24"/>
        </w:rPr>
        <w:t xml:space="preserve"> </w:t>
      </w:r>
    </w:p>
    <w:p w14:paraId="7C2F86CD" w14:textId="77777777" w:rsidR="00E76E51" w:rsidRDefault="00E76E51" w:rsidP="00E76E51">
      <w:pPr>
        <w:rPr>
          <w:rFonts w:ascii="Arial" w:hAnsi="Arial" w:cs="Arial"/>
          <w:i/>
          <w:sz w:val="24"/>
          <w:szCs w:val="24"/>
        </w:rPr>
      </w:pPr>
      <w:r w:rsidRPr="008378F6">
        <w:rPr>
          <w:rFonts w:ascii="Arial" w:hAnsi="Arial" w:cs="Arial"/>
          <w:sz w:val="24"/>
          <w:szCs w:val="24"/>
        </w:rPr>
        <w:t>13. Al-Mansouri, A. Al-</w:t>
      </w:r>
      <w:proofErr w:type="spellStart"/>
      <w:r w:rsidRPr="008378F6">
        <w:rPr>
          <w:rFonts w:ascii="Arial" w:hAnsi="Arial" w:cs="Arial"/>
          <w:sz w:val="24"/>
          <w:szCs w:val="24"/>
        </w:rPr>
        <w:t>ali</w:t>
      </w:r>
      <w:proofErr w:type="spellEnd"/>
      <w:r w:rsidRPr="008378F6">
        <w:rPr>
          <w:rFonts w:ascii="Arial" w:hAnsi="Arial" w:cs="Arial"/>
          <w:sz w:val="24"/>
          <w:szCs w:val="24"/>
        </w:rPr>
        <w:t xml:space="preserve">, F. S. Hamad, A.I. </w:t>
      </w:r>
      <w:proofErr w:type="spellStart"/>
      <w:r w:rsidRPr="008378F6">
        <w:rPr>
          <w:rFonts w:ascii="Arial" w:hAnsi="Arial" w:cs="Arial"/>
          <w:sz w:val="24"/>
          <w:szCs w:val="24"/>
        </w:rPr>
        <w:t>Ibahim</w:t>
      </w:r>
      <w:proofErr w:type="spellEnd"/>
      <w:r w:rsidRPr="008378F6">
        <w:rPr>
          <w:rFonts w:ascii="Arial" w:hAnsi="Arial" w:cs="Arial"/>
          <w:sz w:val="24"/>
          <w:szCs w:val="24"/>
        </w:rPr>
        <w:t xml:space="preserve">, M. I. M. (2021) Assessment of treatment burden and its impact on quality of life in dialysis-dependent and pre-dialysis chronic kidney patients. </w:t>
      </w:r>
      <w:r w:rsidRPr="008378F6">
        <w:rPr>
          <w:rFonts w:ascii="Arial" w:hAnsi="Arial" w:cs="Arial"/>
          <w:i/>
          <w:sz w:val="24"/>
          <w:szCs w:val="24"/>
        </w:rPr>
        <w:t>Research</w:t>
      </w:r>
      <w:r w:rsidRPr="008378F6">
        <w:rPr>
          <w:rFonts w:ascii="Arial" w:hAnsi="Arial" w:cs="Arial"/>
          <w:sz w:val="24"/>
          <w:szCs w:val="24"/>
        </w:rPr>
        <w:t xml:space="preserve"> </w:t>
      </w:r>
      <w:r w:rsidRPr="008378F6">
        <w:rPr>
          <w:rFonts w:ascii="Arial" w:hAnsi="Arial" w:cs="Arial"/>
          <w:i/>
          <w:sz w:val="24"/>
          <w:szCs w:val="24"/>
        </w:rPr>
        <w:t xml:space="preserve">in social and administrative pharmacy </w:t>
      </w:r>
      <w:r w:rsidRPr="008378F6">
        <w:rPr>
          <w:rFonts w:ascii="Arial" w:hAnsi="Arial" w:cs="Arial"/>
          <w:sz w:val="24"/>
          <w:szCs w:val="24"/>
        </w:rPr>
        <w:t xml:space="preserve">17 </w:t>
      </w:r>
      <w:proofErr w:type="spellStart"/>
      <w:r w:rsidRPr="008378F6">
        <w:rPr>
          <w:rFonts w:ascii="Arial" w:hAnsi="Arial" w:cs="Arial"/>
          <w:sz w:val="24"/>
          <w:szCs w:val="24"/>
        </w:rPr>
        <w:t>pg</w:t>
      </w:r>
      <w:proofErr w:type="spellEnd"/>
      <w:r w:rsidRPr="008378F6">
        <w:rPr>
          <w:rFonts w:ascii="Arial" w:hAnsi="Arial" w:cs="Arial"/>
          <w:sz w:val="24"/>
          <w:szCs w:val="24"/>
        </w:rPr>
        <w:t xml:space="preserve"> 1937-1944</w:t>
      </w:r>
      <w:r w:rsidRPr="008378F6">
        <w:rPr>
          <w:rFonts w:ascii="Arial" w:hAnsi="Arial" w:cs="Arial"/>
          <w:i/>
          <w:sz w:val="24"/>
          <w:szCs w:val="24"/>
        </w:rPr>
        <w:t xml:space="preserve">. </w:t>
      </w:r>
    </w:p>
    <w:p w14:paraId="465362B4" w14:textId="77777777" w:rsidR="00E76E51" w:rsidRDefault="00E76E51" w:rsidP="00E76E51">
      <w:pPr>
        <w:rPr>
          <w:rFonts w:ascii="Arial" w:hAnsi="Arial" w:cs="Arial"/>
          <w:sz w:val="24"/>
          <w:szCs w:val="24"/>
        </w:rPr>
      </w:pPr>
      <w:r>
        <w:rPr>
          <w:rFonts w:ascii="Arial" w:hAnsi="Arial" w:cs="Arial"/>
          <w:sz w:val="24"/>
          <w:szCs w:val="24"/>
        </w:rPr>
        <w:t xml:space="preserve">14. Price, P. </w:t>
      </w:r>
      <w:proofErr w:type="spellStart"/>
      <w:r>
        <w:rPr>
          <w:rFonts w:ascii="Arial" w:hAnsi="Arial" w:cs="Arial"/>
          <w:sz w:val="24"/>
          <w:szCs w:val="24"/>
        </w:rPr>
        <w:t>Jhangiani</w:t>
      </w:r>
      <w:proofErr w:type="spellEnd"/>
      <w:r>
        <w:rPr>
          <w:rFonts w:ascii="Arial" w:hAnsi="Arial" w:cs="Arial"/>
          <w:sz w:val="24"/>
          <w:szCs w:val="24"/>
        </w:rPr>
        <w:t xml:space="preserve">, I. Research methods in psychology. </w:t>
      </w:r>
      <w:hyperlink r:id="rId14" w:history="1">
        <w:r w:rsidRPr="00865302">
          <w:rPr>
            <w:rStyle w:val="Hyperlink"/>
            <w:rFonts w:ascii="Arial" w:hAnsi="Arial" w:cs="Arial"/>
            <w:sz w:val="24"/>
            <w:szCs w:val="24"/>
          </w:rPr>
          <w:t>https://opentextbc.ca/researchmethods/chapter/quasi-exeriemtal-research/#</w:t>
        </w:r>
      </w:hyperlink>
      <w:r>
        <w:rPr>
          <w:rFonts w:ascii="Arial" w:hAnsi="Arial" w:cs="Arial"/>
          <w:sz w:val="24"/>
          <w:szCs w:val="24"/>
        </w:rPr>
        <w:t xml:space="preserve"> </w:t>
      </w:r>
      <w:proofErr w:type="spellStart"/>
      <w:r>
        <w:rPr>
          <w:rFonts w:ascii="Arial" w:hAnsi="Arial" w:cs="Arial"/>
          <w:sz w:val="24"/>
          <w:szCs w:val="24"/>
        </w:rPr>
        <w:t>pg</w:t>
      </w:r>
      <w:proofErr w:type="spellEnd"/>
      <w:r>
        <w:rPr>
          <w:rFonts w:ascii="Arial" w:hAnsi="Arial" w:cs="Arial"/>
          <w:sz w:val="24"/>
          <w:szCs w:val="24"/>
        </w:rPr>
        <w:t xml:space="preserve"> 197</w:t>
      </w:r>
    </w:p>
    <w:p w14:paraId="07FE7387" w14:textId="77777777" w:rsidR="00E76E51" w:rsidRPr="00963F2C" w:rsidRDefault="00E76E51" w:rsidP="00E76E51">
      <w:pPr>
        <w:rPr>
          <w:rFonts w:ascii="Arial" w:hAnsi="Arial" w:cs="Arial"/>
          <w:sz w:val="24"/>
          <w:szCs w:val="24"/>
        </w:rPr>
      </w:pPr>
      <w:r>
        <w:rPr>
          <w:rFonts w:ascii="Arial" w:hAnsi="Arial" w:cs="Arial"/>
          <w:sz w:val="24"/>
          <w:szCs w:val="24"/>
        </w:rPr>
        <w:t>(</w:t>
      </w:r>
      <w:proofErr w:type="gramStart"/>
      <w:r>
        <w:rPr>
          <w:rFonts w:ascii="Arial" w:hAnsi="Arial" w:cs="Arial"/>
          <w:sz w:val="24"/>
          <w:szCs w:val="24"/>
        </w:rPr>
        <w:t>accessed</w:t>
      </w:r>
      <w:proofErr w:type="gramEnd"/>
      <w:r>
        <w:rPr>
          <w:rFonts w:ascii="Arial" w:hAnsi="Arial" w:cs="Arial"/>
          <w:sz w:val="24"/>
          <w:szCs w:val="24"/>
        </w:rPr>
        <w:t xml:space="preserve"> 8</w:t>
      </w:r>
      <w:r w:rsidRPr="00E02FB0">
        <w:rPr>
          <w:rFonts w:ascii="Arial" w:hAnsi="Arial" w:cs="Arial"/>
          <w:sz w:val="24"/>
          <w:szCs w:val="24"/>
          <w:vertAlign w:val="superscript"/>
        </w:rPr>
        <w:t>th</w:t>
      </w:r>
      <w:r>
        <w:rPr>
          <w:rFonts w:ascii="Arial" w:hAnsi="Arial" w:cs="Arial"/>
          <w:sz w:val="24"/>
          <w:szCs w:val="24"/>
        </w:rPr>
        <w:t xml:space="preserve"> June 2022)</w:t>
      </w:r>
    </w:p>
    <w:p w14:paraId="47A2B73E" w14:textId="77777777" w:rsidR="00E76E51" w:rsidRPr="008378F6" w:rsidRDefault="00E76E51" w:rsidP="00E76E51">
      <w:pPr>
        <w:rPr>
          <w:rFonts w:ascii="Arial" w:hAnsi="Arial" w:cs="Arial"/>
          <w:sz w:val="24"/>
          <w:szCs w:val="24"/>
        </w:rPr>
      </w:pPr>
      <w:r>
        <w:rPr>
          <w:rFonts w:ascii="Arial" w:hAnsi="Arial" w:cs="Arial"/>
          <w:sz w:val="24"/>
          <w:szCs w:val="24"/>
        </w:rPr>
        <w:t>15</w:t>
      </w:r>
      <w:r w:rsidRPr="008378F6">
        <w:rPr>
          <w:rFonts w:ascii="Arial" w:hAnsi="Arial" w:cs="Arial"/>
          <w:sz w:val="24"/>
          <w:szCs w:val="24"/>
        </w:rPr>
        <w:t xml:space="preserve">. </w:t>
      </w:r>
      <w:proofErr w:type="spellStart"/>
      <w:r w:rsidRPr="008378F6">
        <w:rPr>
          <w:rFonts w:ascii="Arial" w:hAnsi="Arial" w:cs="Arial"/>
          <w:sz w:val="24"/>
          <w:szCs w:val="24"/>
        </w:rPr>
        <w:t>Bilalogue</w:t>
      </w:r>
      <w:proofErr w:type="spellEnd"/>
      <w:r w:rsidRPr="008378F6">
        <w:rPr>
          <w:rFonts w:ascii="Arial" w:hAnsi="Arial" w:cs="Arial"/>
          <w:sz w:val="24"/>
          <w:szCs w:val="24"/>
        </w:rPr>
        <w:t xml:space="preserve"> S. </w:t>
      </w:r>
      <w:proofErr w:type="spellStart"/>
      <w:r w:rsidRPr="008378F6">
        <w:rPr>
          <w:rFonts w:ascii="Arial" w:hAnsi="Arial" w:cs="Arial"/>
          <w:sz w:val="24"/>
          <w:szCs w:val="24"/>
        </w:rPr>
        <w:t>Aphinyanaphongis</w:t>
      </w:r>
      <w:proofErr w:type="spellEnd"/>
      <w:r w:rsidRPr="008378F6">
        <w:rPr>
          <w:rFonts w:ascii="Arial" w:hAnsi="Arial" w:cs="Arial"/>
          <w:sz w:val="24"/>
          <w:szCs w:val="24"/>
        </w:rPr>
        <w:t xml:space="preserve">, Y. Jones, S. (2020) </w:t>
      </w:r>
      <w:r w:rsidRPr="008378F6">
        <w:rPr>
          <w:rFonts w:ascii="Arial" w:hAnsi="Arial" w:cs="Arial"/>
          <w:iCs/>
          <w:sz w:val="24"/>
          <w:szCs w:val="24"/>
        </w:rPr>
        <w:t>Thrombosis in a hospitalised patient with COVID-19</w:t>
      </w:r>
      <w:r w:rsidRPr="008378F6">
        <w:rPr>
          <w:rFonts w:ascii="Arial" w:hAnsi="Arial" w:cs="Arial"/>
          <w:i/>
          <w:iCs/>
          <w:sz w:val="24"/>
          <w:szCs w:val="24"/>
          <w:u w:val="single"/>
        </w:rPr>
        <w:t xml:space="preserve"> </w:t>
      </w:r>
      <w:r w:rsidRPr="008378F6">
        <w:rPr>
          <w:rFonts w:ascii="Arial" w:hAnsi="Arial" w:cs="Arial"/>
          <w:iCs/>
          <w:sz w:val="24"/>
          <w:szCs w:val="24"/>
        </w:rPr>
        <w:t xml:space="preserve">in a New York city health system. </w:t>
      </w:r>
      <w:r w:rsidRPr="008378F6">
        <w:rPr>
          <w:rFonts w:ascii="Arial" w:hAnsi="Arial" w:cs="Arial"/>
          <w:i/>
          <w:sz w:val="24"/>
          <w:szCs w:val="24"/>
        </w:rPr>
        <w:t>JAMA</w:t>
      </w:r>
      <w:r w:rsidRPr="008378F6">
        <w:rPr>
          <w:rFonts w:ascii="Arial" w:hAnsi="Arial" w:cs="Arial"/>
          <w:sz w:val="24"/>
          <w:szCs w:val="24"/>
        </w:rPr>
        <w:t>. 324 (8) 799-801</w:t>
      </w:r>
    </w:p>
    <w:p w14:paraId="485C9E03" w14:textId="77777777" w:rsidR="00E76E51" w:rsidRPr="008378F6" w:rsidRDefault="00E76E51" w:rsidP="00E76E51">
      <w:pPr>
        <w:rPr>
          <w:rFonts w:ascii="Arial" w:hAnsi="Arial" w:cs="Arial"/>
          <w:sz w:val="24"/>
          <w:szCs w:val="24"/>
        </w:rPr>
      </w:pPr>
      <w:r>
        <w:rPr>
          <w:rFonts w:ascii="Arial" w:hAnsi="Arial" w:cs="Arial"/>
          <w:sz w:val="24"/>
          <w:szCs w:val="24"/>
        </w:rPr>
        <w:t>16</w:t>
      </w:r>
      <w:r w:rsidRPr="008378F6">
        <w:rPr>
          <w:rFonts w:ascii="Arial" w:hAnsi="Arial" w:cs="Arial"/>
          <w:sz w:val="24"/>
          <w:szCs w:val="24"/>
        </w:rPr>
        <w:t xml:space="preserve">. </w:t>
      </w:r>
      <w:proofErr w:type="spellStart"/>
      <w:r w:rsidRPr="008378F6">
        <w:rPr>
          <w:rFonts w:ascii="Arial" w:hAnsi="Arial" w:cs="Arial"/>
          <w:sz w:val="24"/>
          <w:szCs w:val="24"/>
        </w:rPr>
        <w:t>Teixeria</w:t>
      </w:r>
      <w:proofErr w:type="spellEnd"/>
      <w:r w:rsidRPr="008378F6">
        <w:rPr>
          <w:rFonts w:ascii="Arial" w:hAnsi="Arial" w:cs="Arial"/>
          <w:sz w:val="24"/>
          <w:szCs w:val="24"/>
        </w:rPr>
        <w:t>, J.P. Combs, S.A. Owen, J.G. (2021) Recurrent thrombosis of an arterial fistula as a complication of COVID-19 in a chronic haemodialysis patient: a case report.</w:t>
      </w:r>
      <w:r w:rsidRPr="008378F6">
        <w:rPr>
          <w:rFonts w:ascii="Arial" w:hAnsi="Arial" w:cs="Arial"/>
          <w:i/>
          <w:sz w:val="24"/>
          <w:szCs w:val="24"/>
        </w:rPr>
        <w:t xml:space="preserve">Journal.sagepub.com </w:t>
      </w:r>
      <w:r>
        <w:rPr>
          <w:rFonts w:ascii="Arial" w:hAnsi="Arial" w:cs="Arial"/>
          <w:sz w:val="24"/>
          <w:szCs w:val="24"/>
        </w:rPr>
        <w:t>(accessed 28</w:t>
      </w:r>
      <w:r w:rsidRPr="00E02FB0">
        <w:rPr>
          <w:rFonts w:ascii="Arial" w:hAnsi="Arial" w:cs="Arial"/>
          <w:sz w:val="24"/>
          <w:szCs w:val="24"/>
          <w:vertAlign w:val="superscript"/>
        </w:rPr>
        <w:t>th</w:t>
      </w:r>
      <w:r>
        <w:rPr>
          <w:rFonts w:ascii="Arial" w:hAnsi="Arial" w:cs="Arial"/>
          <w:sz w:val="24"/>
          <w:szCs w:val="24"/>
        </w:rPr>
        <w:t xml:space="preserve"> April </w:t>
      </w:r>
      <w:r w:rsidRPr="008378F6">
        <w:rPr>
          <w:rFonts w:ascii="Arial" w:hAnsi="Arial" w:cs="Arial"/>
          <w:sz w:val="24"/>
          <w:szCs w:val="24"/>
        </w:rPr>
        <w:t>2021)</w:t>
      </w:r>
    </w:p>
    <w:p w14:paraId="2426C6C9" w14:textId="77777777" w:rsidR="00E76E51" w:rsidRPr="008378F6" w:rsidRDefault="00E76E51" w:rsidP="00E76E51">
      <w:pPr>
        <w:rPr>
          <w:rFonts w:ascii="Arial" w:hAnsi="Arial" w:cs="Arial"/>
          <w:i/>
          <w:sz w:val="24"/>
          <w:szCs w:val="24"/>
        </w:rPr>
      </w:pPr>
      <w:r>
        <w:rPr>
          <w:rFonts w:ascii="Arial" w:hAnsi="Arial" w:cs="Arial"/>
          <w:sz w:val="24"/>
          <w:szCs w:val="24"/>
        </w:rPr>
        <w:t>17</w:t>
      </w:r>
      <w:r w:rsidRPr="008378F6">
        <w:rPr>
          <w:rFonts w:ascii="Arial" w:hAnsi="Arial" w:cs="Arial"/>
          <w:sz w:val="24"/>
          <w:szCs w:val="24"/>
        </w:rPr>
        <w:t xml:space="preserve">. Rowntree, D. (2018) Statistics without tears-an introduction for non-mathematicians. </w:t>
      </w:r>
      <w:r w:rsidRPr="008378F6">
        <w:rPr>
          <w:rFonts w:ascii="Arial" w:hAnsi="Arial" w:cs="Arial"/>
          <w:i/>
          <w:sz w:val="24"/>
          <w:szCs w:val="24"/>
        </w:rPr>
        <w:t>Penguin 1</w:t>
      </w:r>
      <w:r w:rsidRPr="008378F6">
        <w:rPr>
          <w:rFonts w:ascii="Arial" w:hAnsi="Arial" w:cs="Arial"/>
          <w:i/>
          <w:sz w:val="24"/>
          <w:szCs w:val="24"/>
          <w:vertAlign w:val="superscript"/>
        </w:rPr>
        <w:t>st</w:t>
      </w:r>
      <w:r w:rsidRPr="008378F6">
        <w:rPr>
          <w:rFonts w:ascii="Arial" w:hAnsi="Arial" w:cs="Arial"/>
          <w:i/>
          <w:sz w:val="24"/>
          <w:szCs w:val="24"/>
        </w:rPr>
        <w:t xml:space="preserve"> edition.</w:t>
      </w:r>
    </w:p>
    <w:p w14:paraId="7EA4E3DC" w14:textId="77777777" w:rsidR="00E76E51" w:rsidRPr="005E44F5" w:rsidRDefault="00E76E51" w:rsidP="00E76E51">
      <w:pPr>
        <w:spacing w:line="360" w:lineRule="auto"/>
        <w:rPr>
          <w:rFonts w:ascii="Arial" w:hAnsi="Arial" w:cs="Arial"/>
          <w:color w:val="0000FF" w:themeColor="hyperlink"/>
          <w:sz w:val="24"/>
          <w:szCs w:val="24"/>
        </w:rPr>
      </w:pPr>
      <w:r>
        <w:rPr>
          <w:rFonts w:ascii="Arial" w:hAnsi="Arial" w:cs="Arial"/>
          <w:sz w:val="24"/>
          <w:szCs w:val="24"/>
        </w:rPr>
        <w:t>18</w:t>
      </w:r>
      <w:r w:rsidRPr="008378F6">
        <w:rPr>
          <w:rFonts w:ascii="Arial" w:hAnsi="Arial" w:cs="Arial"/>
          <w:sz w:val="24"/>
          <w:szCs w:val="24"/>
        </w:rPr>
        <w:t xml:space="preserve">. Singh, S. (2018) Statistics: Descriptive and Inferential. </w:t>
      </w:r>
      <w:hyperlink r:id="rId15" w:history="1">
        <w:r w:rsidRPr="00865302">
          <w:rPr>
            <w:rStyle w:val="Hyperlink"/>
            <w:rFonts w:ascii="Arial" w:hAnsi="Arial" w:cs="Arial"/>
            <w:sz w:val="24"/>
            <w:szCs w:val="24"/>
          </w:rPr>
          <w:t>https://towardsdatascience.com-statistics-descriptive-and-inferential-63661eb13bb5</w:t>
        </w:r>
      </w:hyperlink>
      <w:r>
        <w:rPr>
          <w:rFonts w:ascii="Arial" w:hAnsi="Arial" w:cs="Arial"/>
          <w:sz w:val="24"/>
          <w:szCs w:val="24"/>
        </w:rPr>
        <w:t xml:space="preserve"> </w:t>
      </w:r>
      <w:r>
        <w:rPr>
          <w:rStyle w:val="Hyperlink"/>
          <w:rFonts w:ascii="Arial" w:hAnsi="Arial" w:cs="Arial"/>
          <w:sz w:val="24"/>
          <w:szCs w:val="24"/>
        </w:rPr>
        <w:t>(accessed 21</w:t>
      </w:r>
      <w:r w:rsidRPr="005E44F5">
        <w:rPr>
          <w:rStyle w:val="Hyperlink"/>
          <w:rFonts w:ascii="Arial" w:hAnsi="Arial" w:cs="Arial"/>
          <w:sz w:val="24"/>
          <w:szCs w:val="24"/>
          <w:vertAlign w:val="superscript"/>
        </w:rPr>
        <w:t>st</w:t>
      </w:r>
      <w:r>
        <w:rPr>
          <w:rStyle w:val="Hyperlink"/>
          <w:rFonts w:ascii="Arial" w:hAnsi="Arial" w:cs="Arial"/>
          <w:sz w:val="24"/>
          <w:szCs w:val="24"/>
        </w:rPr>
        <w:t xml:space="preserve"> March 2021) </w:t>
      </w:r>
    </w:p>
    <w:p w14:paraId="16C65CC5" w14:textId="77777777" w:rsidR="00E76E51" w:rsidRPr="008378F6" w:rsidRDefault="00E76E51" w:rsidP="00E76E51">
      <w:pPr>
        <w:rPr>
          <w:rFonts w:ascii="Arial" w:hAnsi="Arial" w:cs="Arial"/>
          <w:sz w:val="24"/>
          <w:szCs w:val="24"/>
        </w:rPr>
      </w:pPr>
      <w:r>
        <w:rPr>
          <w:rFonts w:ascii="Arial" w:hAnsi="Arial" w:cs="Arial"/>
          <w:sz w:val="24"/>
          <w:szCs w:val="24"/>
        </w:rPr>
        <w:t>19</w:t>
      </w:r>
      <w:r w:rsidRPr="008378F6">
        <w:rPr>
          <w:rFonts w:ascii="Arial" w:hAnsi="Arial" w:cs="Arial"/>
          <w:sz w:val="24"/>
          <w:szCs w:val="24"/>
        </w:rPr>
        <w:t xml:space="preserve">. Braun, L. </w:t>
      </w:r>
      <w:proofErr w:type="spellStart"/>
      <w:r w:rsidRPr="008378F6">
        <w:rPr>
          <w:rFonts w:ascii="Arial" w:hAnsi="Arial" w:cs="Arial"/>
          <w:sz w:val="24"/>
          <w:szCs w:val="24"/>
        </w:rPr>
        <w:t>Sood</w:t>
      </w:r>
      <w:proofErr w:type="spellEnd"/>
      <w:r w:rsidRPr="008378F6">
        <w:rPr>
          <w:rFonts w:ascii="Arial" w:hAnsi="Arial" w:cs="Arial"/>
          <w:sz w:val="24"/>
          <w:szCs w:val="24"/>
        </w:rPr>
        <w:t xml:space="preserve">, V. Hogue, S. </w:t>
      </w:r>
      <w:proofErr w:type="spellStart"/>
      <w:r w:rsidRPr="008378F6">
        <w:rPr>
          <w:rFonts w:ascii="Arial" w:hAnsi="Arial" w:cs="Arial"/>
          <w:sz w:val="24"/>
          <w:szCs w:val="24"/>
        </w:rPr>
        <w:t>Liebernan</w:t>
      </w:r>
      <w:proofErr w:type="spellEnd"/>
      <w:r w:rsidRPr="008378F6">
        <w:rPr>
          <w:rFonts w:ascii="Arial" w:hAnsi="Arial" w:cs="Arial"/>
          <w:sz w:val="24"/>
          <w:szCs w:val="24"/>
        </w:rPr>
        <w:t xml:space="preserve">, B. (2012) High burden and unmet patient needs in chronic kidney disease. </w:t>
      </w:r>
      <w:r w:rsidRPr="008378F6">
        <w:rPr>
          <w:rFonts w:ascii="Arial" w:hAnsi="Arial" w:cs="Arial"/>
          <w:i/>
          <w:sz w:val="24"/>
          <w:szCs w:val="24"/>
        </w:rPr>
        <w:t xml:space="preserve">International journal of nephrology and renal vascular disease. </w:t>
      </w:r>
      <w:r w:rsidRPr="008378F6">
        <w:rPr>
          <w:rFonts w:ascii="Arial" w:hAnsi="Arial" w:cs="Arial"/>
          <w:sz w:val="24"/>
          <w:szCs w:val="24"/>
        </w:rPr>
        <w:t>(5) 151-163</w:t>
      </w:r>
      <w:r>
        <w:rPr>
          <w:rFonts w:ascii="Arial" w:hAnsi="Arial" w:cs="Arial"/>
          <w:sz w:val="24"/>
          <w:szCs w:val="24"/>
        </w:rPr>
        <w:t xml:space="preserve"> </w:t>
      </w:r>
      <w:hyperlink r:id="rId16" w:history="1">
        <w:r w:rsidRPr="00865302">
          <w:rPr>
            <w:rStyle w:val="Hyperlink"/>
            <w:rFonts w:ascii="Arial" w:hAnsi="Arial" w:cs="Arial"/>
            <w:sz w:val="24"/>
            <w:szCs w:val="24"/>
          </w:rPr>
          <w:t>http://dx-doi.org/10.2147/IJNRD.S37766</w:t>
        </w:r>
      </w:hyperlink>
      <w:r>
        <w:rPr>
          <w:rFonts w:ascii="Arial" w:hAnsi="Arial" w:cs="Arial"/>
          <w:sz w:val="24"/>
          <w:szCs w:val="24"/>
        </w:rPr>
        <w:t xml:space="preserve"> </w:t>
      </w:r>
    </w:p>
    <w:p w14:paraId="52E1B021" w14:textId="77777777" w:rsidR="00E76E51" w:rsidRDefault="00E76E51" w:rsidP="00E76E51">
      <w:pPr>
        <w:rPr>
          <w:i/>
        </w:rPr>
      </w:pPr>
    </w:p>
    <w:p w14:paraId="372ED587" w14:textId="77777777" w:rsidR="00E76E51" w:rsidRPr="00BC35ED" w:rsidRDefault="00E76E51" w:rsidP="00E76E51"/>
    <w:p w14:paraId="1AC27955" w14:textId="77777777" w:rsidR="00E76E51" w:rsidRDefault="00E76E51" w:rsidP="00E76E51">
      <w:pPr>
        <w:tabs>
          <w:tab w:val="left" w:pos="1608"/>
        </w:tabs>
      </w:pPr>
    </w:p>
    <w:p w14:paraId="31B56AD3" w14:textId="77777777" w:rsidR="00E76E51" w:rsidRDefault="00E76E51" w:rsidP="00E76E51">
      <w:pPr>
        <w:tabs>
          <w:tab w:val="left" w:pos="1608"/>
        </w:tabs>
      </w:pPr>
    </w:p>
    <w:p w14:paraId="5EDED759" w14:textId="77777777" w:rsidR="00C3640C" w:rsidRDefault="00C3640C"/>
    <w:sectPr w:rsidR="00C364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51"/>
    <w:rsid w:val="000355F9"/>
    <w:rsid w:val="000E2ECC"/>
    <w:rsid w:val="002A2716"/>
    <w:rsid w:val="00384133"/>
    <w:rsid w:val="0049559C"/>
    <w:rsid w:val="004B4D46"/>
    <w:rsid w:val="004F0D69"/>
    <w:rsid w:val="00546C7A"/>
    <w:rsid w:val="00595604"/>
    <w:rsid w:val="006F51CE"/>
    <w:rsid w:val="007224FC"/>
    <w:rsid w:val="00853CB5"/>
    <w:rsid w:val="00965C02"/>
    <w:rsid w:val="009D51D1"/>
    <w:rsid w:val="00A559E4"/>
    <w:rsid w:val="00A94ED6"/>
    <w:rsid w:val="00AC2A06"/>
    <w:rsid w:val="00AD4D46"/>
    <w:rsid w:val="00AE3757"/>
    <w:rsid w:val="00B459B2"/>
    <w:rsid w:val="00BC3B91"/>
    <w:rsid w:val="00BE0F0F"/>
    <w:rsid w:val="00C3640C"/>
    <w:rsid w:val="00DC01F8"/>
    <w:rsid w:val="00DF4952"/>
    <w:rsid w:val="00E2337A"/>
    <w:rsid w:val="00E76E51"/>
    <w:rsid w:val="00F54B84"/>
    <w:rsid w:val="00F90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23079"/>
  <w15:chartTrackingRefBased/>
  <w15:docId w15:val="{79617DDE-2818-4A12-B911-1FAE65A83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5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6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6E5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76E51"/>
    <w:rPr>
      <w:color w:val="0000FF" w:themeColor="hyperlink"/>
      <w:u w:val="single"/>
    </w:rPr>
  </w:style>
  <w:style w:type="paragraph" w:customStyle="1" w:styleId="paragraph">
    <w:name w:val="paragraph"/>
    <w:basedOn w:val="Normal"/>
    <w:rsid w:val="00E76E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76E51"/>
  </w:style>
  <w:style w:type="character" w:customStyle="1" w:styleId="normaltextrun">
    <w:name w:val="normaltextrun"/>
    <w:basedOn w:val="DefaultParagraphFont"/>
    <w:rsid w:val="00E76E51"/>
  </w:style>
  <w:style w:type="paragraph" w:styleId="PlainText">
    <w:name w:val="Plain Text"/>
    <w:basedOn w:val="Normal"/>
    <w:link w:val="PlainTextChar"/>
    <w:uiPriority w:val="99"/>
    <w:unhideWhenUsed/>
    <w:rsid w:val="00B459B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459B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63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nal.org/guideline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hyperlink" Target="https://doi.org/10.1016/j.jvs.2011.07.09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x-doi.org/10.2147/IJNRD.S37766"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kidney360.org" TargetMode="External"/><Relationship Id="rId5" Type="http://schemas.openxmlformats.org/officeDocument/2006/relationships/hyperlink" Target="mailto:Lindsay6.Smith@uwe.ac.uk" TargetMode="External"/><Relationship Id="rId15" Type="http://schemas.openxmlformats.org/officeDocument/2006/relationships/hyperlink" Target="https://towardsdatascience.com-statistics-descriptive-and-inferential-63661eb13bb5" TargetMode="External"/><Relationship Id="rId10" Type="http://schemas.openxmlformats.org/officeDocument/2006/relationships/hyperlink" Target="http://doi-org/10.12968/jokc.2020.5.5.2020" TargetMode="External"/><Relationship Id="rId4" Type="http://schemas.openxmlformats.org/officeDocument/2006/relationships/hyperlink" Target="mailto:Karen.allsopp@nbt.nhs.uk" TargetMode="External"/><Relationship Id="rId9" Type="http://schemas.openxmlformats.org/officeDocument/2006/relationships/hyperlink" Target="https://vascularnews.com/dialysis-access-needs-to-be-a-priority-in-the-covid-19-era" TargetMode="External"/><Relationship Id="rId14" Type="http://schemas.openxmlformats.org/officeDocument/2006/relationships/hyperlink" Target="https://opentextbc.ca/researchmethods/chapter/quasi-exeriemtal-research/"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Total AVF/AVG clotted</c:v>
                </c:pt>
              </c:strCache>
            </c:strRef>
          </c:tx>
          <c:spPr>
            <a:ln w="28575" cap="rnd">
              <a:solidFill>
                <a:schemeClr val="accent1"/>
              </a:solidFill>
              <a:round/>
            </a:ln>
            <a:effectLst/>
          </c:spPr>
          <c:marker>
            <c:symbol val="none"/>
          </c:marker>
          <c:cat>
            <c:numRef>
              <c:f>Sheet1!$A$2:$A$25</c:f>
              <c:numCache>
                <c:formatCode>mmm\-yy</c:formatCode>
                <c:ptCount val="24"/>
                <c:pt idx="0">
                  <c:v>43556</c:v>
                </c:pt>
                <c:pt idx="1">
                  <c:v>43586</c:v>
                </c:pt>
                <c:pt idx="2">
                  <c:v>43617</c:v>
                </c:pt>
                <c:pt idx="3">
                  <c:v>43647</c:v>
                </c:pt>
                <c:pt idx="4">
                  <c:v>43678</c:v>
                </c:pt>
                <c:pt idx="5">
                  <c:v>43709</c:v>
                </c:pt>
                <c:pt idx="6">
                  <c:v>43739</c:v>
                </c:pt>
                <c:pt idx="7">
                  <c:v>43770</c:v>
                </c:pt>
                <c:pt idx="8">
                  <c:v>43800</c:v>
                </c:pt>
                <c:pt idx="9">
                  <c:v>43831</c:v>
                </c:pt>
                <c:pt idx="10">
                  <c:v>43862</c:v>
                </c:pt>
                <c:pt idx="11">
                  <c:v>43891</c:v>
                </c:pt>
                <c:pt idx="12">
                  <c:v>43922</c:v>
                </c:pt>
                <c:pt idx="13">
                  <c:v>43952</c:v>
                </c:pt>
                <c:pt idx="14">
                  <c:v>43983</c:v>
                </c:pt>
                <c:pt idx="15">
                  <c:v>44013</c:v>
                </c:pt>
                <c:pt idx="16">
                  <c:v>44044</c:v>
                </c:pt>
                <c:pt idx="17">
                  <c:v>44075</c:v>
                </c:pt>
                <c:pt idx="18">
                  <c:v>44105</c:v>
                </c:pt>
                <c:pt idx="19">
                  <c:v>44136</c:v>
                </c:pt>
                <c:pt idx="20">
                  <c:v>44166</c:v>
                </c:pt>
                <c:pt idx="21">
                  <c:v>44197</c:v>
                </c:pt>
                <c:pt idx="22">
                  <c:v>44228</c:v>
                </c:pt>
                <c:pt idx="23">
                  <c:v>44256</c:v>
                </c:pt>
              </c:numCache>
            </c:numRef>
          </c:cat>
          <c:val>
            <c:numRef>
              <c:f>Sheet1!$B$2:$B$25</c:f>
              <c:numCache>
                <c:formatCode>General</c:formatCode>
                <c:ptCount val="24"/>
                <c:pt idx="0">
                  <c:v>6</c:v>
                </c:pt>
                <c:pt idx="1">
                  <c:v>1</c:v>
                </c:pt>
                <c:pt idx="2">
                  <c:v>2</c:v>
                </c:pt>
                <c:pt idx="3">
                  <c:v>7</c:v>
                </c:pt>
                <c:pt idx="4">
                  <c:v>3</c:v>
                </c:pt>
                <c:pt idx="5">
                  <c:v>4</c:v>
                </c:pt>
                <c:pt idx="6">
                  <c:v>1</c:v>
                </c:pt>
                <c:pt idx="7">
                  <c:v>6</c:v>
                </c:pt>
                <c:pt idx="8">
                  <c:v>1</c:v>
                </c:pt>
                <c:pt idx="9">
                  <c:v>3</c:v>
                </c:pt>
                <c:pt idx="10">
                  <c:v>3</c:v>
                </c:pt>
                <c:pt idx="11">
                  <c:v>6</c:v>
                </c:pt>
                <c:pt idx="12">
                  <c:v>5</c:v>
                </c:pt>
                <c:pt idx="13">
                  <c:v>8</c:v>
                </c:pt>
                <c:pt idx="14">
                  <c:v>4</c:v>
                </c:pt>
                <c:pt idx="15">
                  <c:v>5</c:v>
                </c:pt>
                <c:pt idx="16">
                  <c:v>2</c:v>
                </c:pt>
                <c:pt idx="17">
                  <c:v>5</c:v>
                </c:pt>
                <c:pt idx="18">
                  <c:v>2</c:v>
                </c:pt>
                <c:pt idx="19">
                  <c:v>7</c:v>
                </c:pt>
                <c:pt idx="20">
                  <c:v>3</c:v>
                </c:pt>
                <c:pt idx="21">
                  <c:v>9</c:v>
                </c:pt>
                <c:pt idx="22">
                  <c:v>4</c:v>
                </c:pt>
                <c:pt idx="23">
                  <c:v>5</c:v>
                </c:pt>
              </c:numCache>
            </c:numRef>
          </c:val>
          <c:smooth val="0"/>
          <c:extLst>
            <c:ext xmlns:c16="http://schemas.microsoft.com/office/drawing/2014/chart" uri="{C3380CC4-5D6E-409C-BE32-E72D297353CC}">
              <c16:uniqueId val="{00000000-66E7-46B3-9997-5A99B3E31DD6}"/>
            </c:ext>
          </c:extLst>
        </c:ser>
        <c:ser>
          <c:idx val="1"/>
          <c:order val="1"/>
          <c:tx>
            <c:strRef>
              <c:f>Sheet1!$C$1</c:f>
              <c:strCache>
                <c:ptCount val="1"/>
                <c:pt idx="0">
                  <c:v>COVID-19 Cases</c:v>
                </c:pt>
              </c:strCache>
            </c:strRef>
          </c:tx>
          <c:spPr>
            <a:ln w="28575" cap="rnd">
              <a:solidFill>
                <a:schemeClr val="accent2"/>
              </a:solidFill>
              <a:round/>
            </a:ln>
            <a:effectLst/>
          </c:spPr>
          <c:marker>
            <c:symbol val="none"/>
          </c:marker>
          <c:cat>
            <c:numRef>
              <c:f>Sheet1!$A$2:$A$25</c:f>
              <c:numCache>
                <c:formatCode>mmm\-yy</c:formatCode>
                <c:ptCount val="24"/>
                <c:pt idx="0">
                  <c:v>43556</c:v>
                </c:pt>
                <c:pt idx="1">
                  <c:v>43586</c:v>
                </c:pt>
                <c:pt idx="2">
                  <c:v>43617</c:v>
                </c:pt>
                <c:pt idx="3">
                  <c:v>43647</c:v>
                </c:pt>
                <c:pt idx="4">
                  <c:v>43678</c:v>
                </c:pt>
                <c:pt idx="5">
                  <c:v>43709</c:v>
                </c:pt>
                <c:pt idx="6">
                  <c:v>43739</c:v>
                </c:pt>
                <c:pt idx="7">
                  <c:v>43770</c:v>
                </c:pt>
                <c:pt idx="8">
                  <c:v>43800</c:v>
                </c:pt>
                <c:pt idx="9">
                  <c:v>43831</c:v>
                </c:pt>
                <c:pt idx="10">
                  <c:v>43862</c:v>
                </c:pt>
                <c:pt idx="11">
                  <c:v>43891</c:v>
                </c:pt>
                <c:pt idx="12">
                  <c:v>43922</c:v>
                </c:pt>
                <c:pt idx="13">
                  <c:v>43952</c:v>
                </c:pt>
                <c:pt idx="14">
                  <c:v>43983</c:v>
                </c:pt>
                <c:pt idx="15">
                  <c:v>44013</c:v>
                </c:pt>
                <c:pt idx="16">
                  <c:v>44044</c:v>
                </c:pt>
                <c:pt idx="17">
                  <c:v>44075</c:v>
                </c:pt>
                <c:pt idx="18">
                  <c:v>44105</c:v>
                </c:pt>
                <c:pt idx="19">
                  <c:v>44136</c:v>
                </c:pt>
                <c:pt idx="20">
                  <c:v>44166</c:v>
                </c:pt>
                <c:pt idx="21">
                  <c:v>44197</c:v>
                </c:pt>
                <c:pt idx="22">
                  <c:v>44228</c:v>
                </c:pt>
                <c:pt idx="23">
                  <c:v>44256</c:v>
                </c:pt>
              </c:numCache>
            </c:numRef>
          </c:cat>
          <c:val>
            <c:numRef>
              <c:f>Sheet1!$C$2:$C$25</c:f>
              <c:numCache>
                <c:formatCode>General</c:formatCode>
                <c:ptCount val="24"/>
                <c:pt idx="0">
                  <c:v>0</c:v>
                </c:pt>
                <c:pt idx="1">
                  <c:v>0</c:v>
                </c:pt>
                <c:pt idx="2">
                  <c:v>0</c:v>
                </c:pt>
                <c:pt idx="3">
                  <c:v>0</c:v>
                </c:pt>
                <c:pt idx="4">
                  <c:v>0</c:v>
                </c:pt>
                <c:pt idx="5">
                  <c:v>0</c:v>
                </c:pt>
                <c:pt idx="6">
                  <c:v>0</c:v>
                </c:pt>
                <c:pt idx="7">
                  <c:v>0</c:v>
                </c:pt>
                <c:pt idx="8">
                  <c:v>0</c:v>
                </c:pt>
                <c:pt idx="9">
                  <c:v>0</c:v>
                </c:pt>
                <c:pt idx="10">
                  <c:v>0</c:v>
                </c:pt>
                <c:pt idx="11">
                  <c:v>0</c:v>
                </c:pt>
                <c:pt idx="12">
                  <c:v>7</c:v>
                </c:pt>
                <c:pt idx="13">
                  <c:v>1</c:v>
                </c:pt>
                <c:pt idx="14">
                  <c:v>1</c:v>
                </c:pt>
                <c:pt idx="15">
                  <c:v>1</c:v>
                </c:pt>
                <c:pt idx="16">
                  <c:v>0</c:v>
                </c:pt>
                <c:pt idx="17">
                  <c:v>1</c:v>
                </c:pt>
                <c:pt idx="18">
                  <c:v>1</c:v>
                </c:pt>
                <c:pt idx="19">
                  <c:v>9</c:v>
                </c:pt>
                <c:pt idx="20">
                  <c:v>5</c:v>
                </c:pt>
                <c:pt idx="21">
                  <c:v>7</c:v>
                </c:pt>
                <c:pt idx="22">
                  <c:v>1</c:v>
                </c:pt>
                <c:pt idx="23">
                  <c:v>1</c:v>
                </c:pt>
              </c:numCache>
            </c:numRef>
          </c:val>
          <c:smooth val="0"/>
          <c:extLst>
            <c:ext xmlns:c16="http://schemas.microsoft.com/office/drawing/2014/chart" uri="{C3380CC4-5D6E-409C-BE32-E72D297353CC}">
              <c16:uniqueId val="{00000001-66E7-46B3-9997-5A99B3E31DD6}"/>
            </c:ext>
          </c:extLst>
        </c:ser>
        <c:ser>
          <c:idx val="2"/>
          <c:order val="2"/>
          <c:tx>
            <c:strRef>
              <c:f>Sheet1!$D$1</c:f>
              <c:strCache>
                <c:ptCount val="1"/>
                <c:pt idx="0">
                  <c:v>Column1</c:v>
                </c:pt>
              </c:strCache>
            </c:strRef>
          </c:tx>
          <c:spPr>
            <a:ln w="28575" cap="rnd">
              <a:solidFill>
                <a:schemeClr val="accent3"/>
              </a:solidFill>
              <a:round/>
            </a:ln>
            <a:effectLst/>
          </c:spPr>
          <c:marker>
            <c:symbol val="none"/>
          </c:marker>
          <c:cat>
            <c:numRef>
              <c:f>Sheet1!$A$2:$A$25</c:f>
              <c:numCache>
                <c:formatCode>mmm\-yy</c:formatCode>
                <c:ptCount val="24"/>
                <c:pt idx="0">
                  <c:v>43556</c:v>
                </c:pt>
                <c:pt idx="1">
                  <c:v>43586</c:v>
                </c:pt>
                <c:pt idx="2">
                  <c:v>43617</c:v>
                </c:pt>
                <c:pt idx="3">
                  <c:v>43647</c:v>
                </c:pt>
                <c:pt idx="4">
                  <c:v>43678</c:v>
                </c:pt>
                <c:pt idx="5">
                  <c:v>43709</c:v>
                </c:pt>
                <c:pt idx="6">
                  <c:v>43739</c:v>
                </c:pt>
                <c:pt idx="7">
                  <c:v>43770</c:v>
                </c:pt>
                <c:pt idx="8">
                  <c:v>43800</c:v>
                </c:pt>
                <c:pt idx="9">
                  <c:v>43831</c:v>
                </c:pt>
                <c:pt idx="10">
                  <c:v>43862</c:v>
                </c:pt>
                <c:pt idx="11">
                  <c:v>43891</c:v>
                </c:pt>
                <c:pt idx="12">
                  <c:v>43922</c:v>
                </c:pt>
                <c:pt idx="13">
                  <c:v>43952</c:v>
                </c:pt>
                <c:pt idx="14">
                  <c:v>43983</c:v>
                </c:pt>
                <c:pt idx="15">
                  <c:v>44013</c:v>
                </c:pt>
                <c:pt idx="16">
                  <c:v>44044</c:v>
                </c:pt>
                <c:pt idx="17">
                  <c:v>44075</c:v>
                </c:pt>
                <c:pt idx="18">
                  <c:v>44105</c:v>
                </c:pt>
                <c:pt idx="19">
                  <c:v>44136</c:v>
                </c:pt>
                <c:pt idx="20">
                  <c:v>44166</c:v>
                </c:pt>
                <c:pt idx="21">
                  <c:v>44197</c:v>
                </c:pt>
                <c:pt idx="22">
                  <c:v>44228</c:v>
                </c:pt>
                <c:pt idx="23">
                  <c:v>44256</c:v>
                </c:pt>
              </c:numCache>
            </c:numRef>
          </c:cat>
          <c:val>
            <c:numRef>
              <c:f>Sheet1!$D$2:$D$25</c:f>
              <c:numCache>
                <c:formatCode>General</c:formatCode>
                <c:ptCount val="24"/>
              </c:numCache>
            </c:numRef>
          </c:val>
          <c:smooth val="0"/>
          <c:extLst>
            <c:ext xmlns:c16="http://schemas.microsoft.com/office/drawing/2014/chart" uri="{C3380CC4-5D6E-409C-BE32-E72D297353CC}">
              <c16:uniqueId val="{00000002-66E7-46B3-9997-5A99B3E31DD6}"/>
            </c:ext>
          </c:extLst>
        </c:ser>
        <c:dLbls>
          <c:showLegendKey val="0"/>
          <c:showVal val="0"/>
          <c:showCatName val="0"/>
          <c:showSerName val="0"/>
          <c:showPercent val="0"/>
          <c:showBubbleSize val="0"/>
        </c:dLbls>
        <c:smooth val="0"/>
        <c:axId val="380046872"/>
        <c:axId val="380044576"/>
      </c:lineChart>
      <c:dateAx>
        <c:axId val="380046872"/>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0044576"/>
        <c:crosses val="autoZero"/>
        <c:auto val="1"/>
        <c:lblOffset val="100"/>
        <c:baseTimeUnit val="months"/>
      </c:dateAx>
      <c:valAx>
        <c:axId val="380044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0046872"/>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13</TotalTime>
  <Pages>14</Pages>
  <Words>3350</Words>
  <Characters>19095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Allsopp</dc:creator>
  <cp:keywords/>
  <dc:description/>
  <cp:lastModifiedBy>Lindsay Smith</cp:lastModifiedBy>
  <cp:revision>3</cp:revision>
  <dcterms:created xsi:type="dcterms:W3CDTF">2023-05-23T14:57:00Z</dcterms:created>
  <dcterms:modified xsi:type="dcterms:W3CDTF">2023-05-23T15:18:00Z</dcterms:modified>
</cp:coreProperties>
</file>