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1FF4FD" w14:textId="1ECEDCA3" w:rsidR="00E42F82" w:rsidRPr="00921361" w:rsidRDefault="00921361" w:rsidP="00921361">
      <w:pPr>
        <w:pStyle w:val="Title"/>
        <w:rPr>
          <w:rFonts w:ascii="Calibri" w:hAnsi="Calibri" w:cs="Calibri"/>
        </w:rPr>
      </w:pPr>
      <w:r w:rsidRPr="00921361">
        <w:rPr>
          <w:rFonts w:ascii="Calibri" w:hAnsi="Calibri" w:cs="Calibri"/>
        </w:rPr>
        <w:t xml:space="preserve">Post-Pandemic Study Spaces: Post Occupancy Evaluation of BREEAM Excellence Rated University Building </w:t>
      </w:r>
    </w:p>
    <w:p w14:paraId="53065817" w14:textId="77777777" w:rsidR="00E42F82" w:rsidRPr="00855573" w:rsidRDefault="00F751F3" w:rsidP="004D31FC">
      <w:pPr>
        <w:pStyle w:val="ASAAuthor"/>
        <w:spacing w:line="240" w:lineRule="auto"/>
        <w:rPr>
          <w:lang w:val="en-GB"/>
        </w:rPr>
      </w:pPr>
      <w:r>
        <w:rPr>
          <w:lang w:val="en-GB"/>
        </w:rPr>
        <w:t>Ozlem Duran</w:t>
      </w:r>
      <w:r w:rsidR="00E42F82" w:rsidRPr="00855573">
        <w:rPr>
          <w:lang w:val="en-GB"/>
        </w:rPr>
        <w:t xml:space="preserve"> </w:t>
      </w:r>
      <w:r w:rsidR="009A308B" w:rsidRPr="00855573">
        <w:rPr>
          <w:lang w:val="en-GB"/>
        </w:rPr>
        <w:t>and</w:t>
      </w:r>
      <w:r w:rsidR="009A308B" w:rsidRPr="00855573">
        <w:rPr>
          <w:caps/>
          <w:lang w:val="en-GB"/>
        </w:rPr>
        <w:t xml:space="preserve"> </w:t>
      </w:r>
      <w:r>
        <w:rPr>
          <w:lang w:val="en-GB"/>
        </w:rPr>
        <w:t>Jing Zhao</w:t>
      </w:r>
    </w:p>
    <w:p w14:paraId="356E3D74" w14:textId="77777777" w:rsidR="00E42F82" w:rsidRPr="00855573" w:rsidRDefault="7BC39B9A" w:rsidP="004D31FC">
      <w:pPr>
        <w:pStyle w:val="ASAAffiliation"/>
        <w:spacing w:line="240" w:lineRule="auto"/>
      </w:pPr>
      <w:r>
        <w:t>University of Lincoln</w:t>
      </w:r>
      <w:r w:rsidR="0DF60046">
        <w:t xml:space="preserve">, </w:t>
      </w:r>
      <w:r>
        <w:t>Lincoln</w:t>
      </w:r>
      <w:r w:rsidR="0DF60046">
        <w:t xml:space="preserve">, </w:t>
      </w:r>
      <w:r>
        <w:t>U.K</w:t>
      </w:r>
    </w:p>
    <w:p w14:paraId="61384F79" w14:textId="77777777" w:rsidR="00E42F82" w:rsidRPr="00855573" w:rsidRDefault="08E17051" w:rsidP="001265D5">
      <w:pPr>
        <w:pStyle w:val="ASAAffiliation"/>
      </w:pPr>
      <w:r>
        <w:t>{</w:t>
      </w:r>
      <w:r w:rsidR="2D76D4E3">
        <w:t>author-email</w:t>
      </w:r>
      <w:r w:rsidR="2D76D4E3" w:rsidRPr="04B3C552">
        <w:rPr>
          <w:vertAlign w:val="superscript"/>
        </w:rPr>
        <w:t>1</w:t>
      </w:r>
      <w:r w:rsidR="0DF60046">
        <w:t xml:space="preserve">, </w:t>
      </w:r>
      <w:hyperlink r:id="rId8">
        <w:r w:rsidR="5E98DC22" w:rsidRPr="04B3C552">
          <w:rPr>
            <w:rStyle w:val="Hyperlink"/>
          </w:rPr>
          <w:t>author-email</w:t>
        </w:r>
        <w:r w:rsidR="5E98DC22" w:rsidRPr="04B3C552">
          <w:rPr>
            <w:rStyle w:val="Hyperlink"/>
            <w:vertAlign w:val="superscript"/>
          </w:rPr>
          <w:t>2</w:t>
        </w:r>
        <w:r w:rsidR="5E98DC22" w:rsidRPr="04B3C552">
          <w:rPr>
            <w:rStyle w:val="Hyperlink"/>
          </w:rPr>
          <w:t>}@first-inst.edu</w:t>
        </w:r>
      </w:hyperlink>
      <w:r w:rsidR="5E98DC22">
        <w:t>, ORCI</w:t>
      </w:r>
      <w:r w:rsidR="6DCEE79F">
        <w:t>D-Number</w:t>
      </w:r>
    </w:p>
    <w:p w14:paraId="484DC7F9" w14:textId="77777777" w:rsidR="00E42F82" w:rsidRPr="00855573" w:rsidRDefault="00CC55FF" w:rsidP="00F751F3">
      <w:pPr>
        <w:pStyle w:val="ASAAffiliation"/>
      </w:pPr>
      <w:hyperlink r:id="rId9">
        <w:r w:rsidR="7BC39B9A" w:rsidRPr="04B3C552">
          <w:rPr>
            <w:rStyle w:val="Hyperlink"/>
          </w:rPr>
          <w:t>jingzhao@lincoln.ac.uk</w:t>
        </w:r>
      </w:hyperlink>
      <w:r w:rsidR="4451794E">
        <w:t xml:space="preserve">, </w:t>
      </w:r>
      <w:r w:rsidR="7BC39B9A">
        <w:t>0000-0002-0497-4932</w:t>
      </w:r>
    </w:p>
    <w:p w14:paraId="6AFD6E53" w14:textId="77777777" w:rsidR="00E42F82" w:rsidRPr="00F751F3" w:rsidRDefault="004D31FC" w:rsidP="004D31FC">
      <w:pPr>
        <w:pStyle w:val="ASAAbstract"/>
        <w:spacing w:line="240" w:lineRule="auto"/>
        <w:rPr>
          <w:lang w:val="en-US"/>
        </w:rPr>
      </w:pPr>
      <w:r w:rsidRPr="00855573">
        <w:rPr>
          <w:rStyle w:val="ASAIn-lineheading"/>
        </w:rPr>
        <w:t>Abstract:</w:t>
      </w:r>
      <w:r w:rsidRPr="00855573">
        <w:t xml:space="preserve"> </w:t>
      </w:r>
      <w:r w:rsidR="00F751F3" w:rsidRPr="00F751F3">
        <w:t xml:space="preserve">This paper presents preliminary findings from </w:t>
      </w:r>
      <w:proofErr w:type="gramStart"/>
      <w:r w:rsidR="005F3CDD">
        <w:t xml:space="preserve">a </w:t>
      </w:r>
      <w:r w:rsidR="00F751F3" w:rsidRPr="00F751F3">
        <w:t>Post Occupancy Evaluation research</w:t>
      </w:r>
      <w:proofErr w:type="gramEnd"/>
      <w:r w:rsidR="00F751F3" w:rsidRPr="00F751F3">
        <w:t xml:space="preserve"> of a BREEAM excellence-rated university building, to understand the experience of the </w:t>
      </w:r>
      <w:r w:rsidR="005F3CDD">
        <w:t xml:space="preserve">students using university </w:t>
      </w:r>
      <w:r w:rsidR="00F751F3" w:rsidRPr="00F751F3">
        <w:t xml:space="preserve">study </w:t>
      </w:r>
      <w:r w:rsidR="005F3CDD">
        <w:t>spaces</w:t>
      </w:r>
      <w:r w:rsidR="00F751F3" w:rsidRPr="00F751F3">
        <w:t xml:space="preserve"> </w:t>
      </w:r>
      <w:r w:rsidR="005F3CDD">
        <w:t>under a</w:t>
      </w:r>
      <w:r w:rsidR="00F751F3" w:rsidRPr="00F751F3">
        <w:t xml:space="preserve"> post-pandemic </w:t>
      </w:r>
      <w:r w:rsidR="005F3CDD">
        <w:t>teaching and learning context</w:t>
      </w:r>
      <w:r w:rsidR="00F751F3" w:rsidRPr="00F751F3">
        <w:t xml:space="preserve">. </w:t>
      </w:r>
      <w:r w:rsidR="0042553B">
        <w:t>The research</w:t>
      </w:r>
      <w:r w:rsidR="00F751F3" w:rsidRPr="00F751F3">
        <w:t xml:space="preserve"> uses a combined qualitative and quantitative method and focuses on occupancy </w:t>
      </w:r>
      <w:r w:rsidR="005F3CDD">
        <w:t>patterns</w:t>
      </w:r>
      <w:r w:rsidR="00F751F3" w:rsidRPr="00F751F3">
        <w:t xml:space="preserve">, thermal comfort, air quality, </w:t>
      </w:r>
      <w:proofErr w:type="gramStart"/>
      <w:r w:rsidR="00F751F3" w:rsidRPr="00F751F3">
        <w:t>noise</w:t>
      </w:r>
      <w:proofErr w:type="gramEnd"/>
      <w:r w:rsidR="00F751F3" w:rsidRPr="00F751F3">
        <w:t xml:space="preserve"> and lighting level of the study spaces within the building, as well as the students’ </w:t>
      </w:r>
      <w:r w:rsidR="0042553B">
        <w:t>preferences and experiences of the study spaces</w:t>
      </w:r>
      <w:r w:rsidR="00F751F3" w:rsidRPr="00F751F3">
        <w:t xml:space="preserve">. </w:t>
      </w:r>
      <w:r w:rsidR="0042553B">
        <w:t xml:space="preserve">The research collected </w:t>
      </w:r>
      <w:r w:rsidR="00F751F3" w:rsidRPr="00F751F3">
        <w:t xml:space="preserve">over 200 </w:t>
      </w:r>
      <w:r w:rsidR="0042553B">
        <w:t xml:space="preserve">questionnaire survey data from students who use the study areas, as well as </w:t>
      </w:r>
      <w:r w:rsidR="00F751F3" w:rsidRPr="00F751F3">
        <w:t>monitored environmental data and observation data over 5 working days</w:t>
      </w:r>
      <w:r w:rsidR="005F3CDD">
        <w:t xml:space="preserve"> prior to the exam period</w:t>
      </w:r>
      <w:r w:rsidR="00F751F3" w:rsidRPr="00F751F3">
        <w:t xml:space="preserve">. The study also compares the field research with the predicted </w:t>
      </w:r>
      <w:r w:rsidR="0042553B">
        <w:t xml:space="preserve">performance simulation model </w:t>
      </w:r>
      <w:r w:rsidR="00F751F3" w:rsidRPr="00F751F3">
        <w:t>data made before the pandemic, to understand the difference the pandemic has made to the designed usage and environmental comfort of the building</w:t>
      </w:r>
      <w:r w:rsidR="00F751F3">
        <w:t xml:space="preserve">. </w:t>
      </w:r>
      <w:r w:rsidR="00F751F3" w:rsidRPr="00F751F3">
        <w:t xml:space="preserve">The result suggests that the post-pandemic occupancy level is significantly different </w:t>
      </w:r>
      <w:r w:rsidR="008B5597">
        <w:t>from</w:t>
      </w:r>
      <w:r w:rsidR="00F751F3" w:rsidRPr="00F751F3">
        <w:t xml:space="preserve"> the pre-pandemic design assumptions and environmental control strategies need to be re-evaluated to provide </w:t>
      </w:r>
      <w:r w:rsidR="005F3CDD">
        <w:t xml:space="preserve">optimum </w:t>
      </w:r>
      <w:r w:rsidR="00F751F3" w:rsidRPr="00F751F3">
        <w:t xml:space="preserve">thermal comfort. Furthermore, the result raises questions in relation to overheating predictions in </w:t>
      </w:r>
      <w:r w:rsidR="005F3CDD">
        <w:t xml:space="preserve">the </w:t>
      </w:r>
      <w:r w:rsidR="00F751F3" w:rsidRPr="00F751F3">
        <w:t>performance simulation model, suggesting a need to re-evaluate overheating calculation criteria in education</w:t>
      </w:r>
      <w:r w:rsidR="0042553B">
        <w:t>al</w:t>
      </w:r>
      <w:r w:rsidR="00F751F3" w:rsidRPr="00F751F3">
        <w:t xml:space="preserve"> buildings.</w:t>
      </w:r>
    </w:p>
    <w:p w14:paraId="177E6250" w14:textId="5C65F12B" w:rsidR="00E42F82" w:rsidRPr="00855573" w:rsidRDefault="004D31FC" w:rsidP="004D31FC">
      <w:pPr>
        <w:pStyle w:val="ASAKeyword"/>
        <w:spacing w:line="240" w:lineRule="auto"/>
        <w:rPr>
          <w:lang w:val="en-GB"/>
        </w:rPr>
      </w:pPr>
      <w:r w:rsidRPr="0058459F">
        <w:rPr>
          <w:rStyle w:val="ASAIn-lineheading"/>
          <w:lang w:val="en-GB"/>
        </w:rPr>
        <w:t>Keywords:</w:t>
      </w:r>
      <w:r w:rsidR="00292654">
        <w:rPr>
          <w:rStyle w:val="ASAIn-lineheading"/>
          <w:lang w:val="en-GB"/>
        </w:rPr>
        <w:t xml:space="preserve"> University buildings, </w:t>
      </w:r>
      <w:proofErr w:type="gramStart"/>
      <w:r w:rsidR="00292654">
        <w:rPr>
          <w:rStyle w:val="ASAIn-lineheading"/>
          <w:lang w:val="en-GB"/>
        </w:rPr>
        <w:t>Post-occupancy</w:t>
      </w:r>
      <w:proofErr w:type="gramEnd"/>
      <w:r w:rsidR="00292654">
        <w:rPr>
          <w:rStyle w:val="ASAIn-lineheading"/>
          <w:lang w:val="en-GB"/>
        </w:rPr>
        <w:t xml:space="preserve"> evaluation, thermal comfort, occupant behaviour</w:t>
      </w:r>
    </w:p>
    <w:p w14:paraId="668E49C9" w14:textId="77777777" w:rsidR="00815D0F" w:rsidRPr="00855573" w:rsidRDefault="19F5D5B8" w:rsidP="001265D5">
      <w:pPr>
        <w:pStyle w:val="ASAHeading1"/>
      </w:pPr>
      <w:bookmarkStart w:id="0" w:name="Introduction"/>
      <w:r>
        <w:t>1. Introduction</w:t>
      </w:r>
    </w:p>
    <w:bookmarkEnd w:id="0"/>
    <w:p w14:paraId="7BB1A318" w14:textId="5987C04B" w:rsidR="00F751F3" w:rsidRPr="00F751F3" w:rsidRDefault="40D55522" w:rsidP="00F751F3">
      <w:pPr>
        <w:pStyle w:val="ASAText"/>
        <w:ind w:firstLine="0"/>
        <w:rPr>
          <w:lang w:val="en-GB"/>
        </w:rPr>
      </w:pPr>
      <w:r w:rsidRPr="04B3C552">
        <w:rPr>
          <w:lang w:val="en-GB"/>
        </w:rPr>
        <w:t>The recent pandemic and subsequent lockdown ha</w:t>
      </w:r>
      <w:r w:rsidR="5649C140" w:rsidRPr="04B3C552">
        <w:rPr>
          <w:lang w:val="en-GB"/>
        </w:rPr>
        <w:t>ve</w:t>
      </w:r>
      <w:r w:rsidRPr="04B3C552">
        <w:rPr>
          <w:lang w:val="en-GB"/>
        </w:rPr>
        <w:t xml:space="preserve"> resulted in</w:t>
      </w:r>
      <w:r w:rsidR="7BC39B9A" w:rsidRPr="04B3C552">
        <w:rPr>
          <w:lang w:val="en-GB"/>
        </w:rPr>
        <w:t xml:space="preserve"> an eight-fold increase in the number of people working from home in the UK (Felstead and </w:t>
      </w:r>
      <w:proofErr w:type="spellStart"/>
      <w:r w:rsidR="7BC39B9A" w:rsidRPr="04B3C552">
        <w:rPr>
          <w:lang w:val="en-GB"/>
        </w:rPr>
        <w:t>Reuschke</w:t>
      </w:r>
      <w:proofErr w:type="spellEnd"/>
      <w:r w:rsidR="7BC39B9A" w:rsidRPr="04B3C552">
        <w:rPr>
          <w:lang w:val="en-GB"/>
        </w:rPr>
        <w:t>, 2020). This change has also affected higher education in terms of teaching modes, forcing courses to be delivered online</w:t>
      </w:r>
      <w:r w:rsidR="5649C140" w:rsidRPr="04B3C552">
        <w:rPr>
          <w:lang w:val="en-GB"/>
        </w:rPr>
        <w:t xml:space="preserve">, where students took lectures and studied at home for </w:t>
      </w:r>
      <w:proofErr w:type="gramStart"/>
      <w:r w:rsidR="5649C140" w:rsidRPr="04B3C552">
        <w:rPr>
          <w:lang w:val="en-GB"/>
        </w:rPr>
        <w:t>the majority of</w:t>
      </w:r>
      <w:proofErr w:type="gramEnd"/>
      <w:r w:rsidR="5649C140" w:rsidRPr="04B3C552">
        <w:rPr>
          <w:lang w:val="en-GB"/>
        </w:rPr>
        <w:t xml:space="preserve"> the time over the past two years.</w:t>
      </w:r>
      <w:r w:rsidR="7BC39B9A" w:rsidRPr="04B3C552">
        <w:rPr>
          <w:lang w:val="en-GB"/>
        </w:rPr>
        <w:t xml:space="preserve"> As we move towards a post-pandemic world, many universities nationwide are facing the issue of transitioning from online teaching to face-to-face or hybrid teaching. The university learning spaces are occupied in ways that were never anticipated. </w:t>
      </w:r>
      <w:r w:rsidR="5649C140" w:rsidRPr="04B3C552">
        <w:rPr>
          <w:lang w:val="en-GB"/>
        </w:rPr>
        <w:t>Previous research</w:t>
      </w:r>
      <w:r w:rsidR="7BC39B9A" w:rsidRPr="04B3C552">
        <w:rPr>
          <w:lang w:val="en-GB"/>
        </w:rPr>
        <w:t xml:space="preserve"> suggest</w:t>
      </w:r>
      <w:r w:rsidR="281BCDA1" w:rsidRPr="04B3C552">
        <w:rPr>
          <w:lang w:val="en-GB"/>
        </w:rPr>
        <w:t>ed</w:t>
      </w:r>
      <w:r w:rsidR="7BC39B9A" w:rsidRPr="04B3C552">
        <w:rPr>
          <w:lang w:val="en-GB"/>
        </w:rPr>
        <w:t xml:space="preserve"> </w:t>
      </w:r>
      <w:r w:rsidR="5649C140" w:rsidRPr="04B3C552">
        <w:rPr>
          <w:lang w:val="en-GB"/>
        </w:rPr>
        <w:t xml:space="preserve">that </w:t>
      </w:r>
      <w:r w:rsidR="7BC39B9A" w:rsidRPr="04B3C552">
        <w:rPr>
          <w:lang w:val="en-GB"/>
        </w:rPr>
        <w:t xml:space="preserve">university campuses have become more focused on </w:t>
      </w:r>
      <w:r w:rsidR="5649C140" w:rsidRPr="04B3C552">
        <w:rPr>
          <w:lang w:val="en-GB"/>
        </w:rPr>
        <w:t xml:space="preserve">social-oriented </w:t>
      </w:r>
      <w:r w:rsidR="7BC39B9A" w:rsidRPr="04B3C552">
        <w:rPr>
          <w:lang w:val="en-GB"/>
        </w:rPr>
        <w:t xml:space="preserve">learning and less on traditional lecture-based </w:t>
      </w:r>
      <w:r w:rsidR="5649C140" w:rsidRPr="04B3C552">
        <w:rPr>
          <w:lang w:val="en-GB"/>
        </w:rPr>
        <w:t>learning</w:t>
      </w:r>
      <w:r w:rsidR="2E6217F8" w:rsidRPr="04B3C552">
        <w:rPr>
          <w:lang w:val="en-GB"/>
        </w:rPr>
        <w:t>,</w:t>
      </w:r>
      <w:r w:rsidR="5649C140" w:rsidRPr="04B3C552">
        <w:rPr>
          <w:lang w:val="en-GB"/>
        </w:rPr>
        <w:t xml:space="preserve"> </w:t>
      </w:r>
      <w:proofErr w:type="gramStart"/>
      <w:r w:rsidR="281BCDA1" w:rsidRPr="04B3C552">
        <w:rPr>
          <w:lang w:val="en-GB"/>
        </w:rPr>
        <w:t>as a result</w:t>
      </w:r>
      <w:r w:rsidR="7BC39B9A" w:rsidRPr="04B3C552">
        <w:rPr>
          <w:lang w:val="en-GB"/>
        </w:rPr>
        <w:t xml:space="preserve"> </w:t>
      </w:r>
      <w:r w:rsidR="5649C140" w:rsidRPr="04B3C552">
        <w:rPr>
          <w:lang w:val="en-GB"/>
        </w:rPr>
        <w:t>of</w:t>
      </w:r>
      <w:proofErr w:type="gramEnd"/>
      <w:r w:rsidR="5649C140" w:rsidRPr="04B3C552">
        <w:rPr>
          <w:lang w:val="en-GB"/>
        </w:rPr>
        <w:t xml:space="preserve"> the maturity and accessibility of online </w:t>
      </w:r>
      <w:r w:rsidR="281BCDA1" w:rsidRPr="04B3C552">
        <w:rPr>
          <w:lang w:val="en-GB"/>
        </w:rPr>
        <w:t>teaching (</w:t>
      </w:r>
      <w:proofErr w:type="spellStart"/>
      <w:r w:rsidR="281BCDA1" w:rsidRPr="04B3C552">
        <w:rPr>
          <w:lang w:val="en-GB"/>
        </w:rPr>
        <w:t>Gui</w:t>
      </w:r>
      <w:proofErr w:type="spellEnd"/>
      <w:r w:rsidR="281BCDA1" w:rsidRPr="04B3C552">
        <w:rPr>
          <w:lang w:val="en-GB"/>
        </w:rPr>
        <w:t xml:space="preserve"> et al., 2021)</w:t>
      </w:r>
      <w:r w:rsidR="5649C140" w:rsidRPr="04B3C552">
        <w:rPr>
          <w:lang w:val="en-GB"/>
        </w:rPr>
        <w:t xml:space="preserve">. </w:t>
      </w:r>
      <w:r w:rsidR="2E6217F8" w:rsidRPr="04B3C552">
        <w:rPr>
          <w:lang w:val="en-GB"/>
        </w:rPr>
        <w:t xml:space="preserve">Such </w:t>
      </w:r>
      <w:r w:rsidR="2919ABEC" w:rsidRPr="04B3C552">
        <w:rPr>
          <w:lang w:val="en-GB"/>
        </w:rPr>
        <w:t xml:space="preserve">a </w:t>
      </w:r>
      <w:r w:rsidR="2E6217F8" w:rsidRPr="04B3C552">
        <w:rPr>
          <w:lang w:val="en-GB"/>
        </w:rPr>
        <w:t xml:space="preserve">blended model of teaching and learning would </w:t>
      </w:r>
      <w:r w:rsidR="2E6217F8" w:rsidRPr="04B3C552">
        <w:rPr>
          <w:lang w:val="en-GB"/>
        </w:rPr>
        <w:lastRenderedPageBreak/>
        <w:t>still be relevant in future scenarios</w:t>
      </w:r>
      <w:r w:rsidR="7BC39B9A" w:rsidRPr="04B3C552">
        <w:rPr>
          <w:lang w:val="en-GB"/>
        </w:rPr>
        <w:t>. The changing approach to teaching and learning impacts the occupants’ behaviour in terms of space use</w:t>
      </w:r>
      <w:r w:rsidR="2E6217F8" w:rsidRPr="04B3C552">
        <w:rPr>
          <w:lang w:val="en-GB"/>
        </w:rPr>
        <w:t>:</w:t>
      </w:r>
      <w:r w:rsidR="7BC39B9A" w:rsidRPr="04B3C552">
        <w:rPr>
          <w:lang w:val="en-GB"/>
        </w:rPr>
        <w:t xml:space="preserve"> there may be an increasing need for private/undisturbed spaces for online teaching and learning. On the other hand, </w:t>
      </w:r>
      <w:r w:rsidR="2E6217F8" w:rsidRPr="04B3C552">
        <w:rPr>
          <w:lang w:val="en-GB"/>
        </w:rPr>
        <w:t xml:space="preserve">it is likely that </w:t>
      </w:r>
      <w:r w:rsidR="7BC39B9A" w:rsidRPr="04B3C552">
        <w:rPr>
          <w:lang w:val="en-GB"/>
        </w:rPr>
        <w:t xml:space="preserve">study spaces may also be used as a group or social space more often than pre-pandemic. </w:t>
      </w:r>
    </w:p>
    <w:p w14:paraId="68CAD251" w14:textId="70160856" w:rsidR="00F751F3" w:rsidRPr="00F751F3" w:rsidRDefault="444E1605" w:rsidP="00F751F3">
      <w:pPr>
        <w:pStyle w:val="ASAText"/>
        <w:rPr>
          <w:lang w:val="en-GB"/>
        </w:rPr>
      </w:pPr>
      <w:r w:rsidRPr="04B3C552">
        <w:rPr>
          <w:lang w:val="en-GB"/>
        </w:rPr>
        <w:t xml:space="preserve">University buildings are occupied predominantly by a group of occupants (students) with a small range of age </w:t>
      </w:r>
      <w:r w:rsidR="2919ABEC" w:rsidRPr="04B3C552">
        <w:rPr>
          <w:lang w:val="en-GB"/>
        </w:rPr>
        <w:t>differences, different daily timetables and study disciplines, the occupancy pattern is very different than in other building typologies and is difficult to predict (</w:t>
      </w:r>
      <w:proofErr w:type="spellStart"/>
      <w:r w:rsidR="2919ABEC" w:rsidRPr="04B3C552">
        <w:rPr>
          <w:lang w:val="en-GB"/>
        </w:rPr>
        <w:t>Franceschini</w:t>
      </w:r>
      <w:proofErr w:type="spellEnd"/>
      <w:r w:rsidR="2919ABEC" w:rsidRPr="04B3C552">
        <w:rPr>
          <w:lang w:val="en-GB"/>
        </w:rPr>
        <w:t xml:space="preserve"> and Neves, 2022). Therefore, understanding the students’ behaviour is significant to overcoming the discrepancies between the predicted and actual environmental comfort and performance (Shi et al., 2019). Previous review articles </w:t>
      </w:r>
      <w:proofErr w:type="spellStart"/>
      <w:r w:rsidR="2919ABEC" w:rsidRPr="04B3C552">
        <w:rPr>
          <w:lang w:val="en-GB"/>
        </w:rPr>
        <w:t>Franceschini</w:t>
      </w:r>
      <w:proofErr w:type="spellEnd"/>
      <w:r w:rsidR="2919ABEC" w:rsidRPr="04B3C552">
        <w:rPr>
          <w:lang w:val="en-GB"/>
        </w:rPr>
        <w:t xml:space="preserve"> and Neves, 2022; Carlucci et al. </w:t>
      </w:r>
      <w:r w:rsidR="00F45F6F">
        <w:rPr>
          <w:lang w:val="en-GB"/>
        </w:rPr>
        <w:t>(</w:t>
      </w:r>
      <w:r w:rsidR="2919ABEC" w:rsidRPr="04B3C552">
        <w:rPr>
          <w:lang w:val="en-GB"/>
        </w:rPr>
        <w:t>2020) identified a literature gap in the study of occupant behaviour and building performance simulation studies of educational buildings. Out of the 278 identified studies on occupant behaviour and building performance, only 5% were</w:t>
      </w:r>
      <w:r w:rsidR="02FC3600" w:rsidRPr="04B3C552">
        <w:rPr>
          <w:lang w:val="en-GB"/>
        </w:rPr>
        <w:t xml:space="preserve"> on educational buildings </w:t>
      </w:r>
      <w:r w:rsidR="7BC39B9A" w:rsidRPr="04B3C552">
        <w:rPr>
          <w:lang w:val="en-GB"/>
        </w:rPr>
        <w:t xml:space="preserve">(Carlucci et al., 2020). This is due to </w:t>
      </w:r>
      <w:r w:rsidR="02FC3600" w:rsidRPr="04B3C552">
        <w:rPr>
          <w:lang w:val="en-GB"/>
        </w:rPr>
        <w:t xml:space="preserve">the </w:t>
      </w:r>
      <w:r w:rsidR="7BC39B9A" w:rsidRPr="04B3C552">
        <w:rPr>
          <w:lang w:val="en-GB"/>
        </w:rPr>
        <w:t xml:space="preserve">complexity of estimating occupant behaviour in </w:t>
      </w:r>
      <w:r w:rsidR="02FC3600" w:rsidRPr="04B3C552">
        <w:rPr>
          <w:lang w:val="en-GB"/>
        </w:rPr>
        <w:t xml:space="preserve">educational </w:t>
      </w:r>
      <w:r w:rsidR="7BC39B9A" w:rsidRPr="04B3C552">
        <w:rPr>
          <w:lang w:val="en-GB"/>
        </w:rPr>
        <w:t xml:space="preserve">buildings. </w:t>
      </w:r>
      <w:r w:rsidR="00F45F6F">
        <w:rPr>
          <w:lang w:val="en-GB"/>
        </w:rPr>
        <w:t xml:space="preserve">Moreover, </w:t>
      </w:r>
      <w:r w:rsidR="00F45F6F" w:rsidRPr="00F45F6F">
        <w:rPr>
          <w:lang w:val="en-GB"/>
        </w:rPr>
        <w:t xml:space="preserve">Lawrence, R., </w:t>
      </w:r>
      <w:proofErr w:type="spellStart"/>
      <w:r w:rsidR="00F45F6F" w:rsidRPr="00F45F6F">
        <w:rPr>
          <w:lang w:val="en-GB"/>
        </w:rPr>
        <w:t>Keime</w:t>
      </w:r>
      <w:proofErr w:type="spellEnd"/>
      <w:r w:rsidR="00F45F6F" w:rsidRPr="00F45F6F">
        <w:rPr>
          <w:lang w:val="en-GB"/>
        </w:rPr>
        <w:t xml:space="preserve">, C. </w:t>
      </w:r>
      <w:r w:rsidR="00F45F6F">
        <w:rPr>
          <w:lang w:val="en-GB"/>
        </w:rPr>
        <w:t>(</w:t>
      </w:r>
      <w:r w:rsidR="00F45F6F" w:rsidRPr="00F45F6F">
        <w:rPr>
          <w:lang w:val="en-GB"/>
        </w:rPr>
        <w:t>2016</w:t>
      </w:r>
      <w:r w:rsidR="00F45F6F">
        <w:rPr>
          <w:lang w:val="en-GB"/>
        </w:rPr>
        <w:t xml:space="preserve">) </w:t>
      </w:r>
      <w:r w:rsidR="00F45F6F" w:rsidRPr="00F45F6F">
        <w:rPr>
          <w:lang w:val="en-GB"/>
        </w:rPr>
        <w:t>highlights the significance of occupancy patterns to a complete understanding of energy efficiency and comfort</w:t>
      </w:r>
      <w:r w:rsidR="00F45F6F">
        <w:rPr>
          <w:lang w:val="en-GB"/>
        </w:rPr>
        <w:t xml:space="preserve">. </w:t>
      </w:r>
      <w:r w:rsidR="20F5649E" w:rsidRPr="04B3C552">
        <w:rPr>
          <w:lang w:val="en-GB"/>
        </w:rPr>
        <w:t xml:space="preserve">Meanwhile, environmental factors, thermal comfort </w:t>
      </w:r>
      <w:proofErr w:type="gramStart"/>
      <w:r w:rsidR="20F5649E" w:rsidRPr="04B3C552">
        <w:rPr>
          <w:lang w:val="en-GB"/>
        </w:rPr>
        <w:t>in particular are</w:t>
      </w:r>
      <w:proofErr w:type="gramEnd"/>
      <w:r w:rsidR="20F5649E" w:rsidRPr="04B3C552">
        <w:rPr>
          <w:lang w:val="en-GB"/>
        </w:rPr>
        <w:t xml:space="preserve"> proven to be impactful on students’ intellectual performances (Ricciardi and Buratti, 2018). Thermal discomfort causes distraction and reduction in the students’ academic performance and mental tasks (</w:t>
      </w:r>
      <w:proofErr w:type="spellStart"/>
      <w:r w:rsidR="20F5649E" w:rsidRPr="04B3C552">
        <w:rPr>
          <w:lang w:val="en-GB"/>
        </w:rPr>
        <w:t>Jowkar</w:t>
      </w:r>
      <w:proofErr w:type="spellEnd"/>
      <w:r w:rsidR="20F5649E" w:rsidRPr="04B3C552">
        <w:rPr>
          <w:lang w:val="en-GB"/>
        </w:rPr>
        <w:t xml:space="preserve"> et al., 2020; </w:t>
      </w:r>
      <w:proofErr w:type="spellStart"/>
      <w:r w:rsidR="20F5649E" w:rsidRPr="04B3C552">
        <w:rPr>
          <w:lang w:val="en-GB"/>
        </w:rPr>
        <w:t>Barbhuiya</w:t>
      </w:r>
      <w:proofErr w:type="spellEnd"/>
      <w:r w:rsidR="20F5649E" w:rsidRPr="04B3C552">
        <w:rPr>
          <w:lang w:val="en-GB"/>
        </w:rPr>
        <w:t xml:space="preserve"> and </w:t>
      </w:r>
      <w:proofErr w:type="spellStart"/>
      <w:r w:rsidR="20F5649E" w:rsidRPr="04B3C552">
        <w:rPr>
          <w:lang w:val="en-GB"/>
        </w:rPr>
        <w:t>Barbhuiya</w:t>
      </w:r>
      <w:proofErr w:type="spellEnd"/>
      <w:r w:rsidR="20F5649E" w:rsidRPr="04B3C552">
        <w:rPr>
          <w:lang w:val="en-GB"/>
        </w:rPr>
        <w:t xml:space="preserve">, 2013; Ricciardi and Buratti, 2018). </w:t>
      </w:r>
      <w:r w:rsidR="7BC39B9A" w:rsidRPr="04B3C552">
        <w:rPr>
          <w:lang w:val="en-GB"/>
        </w:rPr>
        <w:t xml:space="preserve">Therefore, measuring </w:t>
      </w:r>
      <w:r w:rsidR="20F5649E" w:rsidRPr="04B3C552">
        <w:rPr>
          <w:lang w:val="en-GB"/>
        </w:rPr>
        <w:t xml:space="preserve">the post-pandemic </w:t>
      </w:r>
      <w:r w:rsidR="02FC3600" w:rsidRPr="04B3C552">
        <w:rPr>
          <w:lang w:val="en-GB"/>
        </w:rPr>
        <w:t>in-</w:t>
      </w:r>
      <w:r w:rsidR="7BC39B9A" w:rsidRPr="04B3C552">
        <w:rPr>
          <w:lang w:val="en-GB"/>
        </w:rPr>
        <w:t xml:space="preserve">use </w:t>
      </w:r>
      <w:r w:rsidR="02FC3600" w:rsidRPr="04B3C552">
        <w:rPr>
          <w:lang w:val="en-GB"/>
        </w:rPr>
        <w:t>occupant behaviour and</w:t>
      </w:r>
      <w:r w:rsidR="20F5649E" w:rsidRPr="04B3C552">
        <w:rPr>
          <w:lang w:val="en-GB"/>
        </w:rPr>
        <w:t xml:space="preserve"> understanding students’ environmental evaluation of the study spaces, in comparison with predictions made pre-pandemic, are critical in </w:t>
      </w:r>
      <w:r w:rsidR="7BC39B9A" w:rsidRPr="04B3C552">
        <w:rPr>
          <w:lang w:val="en-GB"/>
        </w:rPr>
        <w:t xml:space="preserve">predicting and optimising the environmental </w:t>
      </w:r>
      <w:r w:rsidR="281BCDA1" w:rsidRPr="04B3C552">
        <w:rPr>
          <w:lang w:val="en-GB"/>
        </w:rPr>
        <w:t>comfort and performance</w:t>
      </w:r>
      <w:r w:rsidR="7BC39B9A" w:rsidRPr="04B3C552">
        <w:rPr>
          <w:lang w:val="en-GB"/>
        </w:rPr>
        <w:t xml:space="preserve"> of university buildings. </w:t>
      </w:r>
    </w:p>
    <w:p w14:paraId="47F35E58" w14:textId="4CBABC4F" w:rsidR="00815D0F" w:rsidRPr="00855573" w:rsidRDefault="7BC39B9A" w:rsidP="00F751F3">
      <w:pPr>
        <w:pStyle w:val="ASAText"/>
        <w:rPr>
          <w:lang w:val="en-GB"/>
        </w:rPr>
      </w:pPr>
      <w:r w:rsidRPr="04B3C552">
        <w:rPr>
          <w:lang w:val="en-GB"/>
        </w:rPr>
        <w:t xml:space="preserve">This project </w:t>
      </w:r>
      <w:r w:rsidR="281BCDA1" w:rsidRPr="04B3C552">
        <w:rPr>
          <w:lang w:val="en-GB"/>
        </w:rPr>
        <w:t>has carried</w:t>
      </w:r>
      <w:r w:rsidRPr="04B3C552">
        <w:rPr>
          <w:lang w:val="en-GB"/>
        </w:rPr>
        <w:t xml:space="preserve"> out a Post Occupancy Evaluation (POE) on the study spaces of a </w:t>
      </w:r>
      <w:proofErr w:type="gramStart"/>
      <w:r w:rsidRPr="04B3C552">
        <w:rPr>
          <w:lang w:val="en-GB"/>
        </w:rPr>
        <w:t>newly-built</w:t>
      </w:r>
      <w:proofErr w:type="gramEnd"/>
      <w:r w:rsidRPr="04B3C552">
        <w:rPr>
          <w:lang w:val="en-GB"/>
        </w:rPr>
        <w:t xml:space="preserve"> university building that has achieved a BREEAM excellence rating (BREEAM, 2022) for its design scheme. The rating was achieved based on a simulation model (produced by an external specialised company) prior to the buildings’ completion. However, since the university building was completed in March 2021 during the pandemic, the actual occupancy pattern and environmental control were very different from when it was designed for. As universities slowly returned to face-to-face teaching, the occupancy pattern has again changed dramatically.</w:t>
      </w:r>
      <w:r w:rsidR="004809D9">
        <w:rPr>
          <w:lang w:val="en-GB"/>
        </w:rPr>
        <w:t xml:space="preserve"> There were no restrictions by the time of the study however, the restrictions were lifted only recently which may have affected students’ habit to use study place.</w:t>
      </w:r>
      <w:r w:rsidRPr="04B3C552">
        <w:rPr>
          <w:lang w:val="en-GB"/>
        </w:rPr>
        <w:t xml:space="preserve"> The preliminary findings from this research show students’ preferences for study spaces in a post-pandemic setting in comparison with the building performance simulation assumptions, in terms of environmental factors, as well as their strategies in navigating discomfort</w:t>
      </w:r>
      <w:r w:rsidR="6D63CF66" w:rsidRPr="04B3C552">
        <w:rPr>
          <w:lang w:val="en-GB"/>
        </w:rPr>
        <w:t>.</w:t>
      </w:r>
    </w:p>
    <w:p w14:paraId="5E77258B" w14:textId="77777777" w:rsidR="00815D0F" w:rsidRPr="00855573" w:rsidRDefault="19F5D5B8" w:rsidP="001265D5">
      <w:pPr>
        <w:pStyle w:val="ASAHeading1"/>
      </w:pPr>
      <w:r>
        <w:t xml:space="preserve">2. </w:t>
      </w:r>
      <w:r w:rsidR="7BC39B9A">
        <w:t>The building</w:t>
      </w:r>
    </w:p>
    <w:p w14:paraId="1BE81B97" w14:textId="23E238E4" w:rsidR="00F45F6F" w:rsidRDefault="00F751F3" w:rsidP="00F751F3">
      <w:pPr>
        <w:pStyle w:val="ASAText"/>
        <w:ind w:firstLine="0"/>
        <w:rPr>
          <w:lang w:val="en-GB"/>
        </w:rPr>
      </w:pPr>
      <w:r w:rsidRPr="00F751F3">
        <w:rPr>
          <w:lang w:val="en-GB"/>
        </w:rPr>
        <w:t xml:space="preserve">The studied building </w:t>
      </w:r>
      <w:proofErr w:type="gramStart"/>
      <w:r w:rsidRPr="00F751F3">
        <w:rPr>
          <w:lang w:val="en-GB"/>
        </w:rPr>
        <w:t xml:space="preserve">is </w:t>
      </w:r>
      <w:r w:rsidR="00AA546B">
        <w:rPr>
          <w:lang w:val="en-GB"/>
        </w:rPr>
        <w:t>located in</w:t>
      </w:r>
      <w:proofErr w:type="gramEnd"/>
      <w:r w:rsidR="00AA546B">
        <w:rPr>
          <w:lang w:val="en-GB"/>
        </w:rPr>
        <w:t xml:space="preserve"> the East Midlands in the U.K. It is </w:t>
      </w:r>
      <w:r w:rsidRPr="00F751F3">
        <w:rPr>
          <w:lang w:val="en-GB"/>
        </w:rPr>
        <w:t>a 5-storey building with a gross internal floor area of approximately 5746m</w:t>
      </w:r>
      <w:r w:rsidRPr="00CB1CE7">
        <w:rPr>
          <w:vertAlign w:val="superscript"/>
          <w:lang w:val="en-GB"/>
        </w:rPr>
        <w:t>2</w:t>
      </w:r>
      <w:r w:rsidRPr="00F751F3">
        <w:rPr>
          <w:lang w:val="en-GB"/>
        </w:rPr>
        <w:t xml:space="preserve">. The design of the building adopted a principle to maximise sustainability through informed decisions on site, layout, massing, orientation, building fabric, elevational </w:t>
      </w:r>
      <w:proofErr w:type="gramStart"/>
      <w:r w:rsidRPr="00F751F3">
        <w:rPr>
          <w:lang w:val="en-GB"/>
        </w:rPr>
        <w:t>treatment</w:t>
      </w:r>
      <w:proofErr w:type="gramEnd"/>
      <w:r w:rsidRPr="00F751F3">
        <w:rPr>
          <w:lang w:val="en-GB"/>
        </w:rPr>
        <w:t xml:space="preserve"> and Integrated renewable energy systems</w:t>
      </w:r>
      <w:r w:rsidR="00B01E21">
        <w:rPr>
          <w:lang w:val="en-GB"/>
        </w:rPr>
        <w:t>, as well as</w:t>
      </w:r>
      <w:r w:rsidRPr="00F751F3">
        <w:rPr>
          <w:lang w:val="en-GB"/>
        </w:rPr>
        <w:t xml:space="preserve"> biophilic design principles including natural lighting and ventilation, visual links to natural landscape features and natural materials.</w:t>
      </w:r>
      <w:r w:rsidR="00B01E21">
        <w:rPr>
          <w:lang w:val="en-GB"/>
        </w:rPr>
        <w:t xml:space="preserve"> </w:t>
      </w:r>
      <w:r w:rsidRPr="00F751F3">
        <w:rPr>
          <w:lang w:val="en-GB"/>
        </w:rPr>
        <w:t>The thermal parameters of the main building components are listed in Table 1 below:</w:t>
      </w:r>
    </w:p>
    <w:p w14:paraId="32773E62" w14:textId="66F6DC1A" w:rsidR="00F751F3" w:rsidRPr="00855573" w:rsidRDefault="00F45F6F" w:rsidP="00F7632C">
      <w:pPr>
        <w:pStyle w:val="ASAText"/>
        <w:ind w:firstLine="0"/>
        <w:rPr>
          <w:lang w:val="en-GB"/>
        </w:rPr>
      </w:pPr>
      <w:r>
        <w:rPr>
          <w:lang w:val="en-GB"/>
        </w:rPr>
        <w:br w:type="column"/>
      </w:r>
      <w:r w:rsidR="7BC39B9A" w:rsidRPr="04B3C552">
        <w:rPr>
          <w:lang w:val="en-GB"/>
        </w:rPr>
        <w:lastRenderedPageBreak/>
        <w:t xml:space="preserve">Table </w:t>
      </w:r>
      <w:r w:rsidR="00F751F3" w:rsidRPr="04B3C552">
        <w:rPr>
          <w:lang w:val="en-GB"/>
        </w:rPr>
        <w:fldChar w:fldCharType="begin"/>
      </w:r>
      <w:r w:rsidR="00F751F3" w:rsidRPr="04B3C552">
        <w:rPr>
          <w:lang w:val="en-GB"/>
        </w:rPr>
        <w:instrText xml:space="preserve"> SEQ Table \* ARABIC </w:instrText>
      </w:r>
      <w:r w:rsidR="00F751F3" w:rsidRPr="04B3C552">
        <w:rPr>
          <w:lang w:val="en-GB"/>
        </w:rPr>
        <w:fldChar w:fldCharType="separate"/>
      </w:r>
      <w:r w:rsidR="39B8BDFF" w:rsidRPr="04B3C552">
        <w:rPr>
          <w:noProof/>
          <w:lang w:val="en-GB"/>
        </w:rPr>
        <w:t>1</w:t>
      </w:r>
      <w:r w:rsidR="00F751F3" w:rsidRPr="04B3C552">
        <w:rPr>
          <w:lang w:val="en-GB"/>
        </w:rPr>
        <w:fldChar w:fldCharType="end"/>
      </w:r>
      <w:r w:rsidR="7BC39B9A" w:rsidRPr="04B3C552">
        <w:rPr>
          <w:lang w:val="en-GB"/>
        </w:rPr>
        <w:t>: Thermal parameters of the main building components.</w:t>
      </w:r>
    </w:p>
    <w:tbl>
      <w:tblPr>
        <w:tblW w:w="4532" w:type="pct"/>
        <w:jc w:val="center"/>
        <w:tblBorders>
          <w:top w:val="single" w:sz="12" w:space="0" w:color="auto"/>
          <w:bottom w:val="single" w:sz="12" w:space="0" w:color="auto"/>
        </w:tblBorders>
        <w:tblLook w:val="04A0" w:firstRow="1" w:lastRow="0" w:firstColumn="1" w:lastColumn="0" w:noHBand="0" w:noVBand="1"/>
      </w:tblPr>
      <w:tblGrid>
        <w:gridCol w:w="2058"/>
        <w:gridCol w:w="2074"/>
        <w:gridCol w:w="1520"/>
        <w:gridCol w:w="2057"/>
      </w:tblGrid>
      <w:tr w:rsidR="00F751F3" w:rsidRPr="00B85B39" w14:paraId="44974FCB" w14:textId="77777777" w:rsidTr="04B3C552">
        <w:trPr>
          <w:jc w:val="center"/>
        </w:trPr>
        <w:tc>
          <w:tcPr>
            <w:tcW w:w="1335" w:type="pct"/>
            <w:tcBorders>
              <w:bottom w:val="single" w:sz="4" w:space="0" w:color="auto"/>
            </w:tcBorders>
            <w:shd w:val="clear" w:color="auto" w:fill="auto"/>
          </w:tcPr>
          <w:p w14:paraId="23A0F6DE" w14:textId="77777777" w:rsidR="00F751F3" w:rsidRPr="00B85B39" w:rsidRDefault="7BC39B9A" w:rsidP="00F751F3">
            <w:pPr>
              <w:pStyle w:val="ASATablebody"/>
            </w:pPr>
            <w:r>
              <w:t>Construction Element</w:t>
            </w:r>
          </w:p>
        </w:tc>
        <w:tc>
          <w:tcPr>
            <w:tcW w:w="1345" w:type="pct"/>
            <w:tcBorders>
              <w:bottom w:val="single" w:sz="4" w:space="0" w:color="auto"/>
            </w:tcBorders>
            <w:shd w:val="clear" w:color="auto" w:fill="auto"/>
          </w:tcPr>
          <w:p w14:paraId="712B5E24" w14:textId="77777777" w:rsidR="00F751F3" w:rsidRPr="00B85B39" w:rsidRDefault="7BC39B9A" w:rsidP="00F751F3">
            <w:pPr>
              <w:pStyle w:val="ASATablebody"/>
            </w:pPr>
            <w:r>
              <w:t>U-Values [W /m</w:t>
            </w:r>
            <w:r w:rsidRPr="04B3C552">
              <w:rPr>
                <w:vertAlign w:val="superscript"/>
              </w:rPr>
              <w:t>2</w:t>
            </w:r>
            <w:r>
              <w:t>/K]</w:t>
            </w:r>
          </w:p>
        </w:tc>
        <w:tc>
          <w:tcPr>
            <w:tcW w:w="986" w:type="pct"/>
            <w:tcBorders>
              <w:bottom w:val="single" w:sz="4" w:space="0" w:color="auto"/>
            </w:tcBorders>
          </w:tcPr>
          <w:p w14:paraId="27C76D76" w14:textId="77777777" w:rsidR="00F751F3" w:rsidRPr="003B4E18" w:rsidRDefault="7BC39B9A" w:rsidP="00F751F3">
            <w:pPr>
              <w:pStyle w:val="ASATablebody"/>
            </w:pPr>
            <w:r>
              <w:t>G-Values</w:t>
            </w:r>
          </w:p>
        </w:tc>
        <w:tc>
          <w:tcPr>
            <w:tcW w:w="1334" w:type="pct"/>
            <w:tcBorders>
              <w:bottom w:val="single" w:sz="4" w:space="0" w:color="auto"/>
            </w:tcBorders>
          </w:tcPr>
          <w:p w14:paraId="28BF0E60" w14:textId="77777777" w:rsidR="00F751F3" w:rsidRPr="003B4E18" w:rsidRDefault="7BC39B9A" w:rsidP="00F751F3">
            <w:pPr>
              <w:pStyle w:val="ASATablebody"/>
            </w:pPr>
            <w:r>
              <w:t>Light Transmittance [LT]</w:t>
            </w:r>
          </w:p>
        </w:tc>
      </w:tr>
      <w:tr w:rsidR="00F751F3" w:rsidRPr="00B85B39" w14:paraId="028C8EDB" w14:textId="77777777" w:rsidTr="04B3C552">
        <w:trPr>
          <w:jc w:val="center"/>
        </w:trPr>
        <w:tc>
          <w:tcPr>
            <w:tcW w:w="1335" w:type="pct"/>
            <w:shd w:val="clear" w:color="auto" w:fill="auto"/>
          </w:tcPr>
          <w:p w14:paraId="7BDCED31" w14:textId="77777777" w:rsidR="00F751F3" w:rsidRPr="00B85B39" w:rsidRDefault="7BC39B9A" w:rsidP="00F751F3">
            <w:pPr>
              <w:pStyle w:val="ASATablebody"/>
            </w:pPr>
            <w:r>
              <w:t>External Walls</w:t>
            </w:r>
          </w:p>
        </w:tc>
        <w:tc>
          <w:tcPr>
            <w:tcW w:w="1345" w:type="pct"/>
            <w:shd w:val="clear" w:color="auto" w:fill="auto"/>
          </w:tcPr>
          <w:p w14:paraId="658477D2" w14:textId="77777777" w:rsidR="00F751F3" w:rsidRPr="00B85B39" w:rsidRDefault="7BC39B9A" w:rsidP="00F751F3">
            <w:pPr>
              <w:pStyle w:val="ASATablebody"/>
            </w:pPr>
            <w:r>
              <w:t>0.22</w:t>
            </w:r>
          </w:p>
        </w:tc>
        <w:tc>
          <w:tcPr>
            <w:tcW w:w="986" w:type="pct"/>
          </w:tcPr>
          <w:p w14:paraId="25F5996B" w14:textId="77777777" w:rsidR="00F751F3" w:rsidRPr="003B4E18" w:rsidRDefault="00F751F3" w:rsidP="00F751F3">
            <w:pPr>
              <w:pStyle w:val="ASATablebody"/>
            </w:pPr>
          </w:p>
        </w:tc>
        <w:tc>
          <w:tcPr>
            <w:tcW w:w="1334" w:type="pct"/>
          </w:tcPr>
          <w:p w14:paraId="5A0B6773" w14:textId="77777777" w:rsidR="00F751F3" w:rsidRPr="003B4E18" w:rsidRDefault="00F751F3" w:rsidP="00F751F3">
            <w:pPr>
              <w:pStyle w:val="ASATablebody"/>
            </w:pPr>
          </w:p>
        </w:tc>
      </w:tr>
      <w:tr w:rsidR="00F751F3" w:rsidRPr="00B85B39" w14:paraId="6BA093CE" w14:textId="77777777" w:rsidTr="04B3C552">
        <w:trPr>
          <w:jc w:val="center"/>
        </w:trPr>
        <w:tc>
          <w:tcPr>
            <w:tcW w:w="1335" w:type="pct"/>
            <w:shd w:val="clear" w:color="auto" w:fill="auto"/>
          </w:tcPr>
          <w:p w14:paraId="6551267F" w14:textId="77777777" w:rsidR="00F751F3" w:rsidRPr="00B85B39" w:rsidRDefault="7BC39B9A" w:rsidP="00F751F3">
            <w:pPr>
              <w:pStyle w:val="ASATablebody"/>
            </w:pPr>
            <w:r>
              <w:t>Floor</w:t>
            </w:r>
          </w:p>
        </w:tc>
        <w:tc>
          <w:tcPr>
            <w:tcW w:w="1345" w:type="pct"/>
            <w:shd w:val="clear" w:color="auto" w:fill="auto"/>
          </w:tcPr>
          <w:p w14:paraId="753EC627" w14:textId="77777777" w:rsidR="00F751F3" w:rsidRPr="00B85B39" w:rsidRDefault="7BC39B9A" w:rsidP="00F751F3">
            <w:pPr>
              <w:pStyle w:val="ASATablebody"/>
            </w:pPr>
            <w:r>
              <w:t>0.24</w:t>
            </w:r>
          </w:p>
        </w:tc>
        <w:tc>
          <w:tcPr>
            <w:tcW w:w="986" w:type="pct"/>
          </w:tcPr>
          <w:p w14:paraId="0444CC38" w14:textId="77777777" w:rsidR="00F751F3" w:rsidRPr="003B4E18" w:rsidRDefault="00F751F3" w:rsidP="00F751F3">
            <w:pPr>
              <w:pStyle w:val="ASATablebody"/>
            </w:pPr>
          </w:p>
        </w:tc>
        <w:tc>
          <w:tcPr>
            <w:tcW w:w="1334" w:type="pct"/>
          </w:tcPr>
          <w:p w14:paraId="5E5B322B" w14:textId="77777777" w:rsidR="00F751F3" w:rsidRPr="003B4E18" w:rsidRDefault="00F751F3" w:rsidP="00F751F3">
            <w:pPr>
              <w:pStyle w:val="ASATablebody"/>
            </w:pPr>
          </w:p>
        </w:tc>
      </w:tr>
      <w:tr w:rsidR="00F751F3" w:rsidRPr="00B85B39" w14:paraId="3073848F" w14:textId="77777777" w:rsidTr="04B3C552">
        <w:trPr>
          <w:jc w:val="center"/>
        </w:trPr>
        <w:tc>
          <w:tcPr>
            <w:tcW w:w="1335" w:type="pct"/>
            <w:shd w:val="clear" w:color="auto" w:fill="auto"/>
          </w:tcPr>
          <w:p w14:paraId="0A532D2A" w14:textId="77777777" w:rsidR="00F751F3" w:rsidRPr="00B85B39" w:rsidRDefault="7BC39B9A" w:rsidP="00F751F3">
            <w:pPr>
              <w:pStyle w:val="ASATablebody"/>
            </w:pPr>
            <w:r>
              <w:t>Roof</w:t>
            </w:r>
          </w:p>
        </w:tc>
        <w:tc>
          <w:tcPr>
            <w:tcW w:w="1345" w:type="pct"/>
            <w:shd w:val="clear" w:color="auto" w:fill="auto"/>
          </w:tcPr>
          <w:p w14:paraId="33F86A51" w14:textId="77777777" w:rsidR="00F751F3" w:rsidRPr="00B85B39" w:rsidRDefault="7BC39B9A" w:rsidP="00F751F3">
            <w:pPr>
              <w:pStyle w:val="ASATablebody"/>
            </w:pPr>
            <w:r>
              <w:t>0.16</w:t>
            </w:r>
          </w:p>
        </w:tc>
        <w:tc>
          <w:tcPr>
            <w:tcW w:w="986" w:type="pct"/>
          </w:tcPr>
          <w:p w14:paraId="5C1378E5" w14:textId="77777777" w:rsidR="00F751F3" w:rsidRPr="003B4E18" w:rsidRDefault="00F751F3" w:rsidP="00F751F3">
            <w:pPr>
              <w:pStyle w:val="ASATablebody"/>
            </w:pPr>
          </w:p>
        </w:tc>
        <w:tc>
          <w:tcPr>
            <w:tcW w:w="1334" w:type="pct"/>
          </w:tcPr>
          <w:p w14:paraId="7211D05D" w14:textId="77777777" w:rsidR="00F751F3" w:rsidRPr="003B4E18" w:rsidRDefault="00F751F3" w:rsidP="00F751F3">
            <w:pPr>
              <w:pStyle w:val="ASATablebody"/>
            </w:pPr>
          </w:p>
        </w:tc>
      </w:tr>
      <w:tr w:rsidR="00F751F3" w:rsidRPr="00B85B39" w14:paraId="059B2F86" w14:textId="77777777" w:rsidTr="04B3C552">
        <w:trPr>
          <w:jc w:val="center"/>
        </w:trPr>
        <w:tc>
          <w:tcPr>
            <w:tcW w:w="1335" w:type="pct"/>
            <w:shd w:val="clear" w:color="auto" w:fill="auto"/>
          </w:tcPr>
          <w:p w14:paraId="5AB136B1" w14:textId="77777777" w:rsidR="00F751F3" w:rsidRPr="00B85B39" w:rsidRDefault="7BC39B9A" w:rsidP="00F751F3">
            <w:pPr>
              <w:pStyle w:val="ASATablebody"/>
            </w:pPr>
            <w:r>
              <w:t>Windows</w:t>
            </w:r>
          </w:p>
        </w:tc>
        <w:tc>
          <w:tcPr>
            <w:tcW w:w="1345" w:type="pct"/>
            <w:shd w:val="clear" w:color="auto" w:fill="auto"/>
          </w:tcPr>
          <w:p w14:paraId="5B8C0ED9" w14:textId="77777777" w:rsidR="00F751F3" w:rsidRPr="00B85B39" w:rsidRDefault="7BC39B9A" w:rsidP="00F751F3">
            <w:pPr>
              <w:pStyle w:val="ASATablebody"/>
            </w:pPr>
            <w:r>
              <w:t>1.40</w:t>
            </w:r>
          </w:p>
        </w:tc>
        <w:tc>
          <w:tcPr>
            <w:tcW w:w="986" w:type="pct"/>
          </w:tcPr>
          <w:p w14:paraId="27227FEA" w14:textId="77777777" w:rsidR="00F751F3" w:rsidRPr="003B4E18" w:rsidRDefault="7BC39B9A" w:rsidP="00F751F3">
            <w:pPr>
              <w:pStyle w:val="ASATablebody"/>
            </w:pPr>
            <w:r>
              <w:t>0.45</w:t>
            </w:r>
          </w:p>
        </w:tc>
        <w:tc>
          <w:tcPr>
            <w:tcW w:w="1334" w:type="pct"/>
          </w:tcPr>
          <w:p w14:paraId="7191E8C1" w14:textId="77777777" w:rsidR="00F751F3" w:rsidRPr="003B4E18" w:rsidRDefault="7BC39B9A" w:rsidP="00F751F3">
            <w:pPr>
              <w:pStyle w:val="ASATablebody"/>
            </w:pPr>
            <w:r>
              <w:t>71%</w:t>
            </w:r>
          </w:p>
        </w:tc>
      </w:tr>
      <w:tr w:rsidR="00F751F3" w:rsidRPr="00B85B39" w14:paraId="1594FD5A" w14:textId="77777777" w:rsidTr="04B3C552">
        <w:trPr>
          <w:jc w:val="center"/>
        </w:trPr>
        <w:tc>
          <w:tcPr>
            <w:tcW w:w="1335" w:type="pct"/>
            <w:shd w:val="clear" w:color="auto" w:fill="auto"/>
          </w:tcPr>
          <w:p w14:paraId="2D7AE173" w14:textId="77777777" w:rsidR="00F751F3" w:rsidRPr="00B85B39" w:rsidRDefault="7BC39B9A" w:rsidP="00F751F3">
            <w:pPr>
              <w:pStyle w:val="ASATablebody"/>
            </w:pPr>
            <w:r>
              <w:t>Doors</w:t>
            </w:r>
          </w:p>
        </w:tc>
        <w:tc>
          <w:tcPr>
            <w:tcW w:w="1345" w:type="pct"/>
            <w:shd w:val="clear" w:color="auto" w:fill="auto"/>
          </w:tcPr>
          <w:p w14:paraId="5E27D457" w14:textId="77777777" w:rsidR="00F751F3" w:rsidRPr="00B85B39" w:rsidRDefault="7BC39B9A" w:rsidP="00F751F3">
            <w:pPr>
              <w:pStyle w:val="ASATablebody"/>
            </w:pPr>
            <w:r>
              <w:t>2.20</w:t>
            </w:r>
          </w:p>
        </w:tc>
        <w:tc>
          <w:tcPr>
            <w:tcW w:w="986" w:type="pct"/>
          </w:tcPr>
          <w:p w14:paraId="3909E619" w14:textId="77777777" w:rsidR="00F751F3" w:rsidRPr="003B4E18" w:rsidRDefault="00F751F3" w:rsidP="00F751F3">
            <w:pPr>
              <w:pStyle w:val="ASATablebody"/>
            </w:pPr>
          </w:p>
        </w:tc>
        <w:tc>
          <w:tcPr>
            <w:tcW w:w="1334" w:type="pct"/>
          </w:tcPr>
          <w:p w14:paraId="4BCD146A" w14:textId="77777777" w:rsidR="00F751F3" w:rsidRPr="003B4E18" w:rsidRDefault="00F751F3" w:rsidP="00F751F3">
            <w:pPr>
              <w:pStyle w:val="ASATablebody"/>
            </w:pPr>
          </w:p>
        </w:tc>
      </w:tr>
    </w:tbl>
    <w:p w14:paraId="0FC82D2E" w14:textId="77777777" w:rsidR="00A679A2" w:rsidRPr="00855573" w:rsidRDefault="6AD4475C" w:rsidP="00A679A2">
      <w:pPr>
        <w:pStyle w:val="ASAHeading2"/>
      </w:pPr>
      <w:r>
        <w:t>2.1. Layout and Occupancy</w:t>
      </w:r>
    </w:p>
    <w:p w14:paraId="0D79FC21" w14:textId="2E1782DE" w:rsidR="00F751F3" w:rsidRDefault="6AD4475C" w:rsidP="00F751F3">
      <w:pPr>
        <w:pStyle w:val="ASAText"/>
        <w:ind w:firstLine="0"/>
        <w:rPr>
          <w:lang w:val="en-GB"/>
        </w:rPr>
      </w:pPr>
      <w:r w:rsidRPr="00A679A2">
        <w:rPr>
          <w:lang w:val="en-GB"/>
        </w:rPr>
        <w:t xml:space="preserve">The common study areas are located on the first and second floors of the building and can be accessed directly via the main staircase. </w:t>
      </w:r>
      <w:proofErr w:type="gramStart"/>
      <w:r w:rsidRPr="00A679A2">
        <w:rPr>
          <w:lang w:val="en-GB"/>
        </w:rPr>
        <w:t>For the purpose of</w:t>
      </w:r>
      <w:proofErr w:type="gramEnd"/>
      <w:r w:rsidRPr="00A679A2">
        <w:rPr>
          <w:lang w:val="en-GB"/>
        </w:rPr>
        <w:t xml:space="preserve"> this research, we have divided the study spaces into 5 different zones that have distinctive characteristics</w:t>
      </w:r>
      <w:r w:rsidR="7E963A8D">
        <w:rPr>
          <w:lang w:val="en-GB"/>
        </w:rPr>
        <w:t xml:space="preserve"> (</w:t>
      </w:r>
      <w:r w:rsidR="0036338C">
        <w:rPr>
          <w:lang w:val="en-GB"/>
        </w:rPr>
        <w:fldChar w:fldCharType="begin"/>
      </w:r>
      <w:r w:rsidR="0036338C">
        <w:rPr>
          <w:lang w:val="en-GB"/>
        </w:rPr>
        <w:instrText xml:space="preserve"> REF _Ref108102478 \h </w:instrText>
      </w:r>
      <w:r w:rsidR="0036338C">
        <w:rPr>
          <w:lang w:val="en-GB"/>
        </w:rPr>
      </w:r>
      <w:r w:rsidR="0036338C">
        <w:rPr>
          <w:lang w:val="en-GB"/>
        </w:rPr>
        <w:fldChar w:fldCharType="separate"/>
      </w:r>
      <w:r w:rsidR="39B8BDFF" w:rsidRPr="00855573">
        <w:t xml:space="preserve">Figure </w:t>
      </w:r>
      <w:r w:rsidR="39B8BDFF">
        <w:rPr>
          <w:noProof/>
        </w:rPr>
        <w:t>1</w:t>
      </w:r>
      <w:r w:rsidR="0036338C">
        <w:rPr>
          <w:lang w:val="en-GB"/>
        </w:rPr>
        <w:fldChar w:fldCharType="end"/>
      </w:r>
      <w:r w:rsidR="7E963A8D">
        <w:rPr>
          <w:lang w:val="en-GB"/>
        </w:rPr>
        <w:t>)</w:t>
      </w:r>
      <w:r w:rsidRPr="00A679A2">
        <w:rPr>
          <w:lang w:val="en-GB"/>
        </w:rPr>
        <w:t xml:space="preserve">. </w:t>
      </w:r>
      <w:proofErr w:type="gramStart"/>
      <w:r w:rsidRPr="00A679A2">
        <w:rPr>
          <w:lang w:val="en-GB"/>
        </w:rPr>
        <w:t>Zone</w:t>
      </w:r>
      <w:proofErr w:type="gramEnd"/>
      <w:r w:rsidRPr="00A679A2">
        <w:rPr>
          <w:lang w:val="en-GB"/>
        </w:rPr>
        <w:t xml:space="preserve"> 1, 2, </w:t>
      </w:r>
      <w:r w:rsidR="4A503C63">
        <w:rPr>
          <w:lang w:val="en-GB"/>
        </w:rPr>
        <w:t xml:space="preserve">and </w:t>
      </w:r>
      <w:r w:rsidRPr="00A679A2">
        <w:rPr>
          <w:lang w:val="en-GB"/>
        </w:rPr>
        <w:t xml:space="preserve">3 belong to the library (Firstly floor), zone 1 is dedicated to studying using </w:t>
      </w:r>
      <w:r w:rsidR="7E963A8D">
        <w:rPr>
          <w:lang w:val="en-GB"/>
        </w:rPr>
        <w:t xml:space="preserve">university </w:t>
      </w:r>
      <w:r w:rsidRPr="00A679A2">
        <w:rPr>
          <w:lang w:val="en-GB"/>
        </w:rPr>
        <w:t>computers, with some group work areas. Zone 2 is a quiet study area and zone 3 is a silent area. Zone 4 is dedicated to group work (Second floor) comprising eight rooms, amo</w:t>
      </w:r>
      <w:r w:rsidRPr="04B3C552">
        <w:rPr>
          <w:lang w:val="en-GB"/>
        </w:rPr>
        <w:t xml:space="preserve">ng which only two of them have windows. Zone 5 is </w:t>
      </w:r>
      <w:r w:rsidR="4A503C63" w:rsidRPr="00A679A2">
        <w:rPr>
          <w:lang w:val="en-GB"/>
        </w:rPr>
        <w:t xml:space="preserve">a </w:t>
      </w:r>
      <w:r w:rsidRPr="00A679A2">
        <w:rPr>
          <w:lang w:val="en-GB"/>
        </w:rPr>
        <w:t>tuto</w:t>
      </w:r>
      <w:r w:rsidRPr="04B3C552">
        <w:rPr>
          <w:lang w:val="en-GB"/>
        </w:rPr>
        <w:t>rial space (Second floor), furnished to allow group seating. It also has direct acc</w:t>
      </w:r>
      <w:r w:rsidRPr="00A679A2">
        <w:rPr>
          <w:lang w:val="en-GB"/>
        </w:rPr>
        <w:t xml:space="preserve">ess to the terrace located on the second floor. </w:t>
      </w:r>
      <w:proofErr w:type="gramStart"/>
      <w:r w:rsidRPr="00A679A2">
        <w:rPr>
          <w:lang w:val="en-GB"/>
        </w:rPr>
        <w:t>The majority of</w:t>
      </w:r>
      <w:proofErr w:type="gramEnd"/>
      <w:r w:rsidRPr="00A679A2">
        <w:rPr>
          <w:lang w:val="en-GB"/>
        </w:rPr>
        <w:t xml:space="preserve"> the op</w:t>
      </w:r>
      <w:r>
        <w:rPr>
          <w:lang w:val="en-GB"/>
        </w:rPr>
        <w:t xml:space="preserve">enable windows face southeast and southwest. </w:t>
      </w:r>
    </w:p>
    <w:p w14:paraId="5D6A3D94" w14:textId="77777777" w:rsidR="00577C28" w:rsidRDefault="00577C28" w:rsidP="00F751F3">
      <w:pPr>
        <w:pStyle w:val="ASAText"/>
        <w:ind w:firstLine="0"/>
        <w:rPr>
          <w:lang w:val="en-GB"/>
        </w:rPr>
      </w:pPr>
    </w:p>
    <w:p w14:paraId="1BCA3D3B" w14:textId="33AC5485" w:rsidR="00A679A2" w:rsidRDefault="00577C28" w:rsidP="00F751F3">
      <w:pPr>
        <w:pStyle w:val="ASAText"/>
        <w:ind w:firstLine="0"/>
        <w:rPr>
          <w:lang w:val="en-GB"/>
        </w:rPr>
      </w:pPr>
      <w:r>
        <w:rPr>
          <w:noProof/>
        </w:rPr>
        <w:drawing>
          <wp:anchor distT="0" distB="0" distL="114300" distR="114300" simplePos="0" relativeHeight="251658752" behindDoc="0" locked="0" layoutInCell="1" allowOverlap="1" wp14:anchorId="1D9B1C71" wp14:editId="2A0F55E4">
            <wp:simplePos x="0" y="0"/>
            <wp:positionH relativeFrom="column">
              <wp:posOffset>61323</wp:posOffset>
            </wp:positionH>
            <wp:positionV relativeFrom="paragraph">
              <wp:posOffset>100227</wp:posOffset>
            </wp:positionV>
            <wp:extent cx="306070" cy="296545"/>
            <wp:effectExtent l="4762" t="14288" r="0" b="0"/>
            <wp:wrapNone/>
            <wp:docPr id="9" name="Picture 1" descr="11 North Arrows and Scales ideas | architecture symbols, architecture  drawing, architecture presen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1 North Arrows and Scales ideas | architecture symbols, architecture  drawing, architecture presentatio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2760000">
                      <a:off x="0" y="0"/>
                      <a:ext cx="306070" cy="296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14:anchorId="710BA326" wp14:editId="3D4337BD">
            <wp:extent cx="2671158" cy="1872000"/>
            <wp:effectExtent l="0" t="0" r="0" b="0"/>
            <wp:docPr id="11" name="Picture 1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Diagram&#10;&#10;Description automatically generated"/>
                    <pic:cNvPicPr/>
                  </pic:nvPicPr>
                  <pic:blipFill>
                    <a:blip r:embed="rId11"/>
                    <a:stretch>
                      <a:fillRect/>
                    </a:stretch>
                  </pic:blipFill>
                  <pic:spPr>
                    <a:xfrm>
                      <a:off x="0" y="0"/>
                      <a:ext cx="2671158" cy="1872000"/>
                    </a:xfrm>
                    <a:prstGeom prst="rect">
                      <a:avLst/>
                    </a:prstGeom>
                  </pic:spPr>
                </pic:pic>
              </a:graphicData>
            </a:graphic>
          </wp:inline>
        </w:drawing>
      </w:r>
      <w:r>
        <w:rPr>
          <w:lang w:val="en-GB"/>
        </w:rPr>
        <w:t xml:space="preserve">  </w:t>
      </w:r>
      <w:r>
        <w:rPr>
          <w:noProof/>
          <w:lang w:val="en-GB"/>
        </w:rPr>
        <w:drawing>
          <wp:inline distT="0" distB="0" distL="0" distR="0" wp14:anchorId="0BCFED2E" wp14:editId="4B0AFC7F">
            <wp:extent cx="2637297" cy="1872000"/>
            <wp:effectExtent l="0" t="0" r="0" b="0"/>
            <wp:docPr id="12" name="Picture 12" descr="Diagram, engineer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Diagram, engineering drawing&#10;&#10;Description automatically generated"/>
                    <pic:cNvPicPr/>
                  </pic:nvPicPr>
                  <pic:blipFill>
                    <a:blip r:embed="rId12"/>
                    <a:stretch>
                      <a:fillRect/>
                    </a:stretch>
                  </pic:blipFill>
                  <pic:spPr>
                    <a:xfrm>
                      <a:off x="0" y="0"/>
                      <a:ext cx="2637297" cy="1872000"/>
                    </a:xfrm>
                    <a:prstGeom prst="rect">
                      <a:avLst/>
                    </a:prstGeom>
                  </pic:spPr>
                </pic:pic>
              </a:graphicData>
            </a:graphic>
          </wp:inline>
        </w:drawing>
      </w:r>
    </w:p>
    <w:p w14:paraId="389BBF99" w14:textId="77777777" w:rsidR="00A679A2" w:rsidRPr="00855573" w:rsidRDefault="6AD4475C" w:rsidP="00A679A2">
      <w:pPr>
        <w:pStyle w:val="ASACaptionfigure"/>
      </w:pPr>
      <w:bookmarkStart w:id="1" w:name="_Ref108102478"/>
      <w:r>
        <w:t xml:space="preserve">Figure </w:t>
      </w:r>
      <w:r w:rsidR="00A679A2">
        <w:fldChar w:fldCharType="begin"/>
      </w:r>
      <w:r w:rsidR="00A679A2">
        <w:instrText xml:space="preserve"> SEQ Figure \* ARABIC </w:instrText>
      </w:r>
      <w:r w:rsidR="00A679A2">
        <w:fldChar w:fldCharType="separate"/>
      </w:r>
      <w:r w:rsidR="39B8BDFF" w:rsidRPr="04B3C552">
        <w:rPr>
          <w:noProof/>
        </w:rPr>
        <w:t>1</w:t>
      </w:r>
      <w:r w:rsidR="00A679A2">
        <w:fldChar w:fldCharType="end"/>
      </w:r>
      <w:bookmarkEnd w:id="1"/>
      <w:r>
        <w:t xml:space="preserve">: Frist floor (left) and </w:t>
      </w:r>
      <w:r w:rsidR="4A503C63">
        <w:t>second</w:t>
      </w:r>
      <w:r>
        <w:t xml:space="preserve"> floor (right) study spaces and surveyed zones</w:t>
      </w:r>
    </w:p>
    <w:p w14:paraId="4A122F24" w14:textId="77777777" w:rsidR="00A679A2" w:rsidRDefault="00A679A2" w:rsidP="00F751F3">
      <w:pPr>
        <w:pStyle w:val="ASAText"/>
        <w:ind w:firstLine="0"/>
      </w:pPr>
    </w:p>
    <w:p w14:paraId="36A75AC2" w14:textId="1865061E" w:rsidR="00A679A2" w:rsidRDefault="6AD4475C" w:rsidP="0036338C">
      <w:pPr>
        <w:pStyle w:val="ASAText"/>
        <w:ind w:firstLine="0"/>
      </w:pPr>
      <w:r>
        <w:t xml:space="preserve">Table 2 shows data used for the simulation model of the study spaces, including </w:t>
      </w:r>
      <w:r w:rsidR="4A503C63">
        <w:t xml:space="preserve">the </w:t>
      </w:r>
      <w:r>
        <w:t>area</w:t>
      </w:r>
      <w:r w:rsidR="4A503C63">
        <w:t xml:space="preserve"> of each zone</w:t>
      </w:r>
      <w:r>
        <w:t xml:space="preserve">, </w:t>
      </w:r>
      <w:r w:rsidR="7E963A8D">
        <w:t xml:space="preserve">the </w:t>
      </w:r>
      <w:r>
        <w:t xml:space="preserve">number of openable windows, </w:t>
      </w:r>
      <w:r w:rsidR="0022101D">
        <w:t>design maximum occupancy</w:t>
      </w:r>
      <w:r>
        <w:t xml:space="preserve">, ventilation rate and lighting setpoint. Zone 1,2,3 </w:t>
      </w:r>
      <w:proofErr w:type="gramStart"/>
      <w:r>
        <w:t>were</w:t>
      </w:r>
      <w:proofErr w:type="gramEnd"/>
      <w:r>
        <w:t xml:space="preserve"> modelled as one zone in the simulation model.</w:t>
      </w:r>
    </w:p>
    <w:p w14:paraId="4D51A6C8" w14:textId="77777777" w:rsidR="0036338C" w:rsidRDefault="0036338C" w:rsidP="0036338C">
      <w:pPr>
        <w:pStyle w:val="ASAText"/>
        <w:ind w:firstLine="0"/>
      </w:pPr>
    </w:p>
    <w:p w14:paraId="50782C7C" w14:textId="5DE6591A" w:rsidR="0036338C" w:rsidRDefault="00F7632C" w:rsidP="0036338C">
      <w:pPr>
        <w:pStyle w:val="Caption"/>
        <w:keepNext/>
      </w:pPr>
      <w:r>
        <w:br w:type="column"/>
      </w:r>
      <w:r w:rsidR="39B8BDFF">
        <w:lastRenderedPageBreak/>
        <w:t xml:space="preserve">Table </w:t>
      </w:r>
      <w:r w:rsidR="00CC55FF">
        <w:fldChar w:fldCharType="begin"/>
      </w:r>
      <w:r w:rsidR="00CC55FF">
        <w:instrText xml:space="preserve"> SEQ Table \* ARABIC </w:instrText>
      </w:r>
      <w:r w:rsidR="00CC55FF">
        <w:fldChar w:fldCharType="separate"/>
      </w:r>
      <w:r w:rsidR="39B8BDFF" w:rsidRPr="04B3C552">
        <w:rPr>
          <w:noProof/>
        </w:rPr>
        <w:t>2</w:t>
      </w:r>
      <w:r w:rsidR="00CC55FF">
        <w:rPr>
          <w:noProof/>
        </w:rPr>
        <w:fldChar w:fldCharType="end"/>
      </w:r>
      <w:r w:rsidR="39B8BDFF">
        <w:t xml:space="preserve"> Occupational setpoints per zone.</w:t>
      </w:r>
    </w:p>
    <w:tbl>
      <w:tblPr>
        <w:tblW w:w="4776" w:type="pct"/>
        <w:jc w:val="center"/>
        <w:tblBorders>
          <w:top w:val="single" w:sz="12" w:space="0" w:color="auto"/>
          <w:bottom w:val="single" w:sz="12" w:space="0" w:color="auto"/>
        </w:tblBorders>
        <w:tblLook w:val="04A0" w:firstRow="1" w:lastRow="0" w:firstColumn="1" w:lastColumn="0" w:noHBand="0" w:noVBand="1"/>
      </w:tblPr>
      <w:tblGrid>
        <w:gridCol w:w="1210"/>
        <w:gridCol w:w="970"/>
        <w:gridCol w:w="1934"/>
        <w:gridCol w:w="1521"/>
        <w:gridCol w:w="1106"/>
        <w:gridCol w:w="1383"/>
      </w:tblGrid>
      <w:tr w:rsidR="00A679A2" w:rsidRPr="00B85B39" w14:paraId="4C38FBF3" w14:textId="77777777" w:rsidTr="04B3C552">
        <w:trPr>
          <w:jc w:val="center"/>
        </w:trPr>
        <w:tc>
          <w:tcPr>
            <w:tcW w:w="744" w:type="pct"/>
            <w:tcBorders>
              <w:bottom w:val="single" w:sz="4" w:space="0" w:color="auto"/>
            </w:tcBorders>
            <w:shd w:val="clear" w:color="auto" w:fill="auto"/>
          </w:tcPr>
          <w:p w14:paraId="2D4F651E" w14:textId="77777777" w:rsidR="00A679A2" w:rsidRPr="00A679A2" w:rsidRDefault="6AD4475C" w:rsidP="04B3C552">
            <w:pPr>
              <w:pStyle w:val="ASATablebody"/>
            </w:pPr>
            <w:r>
              <w:t>Zone</w:t>
            </w:r>
          </w:p>
        </w:tc>
        <w:tc>
          <w:tcPr>
            <w:tcW w:w="597" w:type="pct"/>
            <w:tcBorders>
              <w:bottom w:val="single" w:sz="4" w:space="0" w:color="auto"/>
            </w:tcBorders>
            <w:shd w:val="clear" w:color="auto" w:fill="auto"/>
          </w:tcPr>
          <w:p w14:paraId="59E70218" w14:textId="77777777" w:rsidR="00A679A2" w:rsidRPr="00A679A2" w:rsidRDefault="6AD4475C" w:rsidP="04B3C552">
            <w:pPr>
              <w:pStyle w:val="ASATablebody"/>
              <w:rPr>
                <w:vertAlign w:val="superscript"/>
              </w:rPr>
            </w:pPr>
            <w:r>
              <w:t>Area m</w:t>
            </w:r>
            <w:r w:rsidRPr="04B3C552">
              <w:rPr>
                <w:vertAlign w:val="superscript"/>
              </w:rPr>
              <w:t>2</w:t>
            </w:r>
          </w:p>
        </w:tc>
        <w:tc>
          <w:tcPr>
            <w:tcW w:w="1190" w:type="pct"/>
            <w:tcBorders>
              <w:bottom w:val="single" w:sz="4" w:space="0" w:color="auto"/>
            </w:tcBorders>
          </w:tcPr>
          <w:p w14:paraId="03608A6D" w14:textId="60E35C5C" w:rsidR="00A679A2" w:rsidRPr="00A679A2" w:rsidRDefault="000E5209" w:rsidP="000E5209">
            <w:pPr>
              <w:pStyle w:val="ASATablebody"/>
            </w:pPr>
            <w:r>
              <w:t>Design maximum occupancy</w:t>
            </w:r>
          </w:p>
        </w:tc>
        <w:tc>
          <w:tcPr>
            <w:tcW w:w="936" w:type="pct"/>
            <w:tcBorders>
              <w:bottom w:val="single" w:sz="4" w:space="0" w:color="auto"/>
            </w:tcBorders>
          </w:tcPr>
          <w:p w14:paraId="29AB1F9C" w14:textId="77777777" w:rsidR="00A679A2" w:rsidRPr="00A679A2" w:rsidRDefault="6AD4475C" w:rsidP="04B3C552">
            <w:pPr>
              <w:pStyle w:val="ASATablebody"/>
              <w:jc w:val="left"/>
            </w:pPr>
            <w:r>
              <w:t>Ventilation rate l/s/person</w:t>
            </w:r>
          </w:p>
        </w:tc>
        <w:tc>
          <w:tcPr>
            <w:tcW w:w="681" w:type="pct"/>
            <w:tcBorders>
              <w:bottom w:val="single" w:sz="4" w:space="0" w:color="auto"/>
            </w:tcBorders>
          </w:tcPr>
          <w:p w14:paraId="24E87D5D" w14:textId="77777777" w:rsidR="00A679A2" w:rsidRPr="00A679A2" w:rsidRDefault="6AD4475C" w:rsidP="04B3C552">
            <w:pPr>
              <w:pStyle w:val="ASATablebody"/>
            </w:pPr>
            <w:r>
              <w:t>Lighting lux</w:t>
            </w:r>
          </w:p>
        </w:tc>
        <w:tc>
          <w:tcPr>
            <w:tcW w:w="851" w:type="pct"/>
            <w:tcBorders>
              <w:bottom w:val="single" w:sz="4" w:space="0" w:color="auto"/>
            </w:tcBorders>
          </w:tcPr>
          <w:p w14:paraId="061E1C86" w14:textId="77777777" w:rsidR="00A679A2" w:rsidRPr="00A679A2" w:rsidRDefault="6AD4475C" w:rsidP="04B3C552">
            <w:pPr>
              <w:pStyle w:val="ASATablebody"/>
            </w:pPr>
            <w:r>
              <w:t>Openable windows</w:t>
            </w:r>
          </w:p>
        </w:tc>
      </w:tr>
      <w:tr w:rsidR="00A679A2" w:rsidRPr="00B85B39" w14:paraId="2852CCB1" w14:textId="77777777" w:rsidTr="04B3C552">
        <w:trPr>
          <w:jc w:val="center"/>
        </w:trPr>
        <w:tc>
          <w:tcPr>
            <w:tcW w:w="744" w:type="pct"/>
            <w:shd w:val="clear" w:color="auto" w:fill="auto"/>
          </w:tcPr>
          <w:p w14:paraId="412666C1" w14:textId="77777777" w:rsidR="00A679A2" w:rsidRPr="00A679A2" w:rsidRDefault="6AD4475C" w:rsidP="04B3C552">
            <w:pPr>
              <w:pStyle w:val="ASATablebody"/>
            </w:pPr>
            <w:r>
              <w:t>Zone 1, 2, 3</w:t>
            </w:r>
          </w:p>
        </w:tc>
        <w:tc>
          <w:tcPr>
            <w:tcW w:w="597" w:type="pct"/>
            <w:shd w:val="clear" w:color="auto" w:fill="auto"/>
          </w:tcPr>
          <w:p w14:paraId="7940CCE8" w14:textId="77777777" w:rsidR="00A679A2" w:rsidRPr="00A679A2" w:rsidRDefault="6AD4475C" w:rsidP="04B3C552">
            <w:pPr>
              <w:pStyle w:val="ASATablebody"/>
            </w:pPr>
            <w:r>
              <w:t>658</w:t>
            </w:r>
          </w:p>
        </w:tc>
        <w:tc>
          <w:tcPr>
            <w:tcW w:w="1190" w:type="pct"/>
          </w:tcPr>
          <w:p w14:paraId="4601D578" w14:textId="77777777" w:rsidR="00A679A2" w:rsidRPr="00A679A2" w:rsidRDefault="6AD4475C" w:rsidP="04B3C552">
            <w:pPr>
              <w:pStyle w:val="ASATablebody"/>
            </w:pPr>
            <w:r>
              <w:t>256</w:t>
            </w:r>
          </w:p>
        </w:tc>
        <w:tc>
          <w:tcPr>
            <w:tcW w:w="936" w:type="pct"/>
          </w:tcPr>
          <w:p w14:paraId="4F6739BB" w14:textId="77777777" w:rsidR="00A679A2" w:rsidRPr="00A679A2" w:rsidRDefault="6AD4475C" w:rsidP="04B3C552">
            <w:pPr>
              <w:pStyle w:val="ASATablebody"/>
            </w:pPr>
            <w:r>
              <w:t>6.1</w:t>
            </w:r>
          </w:p>
        </w:tc>
        <w:tc>
          <w:tcPr>
            <w:tcW w:w="681" w:type="pct"/>
          </w:tcPr>
          <w:p w14:paraId="461E8C4E" w14:textId="77777777" w:rsidR="00A679A2" w:rsidRPr="00A679A2" w:rsidRDefault="6AD4475C" w:rsidP="04B3C552">
            <w:pPr>
              <w:pStyle w:val="ASATablebody"/>
            </w:pPr>
            <w:r>
              <w:t>500</w:t>
            </w:r>
          </w:p>
        </w:tc>
        <w:tc>
          <w:tcPr>
            <w:tcW w:w="851" w:type="pct"/>
          </w:tcPr>
          <w:p w14:paraId="1CF97038" w14:textId="77777777" w:rsidR="00A679A2" w:rsidRPr="00A679A2" w:rsidRDefault="6AD4475C" w:rsidP="04B3C552">
            <w:pPr>
              <w:pStyle w:val="ASATablebody"/>
            </w:pPr>
            <w:r>
              <w:t>17</w:t>
            </w:r>
          </w:p>
        </w:tc>
      </w:tr>
      <w:tr w:rsidR="00A679A2" w:rsidRPr="00B85B39" w14:paraId="4E5F47A2" w14:textId="77777777" w:rsidTr="04B3C552">
        <w:trPr>
          <w:jc w:val="center"/>
        </w:trPr>
        <w:tc>
          <w:tcPr>
            <w:tcW w:w="744" w:type="pct"/>
            <w:shd w:val="clear" w:color="auto" w:fill="auto"/>
          </w:tcPr>
          <w:p w14:paraId="0B836C8F" w14:textId="77777777" w:rsidR="00A679A2" w:rsidRPr="00A679A2" w:rsidRDefault="6AD4475C" w:rsidP="04B3C552">
            <w:pPr>
              <w:pStyle w:val="ASATablebody"/>
            </w:pPr>
            <w:r>
              <w:t xml:space="preserve">  </w:t>
            </w:r>
            <w:r w:rsidR="7E963A8D">
              <w:t xml:space="preserve">  </w:t>
            </w:r>
            <w:r>
              <w:t>Zone 1</w:t>
            </w:r>
          </w:p>
        </w:tc>
        <w:tc>
          <w:tcPr>
            <w:tcW w:w="597" w:type="pct"/>
            <w:shd w:val="clear" w:color="auto" w:fill="auto"/>
          </w:tcPr>
          <w:p w14:paraId="4BE85DA6" w14:textId="77777777" w:rsidR="00A679A2" w:rsidRPr="00A679A2" w:rsidRDefault="6AD4475C" w:rsidP="04B3C552">
            <w:pPr>
              <w:pStyle w:val="ASATablebody"/>
            </w:pPr>
            <w:r>
              <w:t>320</w:t>
            </w:r>
          </w:p>
        </w:tc>
        <w:tc>
          <w:tcPr>
            <w:tcW w:w="1190" w:type="pct"/>
          </w:tcPr>
          <w:p w14:paraId="2C5D8FE2" w14:textId="77777777" w:rsidR="00A679A2" w:rsidRPr="00A679A2" w:rsidRDefault="6AD4475C" w:rsidP="04B3C552">
            <w:pPr>
              <w:pStyle w:val="ASATablebody"/>
            </w:pPr>
            <w:r>
              <w:t>150</w:t>
            </w:r>
          </w:p>
        </w:tc>
        <w:tc>
          <w:tcPr>
            <w:tcW w:w="936" w:type="pct"/>
          </w:tcPr>
          <w:p w14:paraId="1C659E21" w14:textId="77777777" w:rsidR="00A679A2" w:rsidRPr="00A679A2" w:rsidRDefault="6AD4475C" w:rsidP="04B3C552">
            <w:pPr>
              <w:pStyle w:val="ASATablebody"/>
            </w:pPr>
            <w:r>
              <w:t>6.1</w:t>
            </w:r>
          </w:p>
        </w:tc>
        <w:tc>
          <w:tcPr>
            <w:tcW w:w="681" w:type="pct"/>
          </w:tcPr>
          <w:p w14:paraId="01702757" w14:textId="77777777" w:rsidR="00A679A2" w:rsidRPr="00A679A2" w:rsidRDefault="6AD4475C" w:rsidP="04B3C552">
            <w:pPr>
              <w:pStyle w:val="ASATablebody"/>
            </w:pPr>
            <w:r>
              <w:t>500</w:t>
            </w:r>
          </w:p>
        </w:tc>
        <w:tc>
          <w:tcPr>
            <w:tcW w:w="851" w:type="pct"/>
          </w:tcPr>
          <w:p w14:paraId="46A1F5CB" w14:textId="77777777" w:rsidR="00A679A2" w:rsidRPr="00A679A2" w:rsidRDefault="6AD4475C" w:rsidP="04B3C552">
            <w:pPr>
              <w:pStyle w:val="ASATablebody"/>
            </w:pPr>
            <w:r>
              <w:t>6</w:t>
            </w:r>
          </w:p>
        </w:tc>
      </w:tr>
      <w:tr w:rsidR="00A679A2" w:rsidRPr="00B85B39" w14:paraId="29CE6E23" w14:textId="77777777" w:rsidTr="04B3C552">
        <w:trPr>
          <w:jc w:val="center"/>
        </w:trPr>
        <w:tc>
          <w:tcPr>
            <w:tcW w:w="744" w:type="pct"/>
            <w:shd w:val="clear" w:color="auto" w:fill="auto"/>
          </w:tcPr>
          <w:p w14:paraId="384C03D1" w14:textId="77777777" w:rsidR="00A679A2" w:rsidRPr="00A679A2" w:rsidRDefault="7E963A8D" w:rsidP="04B3C552">
            <w:pPr>
              <w:pStyle w:val="ASATablebody"/>
            </w:pPr>
            <w:r>
              <w:t xml:space="preserve">   </w:t>
            </w:r>
            <w:r w:rsidR="6AD4475C">
              <w:t xml:space="preserve"> Zone 2</w:t>
            </w:r>
          </w:p>
        </w:tc>
        <w:tc>
          <w:tcPr>
            <w:tcW w:w="597" w:type="pct"/>
            <w:shd w:val="clear" w:color="auto" w:fill="auto"/>
          </w:tcPr>
          <w:p w14:paraId="573B4D54" w14:textId="77777777" w:rsidR="00A679A2" w:rsidRPr="00A679A2" w:rsidRDefault="6AD4475C" w:rsidP="04B3C552">
            <w:pPr>
              <w:pStyle w:val="ASATablebody"/>
            </w:pPr>
            <w:r>
              <w:t>90</w:t>
            </w:r>
          </w:p>
        </w:tc>
        <w:tc>
          <w:tcPr>
            <w:tcW w:w="1190" w:type="pct"/>
          </w:tcPr>
          <w:p w14:paraId="191278A5" w14:textId="77777777" w:rsidR="00A679A2" w:rsidRPr="00A679A2" w:rsidRDefault="6AD4475C" w:rsidP="04B3C552">
            <w:pPr>
              <w:pStyle w:val="ASATablebody"/>
            </w:pPr>
            <w:r>
              <w:t>50</w:t>
            </w:r>
          </w:p>
        </w:tc>
        <w:tc>
          <w:tcPr>
            <w:tcW w:w="936" w:type="pct"/>
          </w:tcPr>
          <w:p w14:paraId="74AAFF58" w14:textId="77777777" w:rsidR="00A679A2" w:rsidRPr="00A679A2" w:rsidRDefault="6AD4475C" w:rsidP="04B3C552">
            <w:pPr>
              <w:pStyle w:val="ASATablebody"/>
            </w:pPr>
            <w:r>
              <w:t>6.1</w:t>
            </w:r>
          </w:p>
        </w:tc>
        <w:tc>
          <w:tcPr>
            <w:tcW w:w="681" w:type="pct"/>
          </w:tcPr>
          <w:p w14:paraId="5F12D604" w14:textId="77777777" w:rsidR="00A679A2" w:rsidRPr="00A679A2" w:rsidRDefault="6AD4475C" w:rsidP="04B3C552">
            <w:pPr>
              <w:pStyle w:val="ASATablebody"/>
            </w:pPr>
            <w:r>
              <w:t>500</w:t>
            </w:r>
          </w:p>
        </w:tc>
        <w:tc>
          <w:tcPr>
            <w:tcW w:w="851" w:type="pct"/>
          </w:tcPr>
          <w:p w14:paraId="70A94BD0" w14:textId="77777777" w:rsidR="00A679A2" w:rsidRPr="00A679A2" w:rsidRDefault="6AD4475C" w:rsidP="04B3C552">
            <w:pPr>
              <w:pStyle w:val="ASATablebody"/>
            </w:pPr>
            <w:r>
              <w:t>2</w:t>
            </w:r>
          </w:p>
        </w:tc>
      </w:tr>
      <w:tr w:rsidR="00A679A2" w:rsidRPr="00B85B39" w14:paraId="0320CFF8" w14:textId="77777777" w:rsidTr="04B3C552">
        <w:trPr>
          <w:jc w:val="center"/>
        </w:trPr>
        <w:tc>
          <w:tcPr>
            <w:tcW w:w="744" w:type="pct"/>
            <w:shd w:val="clear" w:color="auto" w:fill="auto"/>
          </w:tcPr>
          <w:p w14:paraId="6F640D0D" w14:textId="77777777" w:rsidR="00A679A2" w:rsidRPr="00A679A2" w:rsidRDefault="6AD4475C" w:rsidP="04B3C552">
            <w:pPr>
              <w:pStyle w:val="ASATablebody"/>
            </w:pPr>
            <w:r>
              <w:t xml:space="preserve"> </w:t>
            </w:r>
            <w:r w:rsidR="7E963A8D">
              <w:t xml:space="preserve">  </w:t>
            </w:r>
            <w:r>
              <w:t xml:space="preserve"> Zone 3</w:t>
            </w:r>
          </w:p>
        </w:tc>
        <w:tc>
          <w:tcPr>
            <w:tcW w:w="597" w:type="pct"/>
            <w:shd w:val="clear" w:color="auto" w:fill="auto"/>
          </w:tcPr>
          <w:p w14:paraId="6C55B1D8" w14:textId="77777777" w:rsidR="00A679A2" w:rsidRPr="00A679A2" w:rsidRDefault="6AD4475C" w:rsidP="04B3C552">
            <w:pPr>
              <w:pStyle w:val="ASATablebody"/>
            </w:pPr>
            <w:r>
              <w:t>248</w:t>
            </w:r>
          </w:p>
        </w:tc>
        <w:tc>
          <w:tcPr>
            <w:tcW w:w="1190" w:type="pct"/>
          </w:tcPr>
          <w:p w14:paraId="2E948AB4" w14:textId="77777777" w:rsidR="00A679A2" w:rsidRPr="00A679A2" w:rsidRDefault="6AD4475C" w:rsidP="04B3C552">
            <w:pPr>
              <w:pStyle w:val="ASATablebody"/>
            </w:pPr>
            <w:r>
              <w:t>56</w:t>
            </w:r>
          </w:p>
        </w:tc>
        <w:tc>
          <w:tcPr>
            <w:tcW w:w="936" w:type="pct"/>
          </w:tcPr>
          <w:p w14:paraId="1399F023" w14:textId="77777777" w:rsidR="00A679A2" w:rsidRPr="00A679A2" w:rsidRDefault="6AD4475C" w:rsidP="04B3C552">
            <w:pPr>
              <w:pStyle w:val="ASATablebody"/>
            </w:pPr>
            <w:r>
              <w:t>6.1</w:t>
            </w:r>
          </w:p>
        </w:tc>
        <w:tc>
          <w:tcPr>
            <w:tcW w:w="681" w:type="pct"/>
          </w:tcPr>
          <w:p w14:paraId="139E32E7" w14:textId="77777777" w:rsidR="00A679A2" w:rsidRPr="00A679A2" w:rsidRDefault="6AD4475C" w:rsidP="04B3C552">
            <w:pPr>
              <w:pStyle w:val="ASATablebody"/>
            </w:pPr>
            <w:r>
              <w:t>500</w:t>
            </w:r>
          </w:p>
        </w:tc>
        <w:tc>
          <w:tcPr>
            <w:tcW w:w="851" w:type="pct"/>
          </w:tcPr>
          <w:p w14:paraId="371386A2" w14:textId="77777777" w:rsidR="00A679A2" w:rsidRPr="00A679A2" w:rsidRDefault="6AD4475C" w:rsidP="04B3C552">
            <w:pPr>
              <w:pStyle w:val="ASATablebody"/>
            </w:pPr>
            <w:r>
              <w:t>9</w:t>
            </w:r>
          </w:p>
        </w:tc>
      </w:tr>
      <w:tr w:rsidR="00A679A2" w:rsidRPr="00B85B39" w14:paraId="43EBCC2C" w14:textId="77777777" w:rsidTr="04B3C552">
        <w:trPr>
          <w:jc w:val="center"/>
        </w:trPr>
        <w:tc>
          <w:tcPr>
            <w:tcW w:w="744" w:type="pct"/>
            <w:shd w:val="clear" w:color="auto" w:fill="auto"/>
          </w:tcPr>
          <w:p w14:paraId="1CD70BC7" w14:textId="77777777" w:rsidR="00A679A2" w:rsidRPr="00A679A2" w:rsidRDefault="6AD4475C" w:rsidP="04B3C552">
            <w:pPr>
              <w:pStyle w:val="ASATablebody"/>
            </w:pPr>
            <w:r>
              <w:t>Zone 4</w:t>
            </w:r>
          </w:p>
        </w:tc>
        <w:tc>
          <w:tcPr>
            <w:tcW w:w="597" w:type="pct"/>
            <w:shd w:val="clear" w:color="auto" w:fill="auto"/>
          </w:tcPr>
          <w:p w14:paraId="00EB8AFF" w14:textId="77777777" w:rsidR="00A679A2" w:rsidRPr="00A679A2" w:rsidRDefault="6AD4475C" w:rsidP="04B3C552">
            <w:pPr>
              <w:pStyle w:val="ASATablebody"/>
            </w:pPr>
            <w:r>
              <w:t>18x8</w:t>
            </w:r>
          </w:p>
        </w:tc>
        <w:tc>
          <w:tcPr>
            <w:tcW w:w="1190" w:type="pct"/>
          </w:tcPr>
          <w:p w14:paraId="673FF781" w14:textId="77777777" w:rsidR="00A679A2" w:rsidRPr="00A679A2" w:rsidRDefault="6AD4475C" w:rsidP="04B3C552">
            <w:pPr>
              <w:pStyle w:val="ASATablebody"/>
            </w:pPr>
            <w:r>
              <w:t>10x8</w:t>
            </w:r>
          </w:p>
        </w:tc>
        <w:tc>
          <w:tcPr>
            <w:tcW w:w="936" w:type="pct"/>
          </w:tcPr>
          <w:p w14:paraId="1C0709C6" w14:textId="77777777" w:rsidR="00A679A2" w:rsidRPr="00A679A2" w:rsidRDefault="6AD4475C" w:rsidP="04B3C552">
            <w:pPr>
              <w:pStyle w:val="ASATablebody"/>
            </w:pPr>
            <w:r>
              <w:t>10</w:t>
            </w:r>
          </w:p>
        </w:tc>
        <w:tc>
          <w:tcPr>
            <w:tcW w:w="681" w:type="pct"/>
          </w:tcPr>
          <w:p w14:paraId="550EC42D" w14:textId="77777777" w:rsidR="00A679A2" w:rsidRPr="00A679A2" w:rsidRDefault="6AD4475C" w:rsidP="04B3C552">
            <w:pPr>
              <w:pStyle w:val="ASATablebody"/>
            </w:pPr>
            <w:r>
              <w:t>300</w:t>
            </w:r>
          </w:p>
        </w:tc>
        <w:tc>
          <w:tcPr>
            <w:tcW w:w="851" w:type="pct"/>
          </w:tcPr>
          <w:p w14:paraId="3288C49F" w14:textId="77777777" w:rsidR="00A679A2" w:rsidRPr="00A679A2" w:rsidRDefault="6AD4475C" w:rsidP="04B3C552">
            <w:pPr>
              <w:pStyle w:val="ASATablebody"/>
            </w:pPr>
            <w:r>
              <w:t>2</w:t>
            </w:r>
          </w:p>
        </w:tc>
      </w:tr>
      <w:tr w:rsidR="00A679A2" w:rsidRPr="00B85B39" w14:paraId="47440F54" w14:textId="77777777" w:rsidTr="04B3C552">
        <w:trPr>
          <w:jc w:val="center"/>
        </w:trPr>
        <w:tc>
          <w:tcPr>
            <w:tcW w:w="744" w:type="pct"/>
            <w:shd w:val="clear" w:color="auto" w:fill="auto"/>
          </w:tcPr>
          <w:p w14:paraId="4804879B" w14:textId="77777777" w:rsidR="00A679A2" w:rsidRPr="00A679A2" w:rsidRDefault="6AD4475C" w:rsidP="04B3C552">
            <w:pPr>
              <w:pStyle w:val="ASATablebody"/>
            </w:pPr>
            <w:r>
              <w:t>Zone 5</w:t>
            </w:r>
          </w:p>
        </w:tc>
        <w:tc>
          <w:tcPr>
            <w:tcW w:w="597" w:type="pct"/>
            <w:shd w:val="clear" w:color="auto" w:fill="auto"/>
          </w:tcPr>
          <w:p w14:paraId="70D3140E" w14:textId="77777777" w:rsidR="00A679A2" w:rsidRPr="00A679A2" w:rsidRDefault="6AD4475C" w:rsidP="04B3C552">
            <w:pPr>
              <w:pStyle w:val="ASATablebody"/>
            </w:pPr>
            <w:r>
              <w:t>161</w:t>
            </w:r>
          </w:p>
        </w:tc>
        <w:tc>
          <w:tcPr>
            <w:tcW w:w="1190" w:type="pct"/>
          </w:tcPr>
          <w:p w14:paraId="6CB5599D" w14:textId="77777777" w:rsidR="00A679A2" w:rsidRPr="00A679A2" w:rsidRDefault="6AD4475C" w:rsidP="04B3C552">
            <w:pPr>
              <w:pStyle w:val="ASATablebody"/>
            </w:pPr>
            <w:r>
              <w:t>30</w:t>
            </w:r>
          </w:p>
        </w:tc>
        <w:tc>
          <w:tcPr>
            <w:tcW w:w="936" w:type="pct"/>
          </w:tcPr>
          <w:p w14:paraId="043BD80C" w14:textId="77777777" w:rsidR="00A679A2" w:rsidRPr="00A679A2" w:rsidRDefault="6AD4475C" w:rsidP="04B3C552">
            <w:pPr>
              <w:pStyle w:val="ASATablebody"/>
            </w:pPr>
            <w:r>
              <w:t>5</w:t>
            </w:r>
          </w:p>
        </w:tc>
        <w:tc>
          <w:tcPr>
            <w:tcW w:w="681" w:type="pct"/>
          </w:tcPr>
          <w:p w14:paraId="06DBE927" w14:textId="77777777" w:rsidR="00A679A2" w:rsidRPr="00A679A2" w:rsidRDefault="6AD4475C" w:rsidP="04B3C552">
            <w:pPr>
              <w:pStyle w:val="ASATablebody"/>
            </w:pPr>
            <w:r>
              <w:t>500</w:t>
            </w:r>
          </w:p>
        </w:tc>
        <w:tc>
          <w:tcPr>
            <w:tcW w:w="851" w:type="pct"/>
          </w:tcPr>
          <w:p w14:paraId="3D8C37C3" w14:textId="77777777" w:rsidR="00A679A2" w:rsidRPr="00A679A2" w:rsidRDefault="6AD4475C" w:rsidP="04B3C552">
            <w:pPr>
              <w:pStyle w:val="ASATablebody"/>
            </w:pPr>
            <w:r>
              <w:t>2+1(door)</w:t>
            </w:r>
          </w:p>
        </w:tc>
      </w:tr>
    </w:tbl>
    <w:p w14:paraId="1D3BDA17" w14:textId="77777777" w:rsidR="00E779B2" w:rsidRDefault="593F5F40" w:rsidP="00E779B2">
      <w:pPr>
        <w:pStyle w:val="ASAHeading2"/>
      </w:pPr>
      <w:r>
        <w:t xml:space="preserve">2.2. Environmental control </w:t>
      </w:r>
      <w:r w:rsidR="65E4E263">
        <w:t>strategies</w:t>
      </w:r>
    </w:p>
    <w:p w14:paraId="1C2A5476" w14:textId="7E4D554F" w:rsidR="00E779B2" w:rsidRPr="00E779B2" w:rsidRDefault="593F5F40" w:rsidP="00802232">
      <w:pPr>
        <w:pStyle w:val="ASAText"/>
        <w:ind w:firstLine="0"/>
        <w:rPr>
          <w:lang w:val="en-GB"/>
        </w:rPr>
      </w:pPr>
      <w:r>
        <w:t>Th</w:t>
      </w:r>
      <w:r w:rsidR="001C059E">
        <w:t xml:space="preserve">e study spaces </w:t>
      </w:r>
      <w:r w:rsidR="4A503C63">
        <w:t xml:space="preserve">adopt a </w:t>
      </w:r>
      <w:r>
        <w:t>hybrid ventilation system. Due to the acoustic constraints of the local environment and to achieve compliance with Building Bulletin 93</w:t>
      </w:r>
      <w:r w:rsidR="006910B8">
        <w:t xml:space="preserve"> (BB93, 2015)</w:t>
      </w:r>
      <w:r>
        <w:t>, the use of natural ventilation throughout the year is not possible. A hybrid ventilation system is provided to library spaces to provide ventilation of the areas without compromising internal acoustic requirements</w:t>
      </w:r>
      <w:r w:rsidR="4A503C63">
        <w:t xml:space="preserve"> (55dBA)</w:t>
      </w:r>
      <w:r>
        <w:t>. Learning spaces are heated 24 hours during term times based on a setpoint of 21°C between 7:00-18:00 and 19°C throughout the rest of the day and night. Although the ventilation system has the active cooling capability, when assessed against</w:t>
      </w:r>
      <w:r w:rsidR="000E9956">
        <w:t xml:space="preserve"> CIBSE overheating criteria</w:t>
      </w:r>
      <w:r>
        <w:t xml:space="preserve"> (CIBSE TM52, 2013), considering manually openable windows and the threshold of allowed overheated hours, </w:t>
      </w:r>
      <w:r w:rsidRPr="04B3C552">
        <w:rPr>
          <w:lang w:val="en-GB"/>
        </w:rPr>
        <w:t>overheating risk was not detected in the model for the studied areas</w:t>
      </w:r>
      <w:r w:rsidR="7E963A8D" w:rsidRPr="04B3C552">
        <w:rPr>
          <w:lang w:val="en-GB"/>
        </w:rPr>
        <w:t>.</w:t>
      </w:r>
      <w:r w:rsidRPr="04B3C552">
        <w:rPr>
          <w:lang w:val="en-GB"/>
        </w:rPr>
        <w:t xml:space="preserve"> </w:t>
      </w:r>
      <w:r w:rsidR="7E963A8D" w:rsidRPr="04B3C552">
        <w:rPr>
          <w:lang w:val="en-GB"/>
        </w:rPr>
        <w:t>T</w:t>
      </w:r>
      <w:r w:rsidRPr="04B3C552">
        <w:rPr>
          <w:lang w:val="en-GB"/>
        </w:rPr>
        <w:t>herefore</w:t>
      </w:r>
      <w:r w:rsidR="65E4E263" w:rsidRPr="04B3C552">
        <w:rPr>
          <w:lang w:val="en-GB"/>
        </w:rPr>
        <w:t>,</w:t>
      </w:r>
      <w:r w:rsidRPr="04B3C552">
        <w:rPr>
          <w:lang w:val="en-GB"/>
        </w:rPr>
        <w:t xml:space="preserve"> all the studied zones are equipped with no active cooling. </w:t>
      </w:r>
    </w:p>
    <w:p w14:paraId="1EF6FDDF" w14:textId="77777777" w:rsidR="00E779B2" w:rsidRPr="00E779B2" w:rsidRDefault="00E779B2" w:rsidP="00E779B2">
      <w:pPr>
        <w:pStyle w:val="ASAText"/>
        <w:rPr>
          <w:lang w:val="en-GB"/>
        </w:rPr>
      </w:pPr>
      <w:r w:rsidRPr="00E779B2">
        <w:rPr>
          <w:lang w:val="en-GB"/>
        </w:rPr>
        <w:t xml:space="preserve">The hybrid </w:t>
      </w:r>
      <w:r w:rsidR="00AA546B">
        <w:rPr>
          <w:lang w:val="en-GB"/>
        </w:rPr>
        <w:t xml:space="preserve">ventilation </w:t>
      </w:r>
      <w:r w:rsidRPr="00E779B2">
        <w:rPr>
          <w:lang w:val="en-GB"/>
        </w:rPr>
        <w:t>units are located at a high level within the</w:t>
      </w:r>
      <w:r w:rsidRPr="00E779B2">
        <w:t xml:space="preserve"> window module. They are hard connected to intake and exhaust louvres within the window module to provide fan-assisted supply and extract to each space. There is no separate mode for winter or summer ventilation. The units are provided with a wall-mounted controller with integral temperature and CO</w:t>
      </w:r>
      <w:r w:rsidRPr="00AA546B">
        <w:rPr>
          <w:vertAlign w:val="subscript"/>
        </w:rPr>
        <w:t xml:space="preserve">2 </w:t>
      </w:r>
      <w:r w:rsidRPr="00E779B2">
        <w:t>sensors</w:t>
      </w:r>
      <w:r w:rsidR="001823BA">
        <w:t>, accessible by the occupants</w:t>
      </w:r>
      <w:r w:rsidRPr="00E779B2">
        <w:t xml:space="preserve">. </w:t>
      </w:r>
      <w:r w:rsidR="00AA546B">
        <w:t xml:space="preserve">The control allows the ventilation system to be boosted temporarily (for an hour) or turned off. </w:t>
      </w:r>
      <w:r w:rsidRPr="00E779B2">
        <w:t>The first-floor library has LCD interface screens with remote temperature and CO</w:t>
      </w:r>
      <w:r w:rsidRPr="00AA546B">
        <w:rPr>
          <w:vertAlign w:val="subscript"/>
        </w:rPr>
        <w:t>2</w:t>
      </w:r>
      <w:r w:rsidRPr="00E779B2">
        <w:t xml:space="preserve"> sensors controlling groups of three hybrid vent units. </w:t>
      </w:r>
      <w:r w:rsidR="002F1FA3">
        <w:t>However, t</w:t>
      </w:r>
      <w:r w:rsidRPr="00E779B2">
        <w:t xml:space="preserve">he LCD screens are located behind the library reception and are only allowed to be controlled by library staff. The ventilation </w:t>
      </w:r>
      <w:r w:rsidRPr="00E779B2">
        <w:rPr>
          <w:lang w:val="en-GB"/>
        </w:rPr>
        <w:t xml:space="preserve">system is </w:t>
      </w:r>
      <w:r w:rsidR="002F1FA3">
        <w:rPr>
          <w:lang w:val="en-GB"/>
        </w:rPr>
        <w:t xml:space="preserve">also automatically controlled and is </w:t>
      </w:r>
      <w:r w:rsidRPr="00E779B2">
        <w:rPr>
          <w:lang w:val="en-GB"/>
        </w:rPr>
        <w:t>triggered by the CO</w:t>
      </w:r>
      <w:r w:rsidRPr="00AA546B">
        <w:rPr>
          <w:vertAlign w:val="subscript"/>
          <w:lang w:val="en-GB"/>
        </w:rPr>
        <w:t>2</w:t>
      </w:r>
      <w:r w:rsidRPr="00E779B2">
        <w:rPr>
          <w:lang w:val="en-GB"/>
        </w:rPr>
        <w:t xml:space="preserve"> levels. If the CO</w:t>
      </w:r>
      <w:r w:rsidRPr="00AA546B">
        <w:rPr>
          <w:vertAlign w:val="subscript"/>
          <w:lang w:val="en-GB"/>
        </w:rPr>
        <w:t>2</w:t>
      </w:r>
      <w:r w:rsidRPr="00E779B2">
        <w:rPr>
          <w:lang w:val="en-GB"/>
        </w:rPr>
        <w:t xml:space="preserve"> level in the zone exceeds 1000ppm concentration level, the system will increase the flow of external air into the room until the CO</w:t>
      </w:r>
      <w:r w:rsidRPr="00AA546B">
        <w:rPr>
          <w:vertAlign w:val="subscript"/>
          <w:lang w:val="en-GB"/>
        </w:rPr>
        <w:t>2</w:t>
      </w:r>
      <w:r w:rsidRPr="00E779B2">
        <w:rPr>
          <w:lang w:val="en-GB"/>
        </w:rPr>
        <w:t xml:space="preserve"> level is reduced to under 900ppm. The hybrid ventilation unit has a sound pressure level of 31.9 dBA MAX during daytime hybrid mode (180 l/s).</w:t>
      </w:r>
    </w:p>
    <w:p w14:paraId="04762709" w14:textId="49C1C7FB" w:rsidR="00E779B2" w:rsidRDefault="593F5F40" w:rsidP="00E779B2">
      <w:pPr>
        <w:pStyle w:val="ASAText"/>
        <w:rPr>
          <w:b/>
          <w:bCs/>
        </w:rPr>
      </w:pPr>
      <w:r w:rsidRPr="04B3C552">
        <w:rPr>
          <w:lang w:val="en-GB"/>
        </w:rPr>
        <w:t>Lighting strategy follows (CIBSE LG05, 2011)– Lighting</w:t>
      </w:r>
      <w:r>
        <w:t xml:space="preserve"> for Education. Lighting controls operate based on daylight availability. Lighting controls can automatically detect absence and can be manually turned off or dimmed.  </w:t>
      </w:r>
    </w:p>
    <w:p w14:paraId="43C441A3" w14:textId="77777777" w:rsidR="00E779B2" w:rsidRPr="00855573" w:rsidRDefault="593F5F40" w:rsidP="00E779B2">
      <w:pPr>
        <w:pStyle w:val="ASAHeading1"/>
      </w:pPr>
      <w:r>
        <w:t>3. Research design</w:t>
      </w:r>
    </w:p>
    <w:p w14:paraId="5B16DAFC" w14:textId="4EC42E72" w:rsidR="00E779B2" w:rsidRPr="00E779B2" w:rsidRDefault="593F5F40" w:rsidP="00E779B2">
      <w:pPr>
        <w:pStyle w:val="ASAText"/>
        <w:ind w:firstLine="0"/>
        <w:rPr>
          <w:lang w:val="en-GB"/>
        </w:rPr>
      </w:pPr>
      <w:r>
        <w:t xml:space="preserve">The research design incorporates both quantitative and qualitative data collection. The first part of the data is collected using a questionnaire survey. The questionnaire survey includes two sections: Demographics (age, gender, how much time spent in the study per day and week, students’ preferred study area, thermal sensitivity, clothing level and metabolism level prior to entering the study space), as well as </w:t>
      </w:r>
      <w:r w:rsidR="006910B8">
        <w:t>e</w:t>
      </w:r>
      <w:r>
        <w:t xml:space="preserve">nvironmental comfort (thermal comfort, ventilation, humidity, </w:t>
      </w:r>
      <w:proofErr w:type="gramStart"/>
      <w:r>
        <w:t>lighting</w:t>
      </w:r>
      <w:proofErr w:type="gramEnd"/>
      <w:r>
        <w:t xml:space="preserve"> and acoustics). Each category of the environmental comfort questions adopted a similar structure. It asked the occupants to rate their sensations</w:t>
      </w:r>
      <w:r w:rsidRPr="04B3C552">
        <w:rPr>
          <w:lang w:val="en-GB"/>
        </w:rPr>
        <w:t xml:space="preserve"> using a 7-point Likert scale (ANSI/ASHRAE 55, 20</w:t>
      </w:r>
      <w:r w:rsidR="004809D9">
        <w:rPr>
          <w:lang w:val="en-GB"/>
        </w:rPr>
        <w:t>2</w:t>
      </w:r>
      <w:r w:rsidRPr="04B3C552">
        <w:rPr>
          <w:lang w:val="en-GB"/>
        </w:rPr>
        <w:t xml:space="preserve">0), and their adaptive behaviour, </w:t>
      </w:r>
      <w:r w:rsidRPr="04B3C552">
        <w:rPr>
          <w:lang w:val="en-GB"/>
        </w:rPr>
        <w:lastRenderedPageBreak/>
        <w:t xml:space="preserve">followed by any further comments they wanted to express. Qualitative comments were analysed using </w:t>
      </w:r>
      <w:r w:rsidR="00BF545B">
        <w:rPr>
          <w:lang w:val="en-GB"/>
        </w:rPr>
        <w:t>a s</w:t>
      </w:r>
      <w:r w:rsidR="00BF545B" w:rsidRPr="00BF545B">
        <w:rPr>
          <w:lang w:val="en-GB"/>
        </w:rPr>
        <w:t xml:space="preserve">tatistical </w:t>
      </w:r>
      <w:r w:rsidR="00BF545B">
        <w:rPr>
          <w:lang w:val="en-GB"/>
        </w:rPr>
        <w:t>an</w:t>
      </w:r>
      <w:r w:rsidR="00BF545B" w:rsidRPr="00BF545B">
        <w:rPr>
          <w:lang w:val="en-GB"/>
        </w:rPr>
        <w:t xml:space="preserve">alysis </w:t>
      </w:r>
      <w:r w:rsidR="00BF545B">
        <w:rPr>
          <w:lang w:val="en-GB"/>
        </w:rPr>
        <w:t>s</w:t>
      </w:r>
      <w:r w:rsidR="00BF545B" w:rsidRPr="00BF545B">
        <w:rPr>
          <w:lang w:val="en-GB"/>
        </w:rPr>
        <w:t>oftware</w:t>
      </w:r>
      <w:r w:rsidR="00BF545B">
        <w:rPr>
          <w:lang w:val="en-GB"/>
        </w:rPr>
        <w:t xml:space="preserve"> </w:t>
      </w:r>
      <w:r w:rsidRPr="04B3C552">
        <w:rPr>
          <w:lang w:val="en-GB"/>
        </w:rPr>
        <w:t>NVivo</w:t>
      </w:r>
      <w:r w:rsidR="00BF545B">
        <w:rPr>
          <w:lang w:val="en-GB"/>
        </w:rPr>
        <w:t xml:space="preserve"> (NVivo, 2022)</w:t>
      </w:r>
      <w:r w:rsidRPr="04B3C552">
        <w:rPr>
          <w:lang w:val="en-GB"/>
        </w:rPr>
        <w:t>.</w:t>
      </w:r>
    </w:p>
    <w:p w14:paraId="16DBEE69" w14:textId="45ABA377" w:rsidR="00E779B2" w:rsidRPr="00E779B2" w:rsidRDefault="593F5F40" w:rsidP="00E779B2">
      <w:pPr>
        <w:pStyle w:val="ASAText"/>
      </w:pPr>
      <w:r w:rsidRPr="04B3C552">
        <w:rPr>
          <w:lang w:val="en-GB"/>
        </w:rPr>
        <w:t xml:space="preserve">The survey was conducted </w:t>
      </w:r>
      <w:r w:rsidR="7E963A8D" w:rsidRPr="04B3C552">
        <w:rPr>
          <w:lang w:val="en-GB"/>
        </w:rPr>
        <w:t xml:space="preserve">by student researchers </w:t>
      </w:r>
      <w:r w:rsidRPr="04B3C552">
        <w:rPr>
          <w:lang w:val="en-GB"/>
        </w:rPr>
        <w:t>between 11.05.</w:t>
      </w:r>
      <w:r>
        <w:t xml:space="preserve">2022 and 17.05.2022 on 5 weekdays </w:t>
      </w:r>
      <w:r w:rsidR="4A503C63">
        <w:t>from</w:t>
      </w:r>
      <w:r>
        <w:t xml:space="preserve"> 9 am </w:t>
      </w:r>
      <w:r w:rsidR="4A503C63">
        <w:t>to</w:t>
      </w:r>
      <w:r>
        <w:t xml:space="preserve"> 5 pm. This period was chosen to </w:t>
      </w:r>
      <w:proofErr w:type="spellStart"/>
      <w:r>
        <w:t>maximise</w:t>
      </w:r>
      <w:proofErr w:type="spellEnd"/>
      <w:r>
        <w:t xml:space="preserve"> the respondent rate, as it was just before the exam period. </w:t>
      </w:r>
      <w:r w:rsidR="004809D9">
        <w:t xml:space="preserve">The respondents were chosen randomly based on their availability and handing the surveys to the same students were avoided by asking whether they have filled in a survey before. </w:t>
      </w:r>
      <w:r>
        <w:t xml:space="preserve">The researchers visited the learning spaces 7 times a day at one-hour intervals. In total, 206 questionnaires were filled in by students </w:t>
      </w:r>
      <w:r w:rsidR="7E963A8D">
        <w:t xml:space="preserve">who use </w:t>
      </w:r>
      <w:r>
        <w:t xml:space="preserve">the study spaces, which gives a confidence level of 95% and a margin of error of 5% (based on the 500 </w:t>
      </w:r>
      <w:proofErr w:type="gramStart"/>
      <w:r>
        <w:t>students</w:t>
      </w:r>
      <w:proofErr w:type="gramEnd"/>
      <w:r>
        <w:t xml:space="preserve"> population</w:t>
      </w:r>
      <w:r w:rsidR="004809D9">
        <w:t xml:space="preserve"> – total number of students who </w:t>
      </w:r>
      <w:r w:rsidR="00377F5B">
        <w:t xml:space="preserve">have access to </w:t>
      </w:r>
      <w:r w:rsidR="004809D9">
        <w:t>the study spaces-</w:t>
      </w:r>
      <w:r>
        <w:t xml:space="preserve"> using the study spaces). </w:t>
      </w:r>
      <w:r w:rsidR="65E4E263">
        <w:t>Q</w:t>
      </w:r>
      <w:r>
        <w:t>uestionnaire</w:t>
      </w:r>
      <w:r w:rsidR="65E4E263">
        <w:t>s</w:t>
      </w:r>
      <w:r>
        <w:t xml:space="preserve"> have been collected on-site using paper forms and later transferred to a digital platform for analysis. </w:t>
      </w:r>
    </w:p>
    <w:p w14:paraId="0E55E519" w14:textId="47457A05" w:rsidR="00E779B2" w:rsidRDefault="593F5F40" w:rsidP="00E779B2">
      <w:pPr>
        <w:pStyle w:val="ASAHeading2"/>
        <w:ind w:firstLine="284"/>
        <w:rPr>
          <w:b w:val="0"/>
          <w:bCs w:val="0"/>
          <w:sz w:val="20"/>
          <w:szCs w:val="20"/>
        </w:rPr>
      </w:pPr>
      <w:r w:rsidRPr="04B3C552">
        <w:rPr>
          <w:b w:val="0"/>
          <w:bCs w:val="0"/>
          <w:sz w:val="20"/>
          <w:szCs w:val="20"/>
        </w:rPr>
        <w:t xml:space="preserve">The second part of the data collection is </w:t>
      </w:r>
      <w:r w:rsidR="4A503C63" w:rsidRPr="04B3C552">
        <w:rPr>
          <w:b w:val="0"/>
          <w:bCs w:val="0"/>
          <w:sz w:val="20"/>
          <w:szCs w:val="20"/>
        </w:rPr>
        <w:t xml:space="preserve">the </w:t>
      </w:r>
      <w:r w:rsidRPr="04B3C552">
        <w:rPr>
          <w:b w:val="0"/>
          <w:bCs w:val="0"/>
          <w:sz w:val="20"/>
          <w:szCs w:val="20"/>
        </w:rPr>
        <w:t xml:space="preserve">on-site observation made by student researchers. Their observation includes the number of occupants per zone, </w:t>
      </w:r>
      <w:r w:rsidR="5005D9F8" w:rsidRPr="04B3C552">
        <w:rPr>
          <w:b w:val="0"/>
          <w:bCs w:val="0"/>
          <w:sz w:val="20"/>
          <w:szCs w:val="20"/>
        </w:rPr>
        <w:t>how many windows were open</w:t>
      </w:r>
      <w:r w:rsidRPr="04B3C552">
        <w:rPr>
          <w:b w:val="0"/>
          <w:bCs w:val="0"/>
          <w:sz w:val="20"/>
          <w:szCs w:val="20"/>
        </w:rPr>
        <w:t>, as well as temperature and CO</w:t>
      </w:r>
      <w:r w:rsidRPr="04B3C552">
        <w:rPr>
          <w:b w:val="0"/>
          <w:bCs w:val="0"/>
          <w:sz w:val="20"/>
          <w:szCs w:val="20"/>
          <w:vertAlign w:val="subscript"/>
        </w:rPr>
        <w:t>2</w:t>
      </w:r>
      <w:r w:rsidRPr="04B3C552">
        <w:rPr>
          <w:b w:val="0"/>
          <w:bCs w:val="0"/>
          <w:sz w:val="20"/>
          <w:szCs w:val="20"/>
        </w:rPr>
        <w:t xml:space="preserve"> values displayed on the screens in each zone at one-hour intervals. </w:t>
      </w:r>
    </w:p>
    <w:p w14:paraId="1042B758" w14:textId="77777777" w:rsidR="00E779B2" w:rsidRPr="00E779B2" w:rsidRDefault="19F5D5B8" w:rsidP="00E779B2">
      <w:pPr>
        <w:pStyle w:val="ASAHeading1"/>
      </w:pPr>
      <w:r>
        <w:t xml:space="preserve">4. </w:t>
      </w:r>
      <w:r w:rsidR="593F5F40">
        <w:t>Questionnaire survey results</w:t>
      </w:r>
    </w:p>
    <w:p w14:paraId="6A80547A" w14:textId="77777777" w:rsidR="00E779B2" w:rsidRPr="00855573" w:rsidRDefault="593F5F40" w:rsidP="00E779B2">
      <w:pPr>
        <w:pStyle w:val="ASAHeading2"/>
      </w:pPr>
      <w:r>
        <w:t>4.1. Demographics and space preference</w:t>
      </w:r>
    </w:p>
    <w:p w14:paraId="5835BE49" w14:textId="4CEC8CFA" w:rsidR="00E779B2" w:rsidRDefault="593F5F40" w:rsidP="001265D5">
      <w:pPr>
        <w:pStyle w:val="ASATextfirst"/>
      </w:pPr>
      <w:r>
        <w:t xml:space="preserve">Demographic questions showed that </w:t>
      </w:r>
      <w:r w:rsidR="08724CE4">
        <w:t>more females (</w:t>
      </w:r>
      <w:r>
        <w:t>67%</w:t>
      </w:r>
      <w:r w:rsidR="08724CE4">
        <w:t>) than males (31%)</w:t>
      </w:r>
      <w:r>
        <w:t xml:space="preserve"> </w:t>
      </w:r>
      <w:r w:rsidR="08724CE4">
        <w:t xml:space="preserve">answered the questionnaire. </w:t>
      </w:r>
      <w:r>
        <w:t>49% were aged between 18-20; 41% were 21-25 and 10% were above 25 years old. As shown in</w:t>
      </w:r>
      <w:r w:rsidR="39B8BDFF">
        <w:t xml:space="preserve"> </w:t>
      </w:r>
      <w:r w:rsidR="00E779B2">
        <w:fldChar w:fldCharType="begin"/>
      </w:r>
      <w:r w:rsidR="00E779B2">
        <w:instrText xml:space="preserve"> REF _Ref108102512 \h </w:instrText>
      </w:r>
      <w:r w:rsidR="00E779B2">
        <w:fldChar w:fldCharType="separate"/>
      </w:r>
      <w:r w:rsidR="39B8BDFF">
        <w:t xml:space="preserve">Figure </w:t>
      </w:r>
      <w:r w:rsidR="39B8BDFF" w:rsidRPr="04B3C552">
        <w:rPr>
          <w:noProof/>
        </w:rPr>
        <w:t>2</w:t>
      </w:r>
      <w:r w:rsidR="00E779B2">
        <w:fldChar w:fldCharType="end"/>
      </w:r>
      <w:r w:rsidR="00E779B2">
        <w:fldChar w:fldCharType="begin"/>
      </w:r>
      <w:r w:rsidR="00E779B2">
        <w:instrText xml:space="preserve"> REF _Ref107064870 \h  \* MERGEFORMAT </w:instrText>
      </w:r>
      <w:r w:rsidR="00E779B2">
        <w:fldChar w:fldCharType="end"/>
      </w:r>
      <w:r>
        <w:t xml:space="preserve">, more female participants </w:t>
      </w:r>
      <w:r w:rsidR="08724CE4">
        <w:t xml:space="preserve">(45%) </w:t>
      </w:r>
      <w:r>
        <w:t>were sensitive to cold</w:t>
      </w:r>
      <w:r w:rsidR="08724CE4">
        <w:t xml:space="preserve"> than males (27%)</w:t>
      </w:r>
      <w:r>
        <w:t>. The clothing level for over half of the respondents is moderate, a quarter of the respondents wear heavy clothing. The majority have engaged in a low metabolic rate activity.</w:t>
      </w:r>
    </w:p>
    <w:p w14:paraId="20D1DAED" w14:textId="14D2B007" w:rsidR="0036338C" w:rsidRDefault="009729AC" w:rsidP="0036338C">
      <w:pPr>
        <w:pStyle w:val="ASAText"/>
        <w:keepNext/>
      </w:pPr>
      <w:r w:rsidRPr="00E07D52">
        <w:rPr>
          <w:noProof/>
        </w:rPr>
        <w:drawing>
          <wp:inline distT="0" distB="0" distL="0" distR="0" wp14:anchorId="32596FC8" wp14:editId="1C4B6E49">
            <wp:extent cx="4981575" cy="1847850"/>
            <wp:effectExtent l="0" t="0" r="0" b="0"/>
            <wp:docPr id="6" name="Picture 50"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hart, bar chart&#10;&#10;Description automatically generated"/>
                    <pic:cNvPicPr>
                      <a:picLocks noRot="1" noChangeAspect="1" noEditPoints="1" noChangeArrowheads="1" noCrop="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981575" cy="1847850"/>
                    </a:xfrm>
                    <a:prstGeom prst="rect">
                      <a:avLst/>
                    </a:prstGeom>
                    <a:noFill/>
                    <a:ln>
                      <a:noFill/>
                    </a:ln>
                  </pic:spPr>
                </pic:pic>
              </a:graphicData>
            </a:graphic>
          </wp:inline>
        </w:drawing>
      </w:r>
    </w:p>
    <w:p w14:paraId="2DC878DC" w14:textId="77777777" w:rsidR="00E779B2" w:rsidRDefault="39B8BDFF" w:rsidP="0036338C">
      <w:pPr>
        <w:pStyle w:val="Caption"/>
      </w:pPr>
      <w:bookmarkStart w:id="2" w:name="_Ref108102512"/>
      <w:r>
        <w:t xml:space="preserve">Figure </w:t>
      </w:r>
      <w:r w:rsidR="00CC55FF">
        <w:fldChar w:fldCharType="begin"/>
      </w:r>
      <w:r w:rsidR="00CC55FF">
        <w:instrText xml:space="preserve"> SEQ Figure \* ARABIC </w:instrText>
      </w:r>
      <w:r w:rsidR="00CC55FF">
        <w:fldChar w:fldCharType="separate"/>
      </w:r>
      <w:r w:rsidRPr="04B3C552">
        <w:rPr>
          <w:noProof/>
        </w:rPr>
        <w:t>2</w:t>
      </w:r>
      <w:r w:rsidR="00CC55FF">
        <w:rPr>
          <w:noProof/>
        </w:rPr>
        <w:fldChar w:fldCharType="end"/>
      </w:r>
      <w:bookmarkEnd w:id="2"/>
      <w:r>
        <w:t xml:space="preserve"> General thermal sensation of participants distributed by gender (-3 very sensitive to cold, 3 very sensitive to heat)</w:t>
      </w:r>
    </w:p>
    <w:p w14:paraId="7ED163B0" w14:textId="77777777" w:rsidR="00802232" w:rsidRDefault="00802232" w:rsidP="00802232">
      <w:pPr>
        <w:pStyle w:val="ASATextfirst"/>
      </w:pPr>
    </w:p>
    <w:p w14:paraId="41EA59FD" w14:textId="5F962B2B" w:rsidR="00E779B2" w:rsidRDefault="08724CE4" w:rsidP="00CB1CE7">
      <w:pPr>
        <w:pStyle w:val="ASATextfirst"/>
        <w:ind w:firstLine="284"/>
        <w:rPr>
          <w:lang w:val="en-GB"/>
        </w:rPr>
      </w:pPr>
      <w:r>
        <w:t>The majority of the</w:t>
      </w:r>
      <w:r w:rsidR="593F5F40">
        <w:t xml:space="preserve"> students (43%) do </w:t>
      </w:r>
      <w:proofErr w:type="gramStart"/>
      <w:r w:rsidR="593F5F40">
        <w:t>mixed</w:t>
      </w:r>
      <w:proofErr w:type="gramEnd"/>
      <w:r w:rsidR="593F5F40">
        <w:t xml:space="preserve"> group and individual work</w:t>
      </w:r>
      <w:r>
        <w:t xml:space="preserve"> in the study areas, and </w:t>
      </w:r>
      <w:r w:rsidRPr="04B3C552">
        <w:rPr>
          <w:lang w:val="en-GB"/>
        </w:rPr>
        <w:t>38% of respondents</w:t>
      </w:r>
      <w:r>
        <w:t xml:space="preserve"> use the study spaces mainly to do individual work (90% of the time)</w:t>
      </w:r>
      <w:r w:rsidR="5005D9F8">
        <w:t>.</w:t>
      </w:r>
      <w:r>
        <w:t xml:space="preserve"> </w:t>
      </w:r>
      <w:r w:rsidR="593F5F40">
        <w:t xml:space="preserve">Students’ preferences for study space show a bigger demand for focused and private space (31.1%). At the same time, 15% of the answers reveal a need to be able to choose a space where they can </w:t>
      </w:r>
      <w:proofErr w:type="spellStart"/>
      <w:r w:rsidR="593F5F40">
        <w:t>socialise</w:t>
      </w:r>
      <w:proofErr w:type="spellEnd"/>
      <w:r w:rsidR="593F5F40">
        <w:t xml:space="preserve"> with their fellow students. Environmental concerns (lighting, thermal and acoustic</w:t>
      </w:r>
      <w:r>
        <w:t>)</w:t>
      </w:r>
      <w:r w:rsidR="593F5F40">
        <w:t xml:space="preserve"> are mentioned in 36.3% of the answers. Spatial </w:t>
      </w:r>
      <w:r w:rsidR="593F5F40">
        <w:lastRenderedPageBreak/>
        <w:t xml:space="preserve">quality appeared in 25% of the answers (including the size of the space/work surface, cleanness, window view, comfortable seating, and </w:t>
      </w:r>
      <w:proofErr w:type="spellStart"/>
      <w:r w:rsidR="593F5F40">
        <w:t>colour</w:t>
      </w:r>
      <w:proofErr w:type="spellEnd"/>
      <w:r w:rsidR="593F5F40">
        <w:t xml:space="preserve"> of the wall), in which window view and comfortable seating were the most mentioned qualities. 13.8% of the answers refer to the facilities and connectivity of the study space (such as computers, charging ports, </w:t>
      </w:r>
      <w:proofErr w:type="spellStart"/>
      <w:r w:rsidR="593F5F40">
        <w:t>etc</w:t>
      </w:r>
      <w:proofErr w:type="spellEnd"/>
      <w:r w:rsidR="593F5F40">
        <w:t>)</w:t>
      </w:r>
      <w:r>
        <w:t>.</w:t>
      </w:r>
    </w:p>
    <w:p w14:paraId="568B0CE9" w14:textId="77777777" w:rsidR="00E779B2" w:rsidRPr="00855573" w:rsidRDefault="593F5F40" w:rsidP="00E779B2">
      <w:pPr>
        <w:pStyle w:val="ASAHeading2"/>
      </w:pPr>
      <w:r>
        <w:t>4.2. Environmental conditions</w:t>
      </w:r>
    </w:p>
    <w:p w14:paraId="2F7B23DB" w14:textId="3E39019F" w:rsidR="00E779B2" w:rsidRDefault="593F5F40" w:rsidP="001265D5">
      <w:pPr>
        <w:pStyle w:val="ASATextfirst"/>
      </w:pPr>
      <w:r>
        <w:t>53% of the respondents found natural light neutral and evenly distributed. Whereas artificial lighting was found to be significantly brighter (</w:t>
      </w:r>
      <w:r w:rsidR="00E779B2">
        <w:fldChar w:fldCharType="begin"/>
      </w:r>
      <w:r w:rsidR="00E779B2">
        <w:instrText xml:space="preserve"> REF _Ref108102536 \h </w:instrText>
      </w:r>
      <w:r w:rsidR="00E779B2">
        <w:fldChar w:fldCharType="separate"/>
      </w:r>
      <w:r w:rsidR="39B8BDFF">
        <w:t xml:space="preserve">Figure </w:t>
      </w:r>
      <w:r w:rsidR="39B8BDFF" w:rsidRPr="04B3C552">
        <w:rPr>
          <w:noProof/>
        </w:rPr>
        <w:t>3</w:t>
      </w:r>
      <w:r w:rsidR="00E779B2">
        <w:fldChar w:fldCharType="end"/>
      </w:r>
      <w:r>
        <w:t xml:space="preserve">). Only 29% of the respondents felt that they could adjust the lighting when needed. More than half of the respondents who felt they couldn’t adjust the lighting reported that they didn’t know where the controls were, and 15% of them didn’t know how to use the controls. </w:t>
      </w:r>
    </w:p>
    <w:p w14:paraId="221B60E7" w14:textId="77777777" w:rsidR="00E779B2" w:rsidRDefault="00E779B2" w:rsidP="001265D5">
      <w:pPr>
        <w:pStyle w:val="ASATextfirst"/>
        <w:rPr>
          <w:lang w:val="en-GB"/>
        </w:rPr>
      </w:pPr>
    </w:p>
    <w:p w14:paraId="0F613751" w14:textId="32B5B00E" w:rsidR="0036338C" w:rsidRDefault="009729AC" w:rsidP="00BF545B">
      <w:pPr>
        <w:pStyle w:val="ASATextfirst"/>
        <w:keepNext/>
        <w:jc w:val="center"/>
      </w:pPr>
      <w:r w:rsidRPr="000E5859">
        <w:rPr>
          <w:noProof/>
        </w:rPr>
        <w:drawing>
          <wp:inline distT="0" distB="0" distL="0" distR="0" wp14:anchorId="2C22287E" wp14:editId="4CDF6F17">
            <wp:extent cx="4791075" cy="1076325"/>
            <wp:effectExtent l="0" t="0" r="0" b="0"/>
            <wp:docPr id="2" name="Picture 12" descr="Chart, waterfall chart, funnel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hart, waterfall chart, funnel chart&#10;&#10;Description automatically generated"/>
                    <pic:cNvPicPr>
                      <a:picLocks noRot="1" noChangeAspect="1" noEditPoints="1" noChangeArrowheads="1" noCrop="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791075" cy="1076325"/>
                    </a:xfrm>
                    <a:prstGeom prst="rect">
                      <a:avLst/>
                    </a:prstGeom>
                    <a:noFill/>
                    <a:ln>
                      <a:noFill/>
                    </a:ln>
                  </pic:spPr>
                </pic:pic>
              </a:graphicData>
            </a:graphic>
          </wp:inline>
        </w:drawing>
      </w:r>
    </w:p>
    <w:p w14:paraId="1F93D726" w14:textId="77777777" w:rsidR="00E779B2" w:rsidRDefault="0036338C" w:rsidP="0036338C">
      <w:pPr>
        <w:pStyle w:val="Caption"/>
        <w:rPr>
          <w:lang w:val="en-GB"/>
        </w:rPr>
      </w:pPr>
      <w:bookmarkStart w:id="3" w:name="_Ref108102536"/>
      <w:r>
        <w:t xml:space="preserve">Figure </w:t>
      </w:r>
      <w:r>
        <w:fldChar w:fldCharType="begin"/>
      </w:r>
      <w:r>
        <w:instrText>SEQ Figure \* ARABIC</w:instrText>
      </w:r>
      <w:r>
        <w:fldChar w:fldCharType="separate"/>
      </w:r>
      <w:r>
        <w:rPr>
          <w:noProof/>
        </w:rPr>
        <w:t>3</w:t>
      </w:r>
      <w:r>
        <w:fldChar w:fldCharType="end"/>
      </w:r>
      <w:bookmarkEnd w:id="3"/>
      <w:r w:rsidRPr="00F15B4B">
        <w:t xml:space="preserve"> Responses on lighting (-3 too dull, 3 too bright)</w:t>
      </w:r>
    </w:p>
    <w:p w14:paraId="05B1938A" w14:textId="77777777" w:rsidR="00E779B2" w:rsidRDefault="00E779B2" w:rsidP="001265D5">
      <w:pPr>
        <w:pStyle w:val="ASATextfirst"/>
        <w:rPr>
          <w:lang w:val="en-GB"/>
        </w:rPr>
      </w:pPr>
    </w:p>
    <w:p w14:paraId="0875DA98" w14:textId="72ABDF00" w:rsidR="00E779B2" w:rsidRDefault="593F5F40" w:rsidP="00802232">
      <w:pPr>
        <w:pStyle w:val="ASATextfirst"/>
        <w:ind w:firstLine="284"/>
      </w:pPr>
      <w:r>
        <w:t xml:space="preserve">Although </w:t>
      </w:r>
      <w:proofErr w:type="gramStart"/>
      <w:r>
        <w:t>the majority of</w:t>
      </w:r>
      <w:proofErr w:type="gramEnd"/>
      <w:r>
        <w:t xml:space="preserve"> the respondents found the temperature was neutral, 23%</w:t>
      </w:r>
      <w:r w:rsidR="08724CE4">
        <w:t xml:space="preserve"> of the respondents</w:t>
      </w:r>
      <w:r>
        <w:t xml:space="preserve"> stated it was warm and 10% stated very warm. As shown </w:t>
      </w:r>
      <w:r w:rsidR="5005D9F8">
        <w:t>in</w:t>
      </w:r>
      <w:r w:rsidR="08724CE4">
        <w:t xml:space="preserve"> </w:t>
      </w:r>
      <w:r w:rsidR="00E779B2">
        <w:fldChar w:fldCharType="begin"/>
      </w:r>
      <w:r w:rsidR="00E779B2">
        <w:instrText xml:space="preserve"> REF _Ref108102558 \h </w:instrText>
      </w:r>
      <w:r w:rsidR="00E779B2">
        <w:fldChar w:fldCharType="separate"/>
      </w:r>
      <w:r w:rsidR="39B8BDFF">
        <w:t xml:space="preserve">Figure </w:t>
      </w:r>
      <w:r w:rsidR="39B8BDFF" w:rsidRPr="04B3C552">
        <w:rPr>
          <w:noProof/>
        </w:rPr>
        <w:t>4</w:t>
      </w:r>
      <w:r w:rsidR="00E779B2">
        <w:fldChar w:fldCharType="end"/>
      </w:r>
      <w:r w:rsidR="08724CE4">
        <w:t>,</w:t>
      </w:r>
      <w:r>
        <w:t xml:space="preserve"> </w:t>
      </w:r>
      <w:proofErr w:type="gramStart"/>
      <w:r>
        <w:t>Zone</w:t>
      </w:r>
      <w:proofErr w:type="gramEnd"/>
      <w:r>
        <w:t xml:space="preserve"> 1</w:t>
      </w:r>
      <w:r w:rsidR="08724CE4">
        <w:t>, 4</w:t>
      </w:r>
      <w:r>
        <w:t xml:space="preserve"> and 5 were found to be particularly warmer than other zones in general. Students have reported that it can get too warm and stuffy in smaller rooms (Zone 4). Some students reported that the temperature could get cold during the night and </w:t>
      </w:r>
      <w:r w:rsidR="5005D9F8">
        <w:t>on</w:t>
      </w:r>
      <w:r>
        <w:t xml:space="preserve"> cold </w:t>
      </w:r>
      <w:r w:rsidR="00BF545B">
        <w:t>days and</w:t>
      </w:r>
      <w:r>
        <w:t xml:space="preserve"> stated ‘I appreciate windows need to be opened </w:t>
      </w:r>
      <w:proofErr w:type="gramStart"/>
      <w:r>
        <w:t>For</w:t>
      </w:r>
      <w:proofErr w:type="gramEnd"/>
      <w:r>
        <w:t xml:space="preserve"> covid / Fresh air but should be </w:t>
      </w:r>
      <w:proofErr w:type="spellStart"/>
      <w:r>
        <w:t>minimised</w:t>
      </w:r>
      <w:proofErr w:type="spellEnd"/>
      <w:r>
        <w:t xml:space="preserve"> on cold days.</w:t>
      </w:r>
    </w:p>
    <w:p w14:paraId="2C4FBB4F" w14:textId="77777777" w:rsidR="0036338C" w:rsidRPr="0036338C" w:rsidRDefault="0036338C" w:rsidP="0036338C">
      <w:pPr>
        <w:pStyle w:val="ASAText"/>
      </w:pPr>
    </w:p>
    <w:p w14:paraId="09D1811F" w14:textId="16DC7F29" w:rsidR="0036338C" w:rsidRDefault="009729AC" w:rsidP="0036338C">
      <w:pPr>
        <w:pStyle w:val="ASATextfirst"/>
        <w:keepNext/>
      </w:pPr>
      <w:r w:rsidRPr="00FE27FB">
        <w:rPr>
          <w:noProof/>
        </w:rPr>
        <w:drawing>
          <wp:inline distT="0" distB="0" distL="0" distR="0" wp14:anchorId="357845A3" wp14:editId="6C309A8A">
            <wp:extent cx="5469244" cy="2016000"/>
            <wp:effectExtent l="0" t="0" r="0" b="3810"/>
            <wp:docPr id="3" name="Picture 52"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hart, bar chart&#10;&#10;Description automatically generated"/>
                    <pic:cNvPicPr>
                      <a:picLocks noRot="1" noChangeAspect="1" noEditPoints="1" noChangeArrowheads="1" noCrop="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469244" cy="2016000"/>
                    </a:xfrm>
                    <a:prstGeom prst="rect">
                      <a:avLst/>
                    </a:prstGeom>
                    <a:noFill/>
                    <a:ln>
                      <a:noFill/>
                    </a:ln>
                  </pic:spPr>
                </pic:pic>
              </a:graphicData>
            </a:graphic>
          </wp:inline>
        </w:drawing>
      </w:r>
    </w:p>
    <w:p w14:paraId="45533750" w14:textId="77777777" w:rsidR="00E779B2" w:rsidRPr="00855573" w:rsidRDefault="39B8BDFF" w:rsidP="0036338C">
      <w:pPr>
        <w:pStyle w:val="Caption"/>
      </w:pPr>
      <w:bookmarkStart w:id="4" w:name="_Ref108102558"/>
      <w:r>
        <w:t xml:space="preserve">Figure </w:t>
      </w:r>
      <w:r w:rsidR="00CC55FF">
        <w:fldChar w:fldCharType="begin"/>
      </w:r>
      <w:r w:rsidR="00CC55FF">
        <w:instrText xml:space="preserve"> SEQ Figure \* ARABIC </w:instrText>
      </w:r>
      <w:r w:rsidR="00CC55FF">
        <w:fldChar w:fldCharType="separate"/>
      </w:r>
      <w:r w:rsidRPr="04B3C552">
        <w:rPr>
          <w:noProof/>
        </w:rPr>
        <w:t>4</w:t>
      </w:r>
      <w:r w:rsidR="00CC55FF">
        <w:rPr>
          <w:noProof/>
        </w:rPr>
        <w:fldChar w:fldCharType="end"/>
      </w:r>
      <w:bookmarkEnd w:id="4"/>
      <w:r>
        <w:t xml:space="preserve"> Temperature sensation distribution per zone (-3 too cold, 3 too warm)</w:t>
      </w:r>
    </w:p>
    <w:p w14:paraId="247DC29E" w14:textId="77777777" w:rsidR="00E779B2" w:rsidRPr="00E779B2" w:rsidRDefault="00E779B2" w:rsidP="00E779B2">
      <w:pPr>
        <w:pStyle w:val="ASAText"/>
      </w:pPr>
    </w:p>
    <w:p w14:paraId="079FF6FA" w14:textId="77777777" w:rsidR="00E779B2" w:rsidRPr="00E779B2" w:rsidRDefault="00E779B2" w:rsidP="00E779B2">
      <w:pPr>
        <w:pStyle w:val="ASAText"/>
        <w:rPr>
          <w:lang w:val="en-GB"/>
        </w:rPr>
      </w:pPr>
      <w:r w:rsidRPr="00E779B2">
        <w:rPr>
          <w:lang w:val="en-GB"/>
        </w:rPr>
        <w:lastRenderedPageBreak/>
        <w:t xml:space="preserve">To a multiple-choice question on how to mitigate thermal discomfort, </w:t>
      </w:r>
      <w:proofErr w:type="gramStart"/>
      <w:r w:rsidRPr="00E779B2">
        <w:rPr>
          <w:lang w:val="en-GB"/>
        </w:rPr>
        <w:t>the majority of</w:t>
      </w:r>
      <w:proofErr w:type="gramEnd"/>
      <w:r w:rsidRPr="00E779B2">
        <w:rPr>
          <w:lang w:val="en-GB"/>
        </w:rPr>
        <w:t xml:space="preserve"> the respondents </w:t>
      </w:r>
      <w:r w:rsidR="00547F0A">
        <w:rPr>
          <w:lang w:val="en-GB"/>
        </w:rPr>
        <w:t xml:space="preserve">showed sufficient adaptive behaviours such as </w:t>
      </w:r>
      <w:r w:rsidRPr="00E779B2">
        <w:rPr>
          <w:lang w:val="en-GB"/>
        </w:rPr>
        <w:t>chang</w:t>
      </w:r>
      <w:r w:rsidR="00547F0A">
        <w:rPr>
          <w:lang w:val="en-GB"/>
        </w:rPr>
        <w:t>ing</w:t>
      </w:r>
      <w:r w:rsidRPr="00E779B2">
        <w:rPr>
          <w:lang w:val="en-GB"/>
        </w:rPr>
        <w:t xml:space="preserve"> clothing (58%) and/or open</w:t>
      </w:r>
      <w:r w:rsidR="00547F0A">
        <w:rPr>
          <w:lang w:val="en-GB"/>
        </w:rPr>
        <w:t>ing</w:t>
      </w:r>
      <w:r w:rsidRPr="00E779B2">
        <w:rPr>
          <w:lang w:val="en-GB"/>
        </w:rPr>
        <w:t>/clos</w:t>
      </w:r>
      <w:r w:rsidR="00547F0A">
        <w:rPr>
          <w:lang w:val="en-GB"/>
        </w:rPr>
        <w:t>ing</w:t>
      </w:r>
      <w:r w:rsidRPr="00E779B2">
        <w:rPr>
          <w:lang w:val="en-GB"/>
        </w:rPr>
        <w:t xml:space="preserve"> windows (48</w:t>
      </w:r>
      <w:r w:rsidR="00547F0A">
        <w:rPr>
          <w:lang w:val="en-GB"/>
        </w:rPr>
        <w:t>%) and</w:t>
      </w:r>
      <w:r w:rsidRPr="00E779B2">
        <w:rPr>
          <w:lang w:val="en-GB"/>
        </w:rPr>
        <w:t xml:space="preserve"> having a hot or cold drink (27%). However, 17% of the respondents indicated they were unable to adjust the indoor temperature. They found the control to be ‘confusing</w:t>
      </w:r>
      <w:proofErr w:type="gramStart"/>
      <w:r w:rsidRPr="00E779B2">
        <w:rPr>
          <w:lang w:val="en-GB"/>
        </w:rPr>
        <w:t>’, and</w:t>
      </w:r>
      <w:proofErr w:type="gramEnd"/>
      <w:r w:rsidRPr="00E779B2">
        <w:rPr>
          <w:lang w:val="en-GB"/>
        </w:rPr>
        <w:t xml:space="preserve"> were only able to adjust the fan speed</w:t>
      </w:r>
      <w:r w:rsidR="00547F0A">
        <w:rPr>
          <w:lang w:val="en-GB"/>
        </w:rPr>
        <w:t xml:space="preserve"> rather than temperature</w:t>
      </w:r>
      <w:r w:rsidRPr="00E779B2">
        <w:rPr>
          <w:lang w:val="en-GB"/>
        </w:rPr>
        <w:t xml:space="preserve">. 81% of the respondents felt neutral about the humidity, and only 15% of respondents considered the indoor environment to be slightly humid. </w:t>
      </w:r>
    </w:p>
    <w:p w14:paraId="1ED2848D" w14:textId="28E017CC" w:rsidR="00E779B2" w:rsidRPr="00E779B2" w:rsidRDefault="593F5F40" w:rsidP="00E779B2">
      <w:pPr>
        <w:pStyle w:val="ASAText"/>
        <w:rPr>
          <w:lang w:val="en-GB"/>
        </w:rPr>
      </w:pPr>
      <w:r w:rsidRPr="04B3C552">
        <w:rPr>
          <w:lang w:val="en-GB"/>
        </w:rPr>
        <w:t xml:space="preserve">While </w:t>
      </w:r>
      <w:r w:rsidR="5005D9F8" w:rsidRPr="04B3C552">
        <w:rPr>
          <w:lang w:val="en-GB"/>
        </w:rPr>
        <w:t>over half of the</w:t>
      </w:r>
      <w:r w:rsidRPr="04B3C552">
        <w:rPr>
          <w:lang w:val="en-GB"/>
        </w:rPr>
        <w:t xml:space="preserve"> responders found the ventilation neutral. Zone 1 (computer area) was found to be slightly stale in general. 64% of respondents stated that they would open/close the window to adjust the ventilation rate if they felt discomfort. 18% would change their location instead. One respondent located in Zone 4 stated that ‘the rooms without windows have poor ventilation, causing </w:t>
      </w:r>
      <w:proofErr w:type="gramStart"/>
      <w:r w:rsidRPr="04B3C552">
        <w:rPr>
          <w:lang w:val="en-GB"/>
        </w:rPr>
        <w:t>headache</w:t>
      </w:r>
      <w:r w:rsidR="3EAD9D0C" w:rsidRPr="04B3C552">
        <w:rPr>
          <w:lang w:val="en-GB"/>
        </w:rPr>
        <w:t>s’</w:t>
      </w:r>
      <w:proofErr w:type="gramEnd"/>
      <w:r w:rsidRPr="04B3C552">
        <w:rPr>
          <w:lang w:val="en-GB"/>
        </w:rPr>
        <w:t xml:space="preserve">. </w:t>
      </w:r>
      <w:r w:rsidR="3EAD9D0C">
        <w:t>It is not surprising</w:t>
      </w:r>
      <w:r w:rsidR="5005D9F8">
        <w:t xml:space="preserve"> because, </w:t>
      </w:r>
      <w:r w:rsidR="3EAD9D0C">
        <w:t xml:space="preserve">in Zone 4, only two study rooms have external windows. students in those rooms that do not have windows can only use a mechanical system to boost the ventilation for a short period of time. </w:t>
      </w:r>
      <w:r w:rsidRPr="04B3C552">
        <w:rPr>
          <w:lang w:val="en-GB"/>
        </w:rPr>
        <w:t>Food odour has been mentioned by many students in the survey where increased ventilation was desired.</w:t>
      </w:r>
      <w:r w:rsidR="3EAD9D0C">
        <w:t xml:space="preserve"> </w:t>
      </w:r>
    </w:p>
    <w:p w14:paraId="0D33E3C0" w14:textId="104E10CE" w:rsidR="00E779B2" w:rsidRDefault="593F5F40" w:rsidP="00E779B2">
      <w:pPr>
        <w:pStyle w:val="ASAText"/>
        <w:rPr>
          <w:lang w:val="en-GB"/>
        </w:rPr>
      </w:pPr>
      <w:r w:rsidRPr="04B3C552">
        <w:rPr>
          <w:lang w:val="en-GB"/>
        </w:rPr>
        <w:t>Although 58% of the respondents found noise levels neutral, Zone 1 computer area and Zone 5 tutorial area were found to be slightly noisy. The main cause of the noise was believed to be generated indoors by the users of the study areas (62%), and road/traffic noise (25%). Noise generated from mechanical services (including computer noise) was only reported by 8% of the surveyed users. The majority (80%) of the respondents chose the option of ‘putting on headphones’ in mitigating the unwanted noise whereas a small portion of the users (21%) also indicated the option of changing location.</w:t>
      </w:r>
    </w:p>
    <w:p w14:paraId="1AB4FE04" w14:textId="77777777" w:rsidR="00E779B2" w:rsidRDefault="593F5F40" w:rsidP="00E779B2">
      <w:pPr>
        <w:pStyle w:val="ASAHeading1"/>
      </w:pPr>
      <w:r>
        <w:t>5. Observation results</w:t>
      </w:r>
    </w:p>
    <w:p w14:paraId="2C819AF3" w14:textId="2419DD08" w:rsidR="00E779B2" w:rsidRPr="00E779B2" w:rsidRDefault="593F5F40" w:rsidP="00E779B2">
      <w:pPr>
        <w:pStyle w:val="ASAText"/>
        <w:ind w:firstLine="0"/>
        <w:rPr>
          <w:lang w:val="en-GB"/>
        </w:rPr>
      </w:pPr>
      <w:r w:rsidRPr="04B3C552">
        <w:rPr>
          <w:lang w:val="en-GB"/>
        </w:rPr>
        <w:t xml:space="preserve">Occupancy level per zone and the number of open/closed windows were documented by the researchers. Zone 1 (computer area) is the busiest space throughout the observation period. It is not surprising considering Zone 1 has the largest capacity among all five zones. However, the maximum occupancy level in Zone 1 and 2 (quiet) are both less than 40% of the design </w:t>
      </w:r>
      <w:r w:rsidR="000E5209">
        <w:rPr>
          <w:lang w:val="en-GB"/>
        </w:rPr>
        <w:t>maximum occupancy</w:t>
      </w:r>
      <w:r w:rsidRPr="04B3C552">
        <w:rPr>
          <w:lang w:val="en-GB"/>
        </w:rPr>
        <w:t xml:space="preserve">. Zone 3 (silent) has reached a higher 61% of the designed capacity. Zone 4 (group work) has not reached its capacity either, with only 27.5% at the maximum level. Zone 5 (tutorial) has demonstrated a higher usage rate of 57%. </w:t>
      </w:r>
    </w:p>
    <w:p w14:paraId="3B1A81BF" w14:textId="75FA6B2C" w:rsidR="00BF545B" w:rsidRDefault="593F5F40" w:rsidP="00E779B2">
      <w:pPr>
        <w:pStyle w:val="ASAText"/>
        <w:rPr>
          <w:lang w:val="en-GB"/>
        </w:rPr>
      </w:pPr>
      <w:r w:rsidRPr="00E779B2">
        <w:rPr>
          <w:lang w:val="en-GB"/>
        </w:rPr>
        <w:t xml:space="preserve">As can be seen from </w:t>
      </w:r>
      <w:r w:rsidR="005D33A6">
        <w:rPr>
          <w:lang w:val="en-GB"/>
        </w:rPr>
        <w:fldChar w:fldCharType="begin"/>
      </w:r>
      <w:r w:rsidR="005D33A6">
        <w:rPr>
          <w:lang w:val="en-GB"/>
        </w:rPr>
        <w:instrText xml:space="preserve"> REF _Ref108102584 \h </w:instrText>
      </w:r>
      <w:r w:rsidR="005D33A6">
        <w:rPr>
          <w:lang w:val="en-GB"/>
        </w:rPr>
      </w:r>
      <w:r w:rsidR="005D33A6">
        <w:rPr>
          <w:lang w:val="en-GB"/>
        </w:rPr>
        <w:fldChar w:fldCharType="separate"/>
      </w:r>
      <w:r w:rsidR="1054BF9E">
        <w:t xml:space="preserve">Figure </w:t>
      </w:r>
      <w:r w:rsidR="1054BF9E">
        <w:rPr>
          <w:noProof/>
        </w:rPr>
        <w:t>5</w:t>
      </w:r>
      <w:r w:rsidR="005D33A6">
        <w:rPr>
          <w:lang w:val="en-GB"/>
        </w:rPr>
        <w:fldChar w:fldCharType="end"/>
      </w:r>
      <w:r w:rsidRPr="00E779B2">
        <w:rPr>
          <w:lang w:val="en-GB"/>
        </w:rPr>
        <w:t xml:space="preserve">, </w:t>
      </w:r>
      <w:r w:rsidR="2B188CA2">
        <w:rPr>
          <w:lang w:val="en-GB"/>
        </w:rPr>
        <w:t>t</w:t>
      </w:r>
      <w:r w:rsidRPr="00E779B2">
        <w:rPr>
          <w:lang w:val="en-GB"/>
        </w:rPr>
        <w:t xml:space="preserve">he gradual increase of the external temperature over the monitored 5-day period has been reflected in the internal temperature across all zones. Zone 1 has the highest average and </w:t>
      </w:r>
      <w:r w:rsidR="3EAD9D0C">
        <w:rPr>
          <w:lang w:val="en-GB"/>
        </w:rPr>
        <w:t>maximum</w:t>
      </w:r>
      <w:r w:rsidR="3EAD9D0C" w:rsidRPr="00E779B2">
        <w:rPr>
          <w:lang w:val="en-GB"/>
        </w:rPr>
        <w:t xml:space="preserve"> </w:t>
      </w:r>
      <w:r w:rsidRPr="00E779B2">
        <w:rPr>
          <w:lang w:val="en-GB"/>
        </w:rPr>
        <w:t>temperature</w:t>
      </w:r>
      <w:r w:rsidR="5005D9F8">
        <w:rPr>
          <w:lang w:val="en-GB"/>
        </w:rPr>
        <w:t>, followed by Zone 5.</w:t>
      </w:r>
      <w:r w:rsidRPr="00E779B2">
        <w:rPr>
          <w:lang w:val="en-GB"/>
        </w:rPr>
        <w:t xml:space="preserve"> </w:t>
      </w:r>
      <w:r w:rsidR="2B188CA2" w:rsidRPr="00E779B2">
        <w:rPr>
          <w:lang w:val="en-GB"/>
        </w:rPr>
        <w:t xml:space="preserve">The highest temperature was recorded to be more than 25 °C on multiple occasions. </w:t>
      </w:r>
      <w:r w:rsidRPr="04B3C552">
        <w:rPr>
          <w:lang w:val="en-GB"/>
        </w:rPr>
        <w:t>It is unsurprising given that Zone 1 has the highest occupancy rate, as well as additional internal gains from the computers.</w:t>
      </w:r>
      <w:r w:rsidR="5005D9F8" w:rsidRPr="04B3C552">
        <w:rPr>
          <w:lang w:val="en-GB"/>
        </w:rPr>
        <w:t xml:space="preserve"> This also correlates with the questionnaire survey where </w:t>
      </w:r>
      <w:r w:rsidR="00BF545B">
        <w:rPr>
          <w:lang w:val="en-GB"/>
        </w:rPr>
        <w:t>Z</w:t>
      </w:r>
      <w:r w:rsidR="00BF545B" w:rsidRPr="04B3C552">
        <w:rPr>
          <w:lang w:val="en-GB"/>
        </w:rPr>
        <w:t>ones</w:t>
      </w:r>
      <w:r w:rsidR="5005D9F8" w:rsidRPr="04B3C552">
        <w:rPr>
          <w:lang w:val="en-GB"/>
        </w:rPr>
        <w:t xml:space="preserve"> 1 and 5 </w:t>
      </w:r>
      <w:proofErr w:type="gramStart"/>
      <w:r w:rsidR="5005D9F8" w:rsidRPr="04B3C552">
        <w:rPr>
          <w:lang w:val="en-GB"/>
        </w:rPr>
        <w:t>were considered to be</w:t>
      </w:r>
      <w:proofErr w:type="gramEnd"/>
      <w:r w:rsidR="5005D9F8" w:rsidRPr="04B3C552">
        <w:rPr>
          <w:lang w:val="en-GB"/>
        </w:rPr>
        <w:t xml:space="preserve"> warmer than other zones.</w:t>
      </w:r>
    </w:p>
    <w:p w14:paraId="0322184D" w14:textId="258A0625" w:rsidR="00E779B2" w:rsidRDefault="5005D9F8" w:rsidP="00E779B2">
      <w:pPr>
        <w:pStyle w:val="ASAText"/>
        <w:rPr>
          <w:lang w:val="en-GB"/>
        </w:rPr>
      </w:pPr>
      <w:r w:rsidRPr="04B3C552">
        <w:rPr>
          <w:lang w:val="en-GB"/>
        </w:rPr>
        <w:t xml:space="preserve"> </w:t>
      </w:r>
    </w:p>
    <w:p w14:paraId="4E0AE20B" w14:textId="66700752" w:rsidR="0036338C" w:rsidRDefault="009729AC" w:rsidP="0036338C">
      <w:pPr>
        <w:pStyle w:val="ASATextfirst"/>
        <w:keepNext/>
      </w:pPr>
      <w:r w:rsidRPr="005D6AB5">
        <w:rPr>
          <w:noProof/>
        </w:rPr>
        <w:lastRenderedPageBreak/>
        <w:drawing>
          <wp:inline distT="0" distB="0" distL="0" distR="0" wp14:anchorId="62144C37" wp14:editId="64B7B2BD">
            <wp:extent cx="5403850" cy="2519680"/>
            <wp:effectExtent l="0" t="0" r="6350" b="0"/>
            <wp:docPr id="4" name="Picture 48"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hart, line chart&#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04536" cy="2520000"/>
                    </a:xfrm>
                    <a:prstGeom prst="rect">
                      <a:avLst/>
                    </a:prstGeom>
                    <a:noFill/>
                    <a:ln>
                      <a:noFill/>
                    </a:ln>
                  </pic:spPr>
                </pic:pic>
              </a:graphicData>
            </a:graphic>
          </wp:inline>
        </w:drawing>
      </w:r>
    </w:p>
    <w:p w14:paraId="128E8FF3" w14:textId="77777777" w:rsidR="00E779B2" w:rsidRDefault="0036338C" w:rsidP="0036338C">
      <w:pPr>
        <w:pStyle w:val="Caption"/>
        <w:rPr>
          <w:lang w:val="en-GB"/>
        </w:rPr>
      </w:pPr>
      <w:bookmarkStart w:id="5" w:name="_Ref108102584"/>
      <w:r>
        <w:t xml:space="preserve">Figure </w:t>
      </w:r>
      <w:r>
        <w:fldChar w:fldCharType="begin"/>
      </w:r>
      <w:r>
        <w:instrText>SEQ Figure \* ARABIC</w:instrText>
      </w:r>
      <w:r>
        <w:fldChar w:fldCharType="separate"/>
      </w:r>
      <w:r>
        <w:rPr>
          <w:noProof/>
        </w:rPr>
        <w:t>5</w:t>
      </w:r>
      <w:r>
        <w:fldChar w:fldCharType="end"/>
      </w:r>
      <w:bookmarkEnd w:id="5"/>
      <w:r>
        <w:t xml:space="preserve"> </w:t>
      </w:r>
      <w:r w:rsidRPr="00E92DAD">
        <w:t>Monitored temperature per zone and exterior temperature throughout 5 days (Zone 2 and Zone 3 were monitored together with one data logger</w:t>
      </w:r>
    </w:p>
    <w:p w14:paraId="0235207E" w14:textId="77777777" w:rsidR="00FE5ADA" w:rsidRPr="00F7632C" w:rsidRDefault="00FE5ADA" w:rsidP="00FE5ADA">
      <w:pPr>
        <w:pStyle w:val="ASAText"/>
        <w:rPr>
          <w:sz w:val="16"/>
          <w:szCs w:val="16"/>
          <w:lang w:val="en-GB"/>
        </w:rPr>
      </w:pPr>
    </w:p>
    <w:p w14:paraId="4B2C32A0" w14:textId="083A77A6" w:rsidR="00FE5ADA" w:rsidRDefault="3C62CFC2" w:rsidP="00802232">
      <w:pPr>
        <w:pStyle w:val="ASATextfirst"/>
        <w:ind w:firstLine="284"/>
        <w:rPr>
          <w:lang w:val="en-GB"/>
        </w:rPr>
      </w:pPr>
      <w:r w:rsidRPr="00FE5ADA">
        <w:rPr>
          <w:lang w:val="en-GB"/>
        </w:rPr>
        <w:t>The monitored CO</w:t>
      </w:r>
      <w:r w:rsidRPr="0036338C">
        <w:rPr>
          <w:vertAlign w:val="subscript"/>
          <w:lang w:val="en-GB"/>
        </w:rPr>
        <w:t>2</w:t>
      </w:r>
      <w:r w:rsidRPr="00FE5ADA">
        <w:rPr>
          <w:lang w:val="en-GB"/>
        </w:rPr>
        <w:t xml:space="preserve"> data </w:t>
      </w:r>
      <w:r w:rsidR="1054BF9E">
        <w:rPr>
          <w:lang w:val="en-GB"/>
        </w:rPr>
        <w:t>(</w:t>
      </w:r>
      <w:r w:rsidR="005D33A6">
        <w:rPr>
          <w:lang w:val="en-GB"/>
        </w:rPr>
        <w:fldChar w:fldCharType="begin"/>
      </w:r>
      <w:r w:rsidR="005D33A6">
        <w:rPr>
          <w:lang w:val="en-GB"/>
        </w:rPr>
        <w:instrText xml:space="preserve"> REF _Ref108102643 \h </w:instrText>
      </w:r>
      <w:r w:rsidR="005D33A6">
        <w:rPr>
          <w:lang w:val="en-GB"/>
        </w:rPr>
      </w:r>
      <w:r w:rsidR="005D33A6">
        <w:rPr>
          <w:lang w:val="en-GB"/>
        </w:rPr>
        <w:fldChar w:fldCharType="separate"/>
      </w:r>
      <w:r w:rsidR="1054BF9E">
        <w:t xml:space="preserve">Figure </w:t>
      </w:r>
      <w:r w:rsidR="1054BF9E">
        <w:rPr>
          <w:noProof/>
        </w:rPr>
        <w:t>6</w:t>
      </w:r>
      <w:r w:rsidR="005D33A6">
        <w:rPr>
          <w:lang w:val="en-GB"/>
        </w:rPr>
        <w:fldChar w:fldCharType="end"/>
      </w:r>
      <w:r w:rsidR="1054BF9E">
        <w:rPr>
          <w:lang w:val="en-GB"/>
        </w:rPr>
        <w:t xml:space="preserve">) </w:t>
      </w:r>
      <w:r w:rsidRPr="00FE5ADA">
        <w:rPr>
          <w:lang w:val="en-GB"/>
        </w:rPr>
        <w:t>shows a general fluctuation between 400 ppm and 900 ppm, except for</w:t>
      </w:r>
      <w:r w:rsidRPr="04B3C552">
        <w:rPr>
          <w:lang w:val="en-GB"/>
        </w:rPr>
        <w:t xml:space="preserve"> Zone 5. The highest CO</w:t>
      </w:r>
      <w:r w:rsidRPr="0036338C">
        <w:rPr>
          <w:vertAlign w:val="subscript"/>
          <w:lang w:val="en-GB"/>
        </w:rPr>
        <w:t>2</w:t>
      </w:r>
      <w:r w:rsidRPr="00FE5ADA">
        <w:rPr>
          <w:lang w:val="en-GB"/>
        </w:rPr>
        <w:t xml:space="preserve"> levels are observed in Zone 4 and 5, in one case reaching 1048ppm</w:t>
      </w:r>
      <w:r w:rsidR="2B188CA2">
        <w:rPr>
          <w:lang w:val="en-GB"/>
        </w:rPr>
        <w:t>,</w:t>
      </w:r>
      <w:r w:rsidRPr="00FE5ADA">
        <w:rPr>
          <w:lang w:val="en-GB"/>
        </w:rPr>
        <w:t xml:space="preserve"> which is over the ventilation trigg</w:t>
      </w:r>
      <w:r w:rsidRPr="04B3C552">
        <w:rPr>
          <w:lang w:val="en-GB"/>
        </w:rPr>
        <w:t xml:space="preserve">er set point.  </w:t>
      </w:r>
    </w:p>
    <w:p w14:paraId="799F0E73" w14:textId="77777777" w:rsidR="005D33A6" w:rsidRPr="00F7632C" w:rsidRDefault="005D33A6" w:rsidP="005D33A6">
      <w:pPr>
        <w:pStyle w:val="ASAText"/>
        <w:rPr>
          <w:sz w:val="16"/>
          <w:szCs w:val="16"/>
          <w:lang w:val="en-GB"/>
        </w:rPr>
      </w:pPr>
    </w:p>
    <w:p w14:paraId="65FA38F4" w14:textId="37D26936" w:rsidR="0036338C" w:rsidRDefault="009729AC" w:rsidP="0036338C">
      <w:pPr>
        <w:pStyle w:val="ASATextfirst"/>
        <w:keepNext/>
      </w:pPr>
      <w:r w:rsidRPr="0023442A">
        <w:rPr>
          <w:noProof/>
        </w:rPr>
        <w:drawing>
          <wp:inline distT="0" distB="0" distL="0" distR="0" wp14:anchorId="3FBCB731" wp14:editId="5B816679">
            <wp:extent cx="5404106" cy="2520000"/>
            <wp:effectExtent l="0" t="0" r="6350" b="0"/>
            <wp:docPr id="5" name="Picture 47"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hart, bar chart&#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04106" cy="2520000"/>
                    </a:xfrm>
                    <a:prstGeom prst="rect">
                      <a:avLst/>
                    </a:prstGeom>
                    <a:noFill/>
                    <a:ln>
                      <a:noFill/>
                    </a:ln>
                  </pic:spPr>
                </pic:pic>
              </a:graphicData>
            </a:graphic>
          </wp:inline>
        </w:drawing>
      </w:r>
    </w:p>
    <w:p w14:paraId="4B67C720" w14:textId="77777777" w:rsidR="0036338C" w:rsidRDefault="39B8BDFF" w:rsidP="0036338C">
      <w:pPr>
        <w:pStyle w:val="Caption"/>
      </w:pPr>
      <w:bookmarkStart w:id="6" w:name="_Ref108102643"/>
      <w:r>
        <w:t xml:space="preserve">Figure </w:t>
      </w:r>
      <w:r w:rsidR="00CC55FF">
        <w:fldChar w:fldCharType="begin"/>
      </w:r>
      <w:r w:rsidR="00CC55FF">
        <w:instrText xml:space="preserve"> SEQ Figure \* ARABIC </w:instrText>
      </w:r>
      <w:r w:rsidR="00CC55FF">
        <w:fldChar w:fldCharType="separate"/>
      </w:r>
      <w:r w:rsidRPr="04B3C552">
        <w:rPr>
          <w:noProof/>
        </w:rPr>
        <w:t>6</w:t>
      </w:r>
      <w:r w:rsidR="00CC55FF">
        <w:rPr>
          <w:noProof/>
        </w:rPr>
        <w:fldChar w:fldCharType="end"/>
      </w:r>
      <w:bookmarkEnd w:id="6"/>
      <w:r>
        <w:t xml:space="preserve"> Monitored CO2 meter readings per zone throughout 5 days</w:t>
      </w:r>
    </w:p>
    <w:p w14:paraId="674EF256" w14:textId="77777777" w:rsidR="00FE5ADA" w:rsidRPr="00F7632C" w:rsidRDefault="00FE5ADA" w:rsidP="0036338C">
      <w:pPr>
        <w:pStyle w:val="ASATextfirst"/>
        <w:rPr>
          <w:sz w:val="16"/>
          <w:szCs w:val="16"/>
          <w:lang w:val="en-GB"/>
        </w:rPr>
      </w:pPr>
      <w:r w:rsidRPr="00855573">
        <w:t xml:space="preserve"> </w:t>
      </w:r>
    </w:p>
    <w:p w14:paraId="5AB3B3AB" w14:textId="255B587B" w:rsidR="00FE5ADA" w:rsidRDefault="3C62CFC2" w:rsidP="00802232">
      <w:pPr>
        <w:pStyle w:val="ASATextfirst"/>
        <w:ind w:firstLine="284"/>
        <w:rPr>
          <w:lang w:val="en-GB"/>
        </w:rPr>
      </w:pPr>
      <w:r w:rsidRPr="04B3C552">
        <w:rPr>
          <w:lang w:val="en-GB"/>
        </w:rPr>
        <w:t xml:space="preserve">Window openings were also recorded during the observation period. Over 50% of the windows were open on the fifth day when the internal temperature across all zones reached 24°C. </w:t>
      </w:r>
      <w:r w:rsidR="000E9956" w:rsidRPr="04B3C552">
        <w:rPr>
          <w:lang w:val="en-GB"/>
        </w:rPr>
        <w:t>However,</w:t>
      </w:r>
      <w:r w:rsidRPr="04B3C552">
        <w:rPr>
          <w:lang w:val="en-GB"/>
        </w:rPr>
        <w:t xml:space="preserve"> during the </w:t>
      </w:r>
      <w:proofErr w:type="gramStart"/>
      <w:r w:rsidRPr="04B3C552">
        <w:rPr>
          <w:lang w:val="en-GB"/>
        </w:rPr>
        <w:t>time period</w:t>
      </w:r>
      <w:proofErr w:type="gramEnd"/>
      <w:r w:rsidRPr="04B3C552">
        <w:rPr>
          <w:lang w:val="en-GB"/>
        </w:rPr>
        <w:t xml:space="preserve"> when the recorded CO</w:t>
      </w:r>
      <w:r w:rsidRPr="04B3C552">
        <w:rPr>
          <w:vertAlign w:val="subscript"/>
          <w:lang w:val="en-GB"/>
        </w:rPr>
        <w:t>2</w:t>
      </w:r>
      <w:r w:rsidRPr="04B3C552">
        <w:rPr>
          <w:lang w:val="en-GB"/>
        </w:rPr>
        <w:t xml:space="preserve"> level in any zone reached over 900ppm (Zone 4 and 5 on day 1 and </w:t>
      </w:r>
      <w:r w:rsidRPr="04B3C552">
        <w:rPr>
          <w:lang w:val="en-GB"/>
        </w:rPr>
        <w:lastRenderedPageBreak/>
        <w:t xml:space="preserve">Zone 5 on day 4), no window was open. </w:t>
      </w:r>
      <w:r w:rsidR="000E9956" w:rsidRPr="04B3C552">
        <w:rPr>
          <w:lang w:val="en-GB"/>
        </w:rPr>
        <w:t xml:space="preserve">In other words, the occupants were more likely to open windows based on thermal comfort rather than air quality. </w:t>
      </w:r>
    </w:p>
    <w:p w14:paraId="3B008C93" w14:textId="77777777" w:rsidR="00AD52D1" w:rsidRDefault="19F5D5B8" w:rsidP="000F0D73">
      <w:pPr>
        <w:pStyle w:val="ASAHeading1"/>
      </w:pPr>
      <w:r>
        <w:t xml:space="preserve">6. </w:t>
      </w:r>
      <w:r w:rsidR="3C62CFC2">
        <w:t>Discussion and Conclusions</w:t>
      </w:r>
    </w:p>
    <w:p w14:paraId="1F1DBAFF" w14:textId="3C5E1B5C" w:rsidR="00FE5ADA" w:rsidRDefault="3C62CFC2" w:rsidP="00FE5ADA">
      <w:pPr>
        <w:pStyle w:val="ASAText"/>
        <w:ind w:firstLine="0"/>
        <w:rPr>
          <w:lang w:val="en-GB"/>
        </w:rPr>
      </w:pPr>
      <w:r w:rsidRPr="04B3C552">
        <w:rPr>
          <w:lang w:val="en-GB"/>
        </w:rPr>
        <w:t xml:space="preserve">The comparison of the simulated model result based on pre-pandemic predictions and the result of the </w:t>
      </w:r>
      <w:r w:rsidR="1054BF9E" w:rsidRPr="04B3C552">
        <w:rPr>
          <w:lang w:val="en-GB"/>
        </w:rPr>
        <w:t xml:space="preserve">post-pandemic </w:t>
      </w:r>
      <w:r w:rsidRPr="04B3C552">
        <w:rPr>
          <w:lang w:val="en-GB"/>
        </w:rPr>
        <w:t xml:space="preserve">POE research </w:t>
      </w:r>
      <w:r w:rsidR="1B5BC094" w:rsidRPr="04B3C552">
        <w:rPr>
          <w:lang w:val="en-GB"/>
        </w:rPr>
        <w:t>shows</w:t>
      </w:r>
      <w:r w:rsidRPr="04B3C552">
        <w:rPr>
          <w:lang w:val="en-GB"/>
        </w:rPr>
        <w:t xml:space="preserve"> a few discrepancies. During the observed period, which was also predicted to have one of the highest </w:t>
      </w:r>
      <w:r w:rsidR="1B5BC094" w:rsidRPr="04B3C552">
        <w:rPr>
          <w:lang w:val="en-GB"/>
        </w:rPr>
        <w:t>volumes</w:t>
      </w:r>
      <w:r w:rsidRPr="04B3C552">
        <w:rPr>
          <w:lang w:val="en-GB"/>
        </w:rPr>
        <w:t xml:space="preserve"> of occupancy, the occupancy level on average across all 5 zones </w:t>
      </w:r>
      <w:r w:rsidR="1054BF9E" w:rsidRPr="04B3C552">
        <w:rPr>
          <w:lang w:val="en-GB"/>
        </w:rPr>
        <w:t xml:space="preserve">remained far below </w:t>
      </w:r>
      <w:r w:rsidRPr="04B3C552">
        <w:rPr>
          <w:lang w:val="en-GB"/>
        </w:rPr>
        <w:t>the design</w:t>
      </w:r>
      <w:r w:rsidR="000E5209">
        <w:rPr>
          <w:lang w:val="en-GB"/>
        </w:rPr>
        <w:t xml:space="preserve"> maximum</w:t>
      </w:r>
      <w:r w:rsidRPr="04B3C552">
        <w:rPr>
          <w:lang w:val="en-GB"/>
        </w:rPr>
        <w:t xml:space="preserve"> occupancy level. Therefore, the hybrid ventilation system, which was set to be triggered by CO</w:t>
      </w:r>
      <w:r w:rsidRPr="04B3C552">
        <w:rPr>
          <w:vertAlign w:val="subscript"/>
          <w:lang w:val="en-GB"/>
        </w:rPr>
        <w:t>2</w:t>
      </w:r>
      <w:r w:rsidRPr="04B3C552">
        <w:rPr>
          <w:lang w:val="en-GB"/>
        </w:rPr>
        <w:t xml:space="preserve"> levels, </w:t>
      </w:r>
      <w:r w:rsidR="1B5BC094" w:rsidRPr="04B3C552">
        <w:rPr>
          <w:lang w:val="en-GB"/>
        </w:rPr>
        <w:t xml:space="preserve">was </w:t>
      </w:r>
      <w:r w:rsidRPr="04B3C552">
        <w:rPr>
          <w:lang w:val="en-GB"/>
        </w:rPr>
        <w:t>activated only once throughout the observation period. The simulation model did not predict overheating risk based on CIBSE TM52</w:t>
      </w:r>
      <w:r w:rsidR="000E9956" w:rsidRPr="04B3C552">
        <w:rPr>
          <w:lang w:val="en-GB"/>
        </w:rPr>
        <w:t>.</w:t>
      </w:r>
      <w:r w:rsidRPr="04B3C552">
        <w:rPr>
          <w:lang w:val="en-GB"/>
        </w:rPr>
        <w:t xml:space="preserve"> </w:t>
      </w:r>
      <w:r w:rsidR="000E9956" w:rsidRPr="04B3C552">
        <w:rPr>
          <w:lang w:val="en-GB"/>
        </w:rPr>
        <w:t>T</w:t>
      </w:r>
      <w:r w:rsidRPr="04B3C552">
        <w:rPr>
          <w:lang w:val="en-GB"/>
        </w:rPr>
        <w:t xml:space="preserve">herefore, no cooling was set despite the system </w:t>
      </w:r>
      <w:r w:rsidR="1B5BC094" w:rsidRPr="04B3C552">
        <w:rPr>
          <w:lang w:val="en-GB"/>
        </w:rPr>
        <w:t>having</w:t>
      </w:r>
      <w:r w:rsidRPr="04B3C552">
        <w:rPr>
          <w:lang w:val="en-GB"/>
        </w:rPr>
        <w:t xml:space="preserve"> the capability. However, the questionnaire survey revealed that approximately a third of the surveyed occupants found the spaces warm or very warm, despite </w:t>
      </w:r>
      <w:proofErr w:type="gramStart"/>
      <w:r w:rsidRPr="04B3C552">
        <w:rPr>
          <w:lang w:val="en-GB"/>
        </w:rPr>
        <w:t>the majority of</w:t>
      </w:r>
      <w:proofErr w:type="gramEnd"/>
      <w:r w:rsidRPr="04B3C552">
        <w:rPr>
          <w:lang w:val="en-GB"/>
        </w:rPr>
        <w:t xml:space="preserve"> the occupants self-identified as sensitive to cold. </w:t>
      </w:r>
      <w:r w:rsidR="1B5BC094" w:rsidRPr="04B3C552">
        <w:rPr>
          <w:lang w:val="en-GB"/>
        </w:rPr>
        <w:t>Most of</w:t>
      </w:r>
      <w:r w:rsidRPr="04B3C552">
        <w:rPr>
          <w:lang w:val="en-GB"/>
        </w:rPr>
        <w:t xml:space="preserve"> the occupants preferred opening/closing windows to mitigate thermal discomfort. This behavioural adaptation was observed clearly across all zones, at multiple times throughout the day when internal temperatures were 21 °C-</w:t>
      </w:r>
      <w:r w:rsidR="1B5BC094" w:rsidRPr="04B3C552">
        <w:rPr>
          <w:lang w:val="en-GB"/>
        </w:rPr>
        <w:t>25</w:t>
      </w:r>
      <w:r w:rsidRPr="04B3C552">
        <w:rPr>
          <w:lang w:val="en-GB"/>
        </w:rPr>
        <w:t xml:space="preserve"> °C. </w:t>
      </w:r>
      <w:r w:rsidR="1412BBD2" w:rsidRPr="04B3C552">
        <w:rPr>
          <w:lang w:val="en-GB"/>
        </w:rPr>
        <w:t>Since the designed hybrid ventilation system is triggered only by CO</w:t>
      </w:r>
      <w:r w:rsidR="1412BBD2" w:rsidRPr="04B3C552">
        <w:rPr>
          <w:vertAlign w:val="subscript"/>
          <w:lang w:val="en-GB"/>
        </w:rPr>
        <w:t>2</w:t>
      </w:r>
      <w:r w:rsidR="1412BBD2" w:rsidRPr="04B3C552">
        <w:rPr>
          <w:lang w:val="en-GB"/>
        </w:rPr>
        <w:t xml:space="preserve"> measurement rather than the indoor temperature, the passive cooling strategy became insufficient when the indoor temperature is above comfort level. It relied on behavioural adaptations such as window opening to achieve thermal comfort. </w:t>
      </w:r>
      <w:r w:rsidRPr="04B3C552">
        <w:rPr>
          <w:lang w:val="en-GB"/>
        </w:rPr>
        <w:t xml:space="preserve">As a result, the occupants who preferred quiet or silent study zones reported noise concerns due to the traffic noise being carried through the opened windows from the adjacent busy road. </w:t>
      </w:r>
      <w:r w:rsidR="1B5BC094" w:rsidRPr="04B3C552">
        <w:rPr>
          <w:lang w:val="en-GB"/>
        </w:rPr>
        <w:t>Therefore, despite building simulations failing to detect overheating, the result suggests that the ventilation systems need to be reconfigured to minimise the need for opening windows and could also be activated by temperature instead of solely relying on CO</w:t>
      </w:r>
      <w:r w:rsidR="1B5BC094" w:rsidRPr="04B3C552">
        <w:rPr>
          <w:vertAlign w:val="subscript"/>
          <w:lang w:val="en-GB"/>
        </w:rPr>
        <w:t xml:space="preserve">2 </w:t>
      </w:r>
      <w:r w:rsidR="1B5BC094" w:rsidRPr="04B3C552">
        <w:rPr>
          <w:lang w:val="en-GB"/>
        </w:rPr>
        <w:t>levels.</w:t>
      </w:r>
    </w:p>
    <w:p w14:paraId="529B8913" w14:textId="746D0A46" w:rsidR="00D703F2" w:rsidRDefault="44610A99" w:rsidP="00AF671B">
      <w:pPr>
        <w:pStyle w:val="ASAText"/>
        <w:rPr>
          <w:lang w:val="en-GB"/>
        </w:rPr>
      </w:pPr>
      <w:r w:rsidRPr="04B3C552">
        <w:rPr>
          <w:lang w:val="en-GB"/>
        </w:rPr>
        <w:t xml:space="preserve">Adaptive comfort model advocates occupants’ behavioural </w:t>
      </w:r>
      <w:r w:rsidR="1412BBD2" w:rsidRPr="04B3C552">
        <w:rPr>
          <w:lang w:val="en-GB"/>
        </w:rPr>
        <w:t>adaptations</w:t>
      </w:r>
      <w:r w:rsidRPr="04B3C552">
        <w:rPr>
          <w:lang w:val="en-GB"/>
        </w:rPr>
        <w:t xml:space="preserve"> and personal controls</w:t>
      </w:r>
      <w:r w:rsidR="429BDD6B" w:rsidRPr="04B3C552">
        <w:rPr>
          <w:lang w:val="en-GB"/>
        </w:rPr>
        <w:t xml:space="preserve"> (Baker, 1995). However, providing personal control in open-plan spaces was found to be usually costly and impractical. This leads to temperature and lighting being controlled automatically based on average standards </w:t>
      </w:r>
      <w:r w:rsidR="004755DB" w:rsidRPr="04B3C552">
        <w:rPr>
          <w:lang w:val="en-GB"/>
        </w:rPr>
        <w:fldChar w:fldCharType="begin"/>
      </w:r>
      <w:r w:rsidR="004755DB" w:rsidRPr="04B3C552">
        <w:rPr>
          <w:lang w:val="en-GB"/>
        </w:rPr>
        <w:instrText xml:space="preserve"> ADDIN ZOTERO_ITEM CSL_CITATION {"citationID":"8lLNAJ2X","properties":{"formattedCitation":"(Myerson et al., 2010)","plainCitation":"(Myerson et al., 2010)","noteIndex":0},"citationItems":[{"id":6,"uris":["http://zotero.org/users/local/9GAAtdTO/items/ZYVD9ZWL"],"itemData":{"id":6,"type":"book","ISBN":"978-1-315-59792-8","note":"DOI: 10.4324/9781315597928","title":"New Demographics, New Workspace: Office Design for the Changing Workforce","author":[{"family":"Myerson","given":"J."},{"family":"Bichard","given":"Jo-Anne"},{"family":"Erlich","given":"Alma"}],"issued":{"date-parts":[["2010",10,1]]}}}],"schema":"https://github.com/citation-style-language/schema/raw/master/csl-citation.json"} </w:instrText>
      </w:r>
      <w:r w:rsidR="004755DB" w:rsidRPr="04B3C552">
        <w:rPr>
          <w:lang w:val="en-GB"/>
        </w:rPr>
        <w:fldChar w:fldCharType="separate"/>
      </w:r>
      <w:r w:rsidR="429BDD6B" w:rsidRPr="04B3C552">
        <w:rPr>
          <w:lang w:val="en-GB"/>
        </w:rPr>
        <w:t>(Myerson et al., 2010)</w:t>
      </w:r>
      <w:r w:rsidR="004755DB" w:rsidRPr="04B3C552">
        <w:rPr>
          <w:lang w:val="en-GB"/>
        </w:rPr>
        <w:fldChar w:fldCharType="end"/>
      </w:r>
      <w:r w:rsidR="429BDD6B" w:rsidRPr="04B3C552">
        <w:rPr>
          <w:lang w:val="en-GB"/>
        </w:rPr>
        <w:t xml:space="preserve">. </w:t>
      </w:r>
      <w:r w:rsidRPr="04B3C552">
        <w:rPr>
          <w:lang w:val="en-GB"/>
        </w:rPr>
        <w:t>In this research, t</w:t>
      </w:r>
      <w:r w:rsidR="429BDD6B" w:rsidRPr="04B3C552">
        <w:rPr>
          <w:lang w:val="en-GB"/>
        </w:rPr>
        <w:t xml:space="preserve">he respondents repeatedly stated that they do not know how to operate environmental controls. As occupants </w:t>
      </w:r>
      <w:r w:rsidRPr="04B3C552">
        <w:rPr>
          <w:lang w:val="en-GB"/>
        </w:rPr>
        <w:t xml:space="preserve">were </w:t>
      </w:r>
      <w:r w:rsidR="429BDD6B" w:rsidRPr="04B3C552">
        <w:rPr>
          <w:lang w:val="en-GB"/>
        </w:rPr>
        <w:t>only allowed to boost ventilation for a limited time and operate the lighting within a limited range</w:t>
      </w:r>
      <w:r w:rsidRPr="04B3C552">
        <w:rPr>
          <w:lang w:val="en-GB"/>
        </w:rPr>
        <w:t>. Behavioural adaptations such as o</w:t>
      </w:r>
      <w:r w:rsidR="429BDD6B" w:rsidRPr="04B3C552">
        <w:rPr>
          <w:lang w:val="en-GB"/>
        </w:rPr>
        <w:t xml:space="preserve">pening/closing windows may </w:t>
      </w:r>
      <w:r w:rsidRPr="04B3C552">
        <w:rPr>
          <w:lang w:val="en-GB"/>
        </w:rPr>
        <w:t>be effective</w:t>
      </w:r>
      <w:r w:rsidR="429BDD6B" w:rsidRPr="04B3C552">
        <w:rPr>
          <w:lang w:val="en-GB"/>
        </w:rPr>
        <w:t xml:space="preserve"> for </w:t>
      </w:r>
      <w:r w:rsidRPr="04B3C552">
        <w:rPr>
          <w:lang w:val="en-GB"/>
        </w:rPr>
        <w:t xml:space="preserve">negotiating thermal comfort </w:t>
      </w:r>
      <w:r w:rsidR="429BDD6B" w:rsidRPr="04B3C552">
        <w:rPr>
          <w:lang w:val="en-GB"/>
        </w:rPr>
        <w:t xml:space="preserve">for those who sit </w:t>
      </w:r>
      <w:r w:rsidRPr="04B3C552">
        <w:rPr>
          <w:lang w:val="en-GB"/>
        </w:rPr>
        <w:t>next to the windows</w:t>
      </w:r>
      <w:r w:rsidR="1412BBD2" w:rsidRPr="04B3C552">
        <w:rPr>
          <w:lang w:val="en-GB"/>
        </w:rPr>
        <w:t>. F</w:t>
      </w:r>
      <w:r w:rsidR="429BDD6B" w:rsidRPr="04B3C552">
        <w:rPr>
          <w:lang w:val="en-GB"/>
        </w:rPr>
        <w:t xml:space="preserve">or those who sit in the middle of an </w:t>
      </w:r>
      <w:r w:rsidR="1B5BC094" w:rsidRPr="04B3C552">
        <w:rPr>
          <w:lang w:val="en-GB"/>
        </w:rPr>
        <w:t>open-plan</w:t>
      </w:r>
      <w:r w:rsidR="429BDD6B" w:rsidRPr="04B3C552">
        <w:rPr>
          <w:lang w:val="en-GB"/>
        </w:rPr>
        <w:t xml:space="preserve"> library, however, there </w:t>
      </w:r>
      <w:r w:rsidRPr="04B3C552">
        <w:rPr>
          <w:lang w:val="en-GB"/>
        </w:rPr>
        <w:t>are</w:t>
      </w:r>
      <w:r w:rsidR="429BDD6B" w:rsidRPr="04B3C552">
        <w:rPr>
          <w:lang w:val="en-GB"/>
        </w:rPr>
        <w:t xml:space="preserve"> </w:t>
      </w:r>
      <w:r w:rsidRPr="04B3C552">
        <w:rPr>
          <w:lang w:val="en-GB"/>
        </w:rPr>
        <w:t>fewer means</w:t>
      </w:r>
      <w:r w:rsidR="429BDD6B" w:rsidRPr="04B3C552">
        <w:rPr>
          <w:lang w:val="en-GB"/>
        </w:rPr>
        <w:t xml:space="preserve"> to </w:t>
      </w:r>
      <w:r w:rsidRPr="04B3C552">
        <w:rPr>
          <w:lang w:val="en-GB"/>
        </w:rPr>
        <w:t>adapt</w:t>
      </w:r>
      <w:r w:rsidR="429BDD6B" w:rsidRPr="04B3C552">
        <w:rPr>
          <w:lang w:val="en-GB"/>
        </w:rPr>
        <w:t xml:space="preserve">. </w:t>
      </w:r>
    </w:p>
    <w:p w14:paraId="2CC2F7BB" w14:textId="3CD3F494" w:rsidR="00FE5ADA" w:rsidRPr="00FE5ADA" w:rsidRDefault="1412BBD2" w:rsidP="00891DC8">
      <w:pPr>
        <w:pStyle w:val="ASAText"/>
        <w:rPr>
          <w:lang w:val="en-GB"/>
        </w:rPr>
      </w:pPr>
      <w:r w:rsidRPr="04B3C552">
        <w:rPr>
          <w:lang w:val="en-GB"/>
        </w:rPr>
        <w:t>Furthermore, e</w:t>
      </w:r>
      <w:r w:rsidR="3C62CFC2" w:rsidRPr="04B3C552">
        <w:rPr>
          <w:lang w:val="en-GB"/>
        </w:rPr>
        <w:t>ducational buildings, university buildings</w:t>
      </w:r>
      <w:proofErr w:type="gramStart"/>
      <w:r w:rsidR="1B5BC094" w:rsidRPr="04B3C552">
        <w:rPr>
          <w:lang w:val="en-GB"/>
        </w:rPr>
        <w:t>,</w:t>
      </w:r>
      <w:r w:rsidR="3C62CFC2" w:rsidRPr="04B3C552">
        <w:rPr>
          <w:lang w:val="en-GB"/>
        </w:rPr>
        <w:t xml:space="preserve"> in particular, are</w:t>
      </w:r>
      <w:proofErr w:type="gramEnd"/>
      <w:r w:rsidR="3C62CFC2" w:rsidRPr="04B3C552">
        <w:rPr>
          <w:lang w:val="en-GB"/>
        </w:rPr>
        <w:t xml:space="preserve"> occupied at </w:t>
      </w:r>
      <w:r w:rsidR="1B5BC094" w:rsidRPr="04B3C552">
        <w:rPr>
          <w:lang w:val="en-GB"/>
        </w:rPr>
        <w:t xml:space="preserve">a </w:t>
      </w:r>
      <w:r w:rsidR="3C62CFC2" w:rsidRPr="04B3C552">
        <w:rPr>
          <w:lang w:val="en-GB"/>
        </w:rPr>
        <w:t>minimum level</w:t>
      </w:r>
      <w:r w:rsidR="000E9956" w:rsidRPr="04B3C552">
        <w:rPr>
          <w:lang w:val="en-GB"/>
        </w:rPr>
        <w:t xml:space="preserve">, if not completely empty, </w:t>
      </w:r>
      <w:r w:rsidR="3C62CFC2" w:rsidRPr="04B3C552">
        <w:rPr>
          <w:lang w:val="en-GB"/>
        </w:rPr>
        <w:t xml:space="preserve">out of academic term. Unoccupied term falls </w:t>
      </w:r>
      <w:r w:rsidR="000E9956" w:rsidRPr="04B3C552">
        <w:rPr>
          <w:lang w:val="en-GB"/>
        </w:rPr>
        <w:t>within</w:t>
      </w:r>
      <w:r w:rsidR="3C62CFC2" w:rsidRPr="04B3C552">
        <w:rPr>
          <w:lang w:val="en-GB"/>
        </w:rPr>
        <w:t xml:space="preserve"> the hottest summer period</w:t>
      </w:r>
      <w:r w:rsidR="000E9956" w:rsidRPr="04B3C552">
        <w:rPr>
          <w:lang w:val="en-GB"/>
        </w:rPr>
        <w:t xml:space="preserve"> -</w:t>
      </w:r>
      <w:r w:rsidR="3C62CFC2" w:rsidRPr="04B3C552">
        <w:rPr>
          <w:lang w:val="en-GB"/>
        </w:rPr>
        <w:t xml:space="preserve"> June, July, </w:t>
      </w:r>
      <w:r w:rsidR="1B5BC094" w:rsidRPr="04B3C552">
        <w:rPr>
          <w:lang w:val="en-GB"/>
        </w:rPr>
        <w:t xml:space="preserve">and </w:t>
      </w:r>
      <w:r w:rsidR="3C62CFC2" w:rsidRPr="04B3C552">
        <w:rPr>
          <w:lang w:val="en-GB"/>
        </w:rPr>
        <w:t xml:space="preserve">August, when overheating </w:t>
      </w:r>
      <w:r w:rsidR="00BF545B" w:rsidRPr="04B3C552">
        <w:rPr>
          <w:lang w:val="en-GB"/>
        </w:rPr>
        <w:t>is</w:t>
      </w:r>
      <w:r w:rsidR="3C62CFC2" w:rsidRPr="04B3C552">
        <w:rPr>
          <w:lang w:val="en-GB"/>
        </w:rPr>
        <w:t xml:space="preserve"> most likely</w:t>
      </w:r>
      <w:r w:rsidR="000E9956" w:rsidRPr="04B3C552">
        <w:rPr>
          <w:lang w:val="en-GB"/>
        </w:rPr>
        <w:t xml:space="preserve"> to occur</w:t>
      </w:r>
      <w:r w:rsidR="3C62CFC2" w:rsidRPr="04B3C552">
        <w:rPr>
          <w:lang w:val="en-GB"/>
        </w:rPr>
        <w:t xml:space="preserve">. Therefore, </w:t>
      </w:r>
      <w:r w:rsidR="000E9956" w:rsidRPr="04B3C552">
        <w:rPr>
          <w:lang w:val="en-GB"/>
        </w:rPr>
        <w:t xml:space="preserve">using </w:t>
      </w:r>
      <w:r w:rsidR="000E9956">
        <w:t>CIBSE overheating criteria</w:t>
      </w:r>
      <w:r w:rsidR="3C62CFC2" w:rsidRPr="04B3C552">
        <w:rPr>
          <w:lang w:val="en-GB"/>
        </w:rPr>
        <w:t xml:space="preserve"> is unlikely to </w:t>
      </w:r>
      <w:r w:rsidR="000E9956" w:rsidRPr="04B3C552">
        <w:rPr>
          <w:lang w:val="en-GB"/>
        </w:rPr>
        <w:t>predict overheating risk</w:t>
      </w:r>
      <w:r w:rsidR="3C62CFC2" w:rsidRPr="04B3C552">
        <w:rPr>
          <w:lang w:val="en-GB"/>
        </w:rPr>
        <w:t xml:space="preserve">. However, </w:t>
      </w:r>
      <w:r w:rsidRPr="04B3C552">
        <w:rPr>
          <w:lang w:val="en-GB"/>
        </w:rPr>
        <w:t>study spaces</w:t>
      </w:r>
      <w:r w:rsidR="3C62CFC2" w:rsidRPr="04B3C552">
        <w:rPr>
          <w:lang w:val="en-GB"/>
        </w:rPr>
        <w:t xml:space="preserve"> are </w:t>
      </w:r>
      <w:r w:rsidRPr="04B3C552">
        <w:rPr>
          <w:lang w:val="en-GB"/>
        </w:rPr>
        <w:t xml:space="preserve">most likely </w:t>
      </w:r>
      <w:r w:rsidR="3C62CFC2" w:rsidRPr="04B3C552">
        <w:rPr>
          <w:lang w:val="en-GB"/>
        </w:rPr>
        <w:t xml:space="preserve">occupied by. Even though no overheating was predicted in the building performance simulation, </w:t>
      </w:r>
      <w:r w:rsidR="1B5BC094" w:rsidRPr="04B3C552">
        <w:rPr>
          <w:lang w:val="en-GB"/>
        </w:rPr>
        <w:t>high-temperature</w:t>
      </w:r>
      <w:r w:rsidR="3C62CFC2" w:rsidRPr="04B3C552">
        <w:rPr>
          <w:lang w:val="en-GB"/>
        </w:rPr>
        <w:t xml:space="preserve"> days still occur </w:t>
      </w:r>
      <w:r w:rsidR="1B5BC094" w:rsidRPr="04B3C552">
        <w:rPr>
          <w:lang w:val="en-GB"/>
        </w:rPr>
        <w:t>during</w:t>
      </w:r>
      <w:r w:rsidR="3C62CFC2" w:rsidRPr="04B3C552">
        <w:rPr>
          <w:lang w:val="en-GB"/>
        </w:rPr>
        <w:t xml:space="preserve"> those two months where thermal discomfort would affect students’ learning greatly. Adaptive behaviour such as opening windows might not be always suitable due to the outside noise level. This raises the question of whether overheating criteria should be tailored to suit the usage of the building in question and the sensitivity of the </w:t>
      </w:r>
      <w:r w:rsidR="1B5BC094" w:rsidRPr="04B3C552">
        <w:rPr>
          <w:lang w:val="en-GB"/>
        </w:rPr>
        <w:t>occupants’</w:t>
      </w:r>
      <w:r w:rsidR="3C62CFC2" w:rsidRPr="04B3C552">
        <w:rPr>
          <w:lang w:val="en-GB"/>
        </w:rPr>
        <w:t xml:space="preserve"> task to thermal discomfort. </w:t>
      </w:r>
      <w:r w:rsidR="00335139">
        <w:rPr>
          <w:lang w:val="en-GB"/>
        </w:rPr>
        <w:t xml:space="preserve">On the other hand, the window-opening behaviour </w:t>
      </w:r>
      <w:r w:rsidR="00891DC8">
        <w:rPr>
          <w:lang w:val="en-GB"/>
        </w:rPr>
        <w:t>will become</w:t>
      </w:r>
      <w:r w:rsidR="00335139">
        <w:rPr>
          <w:lang w:val="en-GB"/>
        </w:rPr>
        <w:t xml:space="preserve"> more interesting to examine </w:t>
      </w:r>
      <w:r w:rsidR="00891DC8">
        <w:rPr>
          <w:lang w:val="en-GB"/>
        </w:rPr>
        <w:t>on</w:t>
      </w:r>
      <w:r w:rsidR="00335139">
        <w:rPr>
          <w:lang w:val="en-GB"/>
        </w:rPr>
        <w:t xml:space="preserve"> colder days and in winter </w:t>
      </w:r>
      <w:r w:rsidR="00891DC8">
        <w:rPr>
          <w:lang w:val="en-GB"/>
        </w:rPr>
        <w:t>when</w:t>
      </w:r>
      <w:r w:rsidR="00335139">
        <w:rPr>
          <w:lang w:val="en-GB"/>
        </w:rPr>
        <w:t xml:space="preserve"> the legacy of the pandemic could guide such </w:t>
      </w:r>
      <w:r w:rsidR="00891DC8">
        <w:rPr>
          <w:lang w:val="en-GB"/>
        </w:rPr>
        <w:t>behaviour in a way</w:t>
      </w:r>
      <w:r w:rsidR="00335139">
        <w:rPr>
          <w:lang w:val="en-GB"/>
        </w:rPr>
        <w:t xml:space="preserve"> that </w:t>
      </w:r>
      <w:r w:rsidR="00891DC8">
        <w:rPr>
          <w:lang w:val="en-GB"/>
        </w:rPr>
        <w:t>bypasses occupants’</w:t>
      </w:r>
      <w:r w:rsidR="00335139">
        <w:rPr>
          <w:lang w:val="en-GB"/>
        </w:rPr>
        <w:t xml:space="preserve"> thermal comfort and ventilation need. </w:t>
      </w:r>
      <w:r w:rsidR="004755DB">
        <w:rPr>
          <w:lang w:val="en-GB"/>
        </w:rPr>
        <w:t>More research is</w:t>
      </w:r>
      <w:r w:rsidR="004755DB" w:rsidRPr="00FE5ADA">
        <w:rPr>
          <w:lang w:val="en-GB"/>
        </w:rPr>
        <w:t xml:space="preserve"> needed to explore such occupancy and behaviour </w:t>
      </w:r>
      <w:r w:rsidR="004755DB" w:rsidRPr="00FE5ADA">
        <w:rPr>
          <w:lang w:val="en-GB"/>
        </w:rPr>
        <w:lastRenderedPageBreak/>
        <w:t xml:space="preserve">patterns and the potential for more energy-efficient practices that are more suitable for a post-pandemic </w:t>
      </w:r>
      <w:r w:rsidR="004755DB">
        <w:rPr>
          <w:lang w:val="en-GB"/>
        </w:rPr>
        <w:t>teaching and learning space</w:t>
      </w:r>
      <w:r w:rsidR="004755DB" w:rsidRPr="00FE5ADA">
        <w:rPr>
          <w:lang w:val="en-GB"/>
        </w:rPr>
        <w:t>.</w:t>
      </w:r>
    </w:p>
    <w:p w14:paraId="2C445EAB" w14:textId="2628E223" w:rsidR="00815D0F" w:rsidRPr="00855573" w:rsidRDefault="5867AB93" w:rsidP="04B3C552">
      <w:pPr>
        <w:pStyle w:val="ASAHeading1"/>
      </w:pPr>
      <w:r>
        <w:t>Acknowledgements</w:t>
      </w:r>
    </w:p>
    <w:p w14:paraId="55F091CC" w14:textId="70E8C020" w:rsidR="00AD52D1" w:rsidRPr="009378B8" w:rsidRDefault="44610A99" w:rsidP="009378B8">
      <w:pPr>
        <w:pStyle w:val="ASAAcknowledgements"/>
      </w:pPr>
      <w:r>
        <w:t xml:space="preserve">This research is made possible by the UROS funding provided by the University of Lincoln, which allowed four student researchers to </w:t>
      </w:r>
      <w:r w:rsidR="281BCDA1">
        <w:t>participate</w:t>
      </w:r>
      <w:r>
        <w:t xml:space="preserve"> </w:t>
      </w:r>
      <w:r w:rsidR="281BCDA1">
        <w:t>in</w:t>
      </w:r>
      <w:r>
        <w:t xml:space="preserve"> research design, </w:t>
      </w:r>
      <w:r w:rsidR="281BCDA1">
        <w:t xml:space="preserve">data collection and analysis. The student researchers are William Pettifer, Alicia Tribe, Gracie </w:t>
      </w:r>
      <w:proofErr w:type="gramStart"/>
      <w:r w:rsidR="281BCDA1">
        <w:t>Longworth</w:t>
      </w:r>
      <w:proofErr w:type="gramEnd"/>
      <w:r w:rsidR="281BCDA1">
        <w:t xml:space="preserve"> and Kieran Taylor.</w:t>
      </w:r>
    </w:p>
    <w:p w14:paraId="09162A7C" w14:textId="77777777" w:rsidR="00815D0F" w:rsidRPr="00855573" w:rsidRDefault="5867AB93" w:rsidP="00902271">
      <w:pPr>
        <w:pStyle w:val="ASAHeading1"/>
      </w:pPr>
      <w:r>
        <w:t>References</w:t>
      </w:r>
    </w:p>
    <w:p w14:paraId="326895B0" w14:textId="014C6680" w:rsidR="00FE5ADA" w:rsidRDefault="3C62CFC2" w:rsidP="00FE5ADA">
      <w:pPr>
        <w:pStyle w:val="ASAReference"/>
      </w:pPr>
      <w:r>
        <w:t>ANSI/ASHRAE 55, 20</w:t>
      </w:r>
      <w:r w:rsidR="004809D9">
        <w:t>2</w:t>
      </w:r>
      <w:r>
        <w:t>0. Environmental Conditions for Human Occupancy, Atlanta, GA, USA: ASHRAE American Society of Heating, Refrigeration and Air Conditioning Engineers, Inc.</w:t>
      </w:r>
    </w:p>
    <w:p w14:paraId="71435514" w14:textId="77777777" w:rsidR="00FE5ADA" w:rsidRDefault="3C62CFC2" w:rsidP="00FE5ADA">
      <w:pPr>
        <w:pStyle w:val="ASAReference"/>
      </w:pPr>
      <w:r>
        <w:t xml:space="preserve">Baker N V, </w:t>
      </w:r>
      <w:proofErr w:type="spellStart"/>
      <w:r>
        <w:t>Standeven</w:t>
      </w:r>
      <w:proofErr w:type="spellEnd"/>
      <w:r>
        <w:t xml:space="preserve"> M A, 1995. A behavioural approach to thermal comfort assessment in naturally ventilated buildings. CIBSE National Conference Proceedings.</w:t>
      </w:r>
    </w:p>
    <w:p w14:paraId="3F23DFCB" w14:textId="6C95DAD7" w:rsidR="00FE5ADA" w:rsidRDefault="3C62CFC2" w:rsidP="00FE5ADA">
      <w:pPr>
        <w:pStyle w:val="ASAReference"/>
      </w:pPr>
      <w:r>
        <w:t xml:space="preserve">BREEAM, 2022. [Online] Available at: </w:t>
      </w:r>
      <w:hyperlink r:id="rId18" w:history="1">
        <w:r w:rsidR="00BF545B" w:rsidRPr="002738F1">
          <w:rPr>
            <w:rStyle w:val="Hyperlink"/>
          </w:rPr>
          <w:t>https://bregroup.com/products/breeam/how-breeam-works/</w:t>
        </w:r>
      </w:hyperlink>
    </w:p>
    <w:p w14:paraId="5E4D4E94" w14:textId="21F6607A" w:rsidR="00FE5ADA" w:rsidRDefault="3C62CFC2" w:rsidP="00FE5ADA">
      <w:pPr>
        <w:pStyle w:val="ASAReference"/>
      </w:pPr>
      <w:proofErr w:type="spellStart"/>
      <w:r>
        <w:t>Barbhuiya</w:t>
      </w:r>
      <w:proofErr w:type="spellEnd"/>
      <w:r>
        <w:t xml:space="preserve">, Saadia, </w:t>
      </w:r>
      <w:proofErr w:type="spellStart"/>
      <w:r>
        <w:t>Barbhuiya</w:t>
      </w:r>
      <w:proofErr w:type="spellEnd"/>
      <w:r>
        <w:t xml:space="preserve">, Salim, 2013. Thermal comfort and energy consumption in a UK educational building. Build. Environ. 68, 1–11. </w:t>
      </w:r>
      <w:hyperlink r:id="rId19" w:history="1">
        <w:r w:rsidR="006910B8" w:rsidRPr="00592754">
          <w:rPr>
            <w:rStyle w:val="Hyperlink"/>
          </w:rPr>
          <w:t>https://doi.org/10.1016/j.buildenv.2013.06.002</w:t>
        </w:r>
      </w:hyperlink>
    </w:p>
    <w:p w14:paraId="1530FABF" w14:textId="5D9E949D" w:rsidR="006910B8" w:rsidRDefault="006910B8" w:rsidP="006910B8">
      <w:pPr>
        <w:pStyle w:val="ASAReference"/>
      </w:pPr>
      <w:r>
        <w:t>BB93, 2015. Building bulletin 93, Acoustic design of schools: performance standards, Guidance, Department of Education.</w:t>
      </w:r>
    </w:p>
    <w:p w14:paraId="56CC69D1" w14:textId="10155EB3" w:rsidR="00FE5ADA" w:rsidRDefault="3C62CFC2" w:rsidP="00FE5ADA">
      <w:pPr>
        <w:pStyle w:val="ASAReference"/>
      </w:pPr>
      <w:r>
        <w:t xml:space="preserve">Carlucci, S., De Simone, M., Firth, S.K., </w:t>
      </w:r>
      <w:proofErr w:type="spellStart"/>
      <w:r>
        <w:t>Kjærgaard</w:t>
      </w:r>
      <w:proofErr w:type="spellEnd"/>
      <w:r>
        <w:t xml:space="preserve">, M.B., Markovic, R., </w:t>
      </w:r>
      <w:proofErr w:type="spellStart"/>
      <w:r>
        <w:t>Rahaman</w:t>
      </w:r>
      <w:proofErr w:type="spellEnd"/>
      <w:r>
        <w:t xml:space="preserve">, M.S., </w:t>
      </w:r>
      <w:proofErr w:type="spellStart"/>
      <w:r>
        <w:t>Annaqeeb</w:t>
      </w:r>
      <w:proofErr w:type="spellEnd"/>
      <w:r>
        <w:t xml:space="preserve">, M.K., </w:t>
      </w:r>
      <w:proofErr w:type="spellStart"/>
      <w:r>
        <w:t>Biandrate</w:t>
      </w:r>
      <w:proofErr w:type="spellEnd"/>
      <w:r>
        <w:t xml:space="preserve">, S., Das, A., </w:t>
      </w:r>
      <w:proofErr w:type="spellStart"/>
      <w:r>
        <w:t>Dziedzic</w:t>
      </w:r>
      <w:proofErr w:type="spellEnd"/>
      <w:r>
        <w:t xml:space="preserve">, J.W., </w:t>
      </w:r>
      <w:proofErr w:type="spellStart"/>
      <w:r>
        <w:t>Fajilla</w:t>
      </w:r>
      <w:proofErr w:type="spellEnd"/>
      <w:r>
        <w:t xml:space="preserve">, G., </w:t>
      </w:r>
      <w:proofErr w:type="spellStart"/>
      <w:r>
        <w:t>Favero</w:t>
      </w:r>
      <w:proofErr w:type="spellEnd"/>
      <w:r>
        <w:t xml:space="preserve">, M., </w:t>
      </w:r>
      <w:proofErr w:type="spellStart"/>
      <w:r>
        <w:t>Ferrando</w:t>
      </w:r>
      <w:proofErr w:type="spellEnd"/>
      <w:r>
        <w:t xml:space="preserve">, M., Hahn, J., Han, M., Peng, Y., Salim, F., Schlüter, A., van </w:t>
      </w:r>
      <w:proofErr w:type="spellStart"/>
      <w:r>
        <w:t>Treeck</w:t>
      </w:r>
      <w:proofErr w:type="spellEnd"/>
      <w:r>
        <w:t>, C., 2020. Modelling occupant behaviour in buildings. Build. Environ. 174, 106768. https://doi.org/10.1016/j.buildenv.2020.106768</w:t>
      </w:r>
    </w:p>
    <w:p w14:paraId="7B045FE6" w14:textId="77777777" w:rsidR="00FE5ADA" w:rsidRDefault="3C62CFC2" w:rsidP="00FE5ADA">
      <w:pPr>
        <w:pStyle w:val="ASAReference"/>
      </w:pPr>
      <w:r>
        <w:t>CIBSE LG</w:t>
      </w:r>
      <w:proofErr w:type="gramStart"/>
      <w:r>
        <w:t>05 .</w:t>
      </w:r>
      <w:proofErr w:type="gramEnd"/>
      <w:r>
        <w:t xml:space="preserve"> (2011). Lighting for education. London: CIBSE.</w:t>
      </w:r>
    </w:p>
    <w:p w14:paraId="71DFE6C0" w14:textId="77777777" w:rsidR="00FE5ADA" w:rsidRDefault="3C62CFC2" w:rsidP="00FE5ADA">
      <w:pPr>
        <w:pStyle w:val="ASAReference"/>
      </w:pPr>
      <w:r>
        <w:t>CIBSE TM52. (2013). The limits of thermal comfort: avoiding overheating in European buildings. London: CIBSE.</w:t>
      </w:r>
    </w:p>
    <w:p w14:paraId="35A438AE" w14:textId="77777777" w:rsidR="00FE5ADA" w:rsidRDefault="3C62CFC2" w:rsidP="00FE5ADA">
      <w:pPr>
        <w:pStyle w:val="ASAReference"/>
      </w:pPr>
      <w:r>
        <w:t xml:space="preserve">Felstead, A., </w:t>
      </w:r>
      <w:proofErr w:type="spellStart"/>
      <w:r>
        <w:t>Reuschke</w:t>
      </w:r>
      <w:proofErr w:type="spellEnd"/>
      <w:r>
        <w:t>, D., 2020. HOMEWORKING IN THE UK: BEFORE AND DURING THE 2020 LOCKDOWN. https://doi.org/10.13140/RG.2.2.10546.63687</w:t>
      </w:r>
    </w:p>
    <w:p w14:paraId="781F3875" w14:textId="77777777" w:rsidR="00FE5ADA" w:rsidRDefault="3C62CFC2" w:rsidP="00FE5ADA">
      <w:pPr>
        <w:pStyle w:val="ASAReference"/>
      </w:pPr>
      <w:proofErr w:type="spellStart"/>
      <w:r>
        <w:t>Franceschini</w:t>
      </w:r>
      <w:proofErr w:type="spellEnd"/>
      <w:r>
        <w:t>, P.B., Neves, L.O., 2022. A critical review on occupant behaviour modelling for building performance simulation of naturally ventilated school buildings and potential changes due to the COVID-19 pandemic. Energy Build. 258, 111831. https://doi.org/10.1016/j.enbuild.2022.111831</w:t>
      </w:r>
    </w:p>
    <w:p w14:paraId="60C5EB1F" w14:textId="77777777" w:rsidR="00FE5ADA" w:rsidRDefault="3C62CFC2" w:rsidP="00FE5ADA">
      <w:pPr>
        <w:pStyle w:val="ASAReference"/>
      </w:pPr>
      <w:proofErr w:type="spellStart"/>
      <w:r>
        <w:t>Gui</w:t>
      </w:r>
      <w:proofErr w:type="spellEnd"/>
      <w:r>
        <w:t>, X., Gou, Z., Zhang, F., Yu, R., 2021. The impact of COVID-19 on higher education building energy use and implications for future education building energy studies. Energy Build. 251, 111346. https://doi.org/10.1016/j.enbuild.2021.111346</w:t>
      </w:r>
    </w:p>
    <w:p w14:paraId="23D9DF9A" w14:textId="77777777" w:rsidR="00FE5ADA" w:rsidRDefault="3C62CFC2" w:rsidP="00FE5ADA">
      <w:pPr>
        <w:pStyle w:val="ASAReference"/>
      </w:pPr>
      <w:proofErr w:type="spellStart"/>
      <w:r>
        <w:t>Jowkar</w:t>
      </w:r>
      <w:proofErr w:type="spellEnd"/>
      <w:r>
        <w:t xml:space="preserve">, M., </w:t>
      </w:r>
      <w:proofErr w:type="spellStart"/>
      <w:r>
        <w:t>Rijal</w:t>
      </w:r>
      <w:proofErr w:type="spellEnd"/>
      <w:r>
        <w:t xml:space="preserve">, H.B., </w:t>
      </w:r>
      <w:proofErr w:type="spellStart"/>
      <w:r>
        <w:t>Brusey</w:t>
      </w:r>
      <w:proofErr w:type="spellEnd"/>
      <w:r>
        <w:t xml:space="preserve">, J., </w:t>
      </w:r>
      <w:proofErr w:type="spellStart"/>
      <w:r>
        <w:t>Montazami</w:t>
      </w:r>
      <w:proofErr w:type="spellEnd"/>
      <w:r>
        <w:t>, A., Carlucci, S., Lansdown, T.C., 2020. Comfort temperature and preferred adaptive behaviour in various classroom types in the UK higher learning environments. Energy Build. 211, 109814. https://doi.org/10.1016/j.enbuild.2020.109814</w:t>
      </w:r>
    </w:p>
    <w:p w14:paraId="7863DA87" w14:textId="77777777" w:rsidR="00FE5ADA" w:rsidRDefault="3C62CFC2" w:rsidP="00FE5ADA">
      <w:pPr>
        <w:pStyle w:val="ASAReference"/>
      </w:pPr>
      <w:r>
        <w:t xml:space="preserve">Lawrence, R., </w:t>
      </w:r>
      <w:proofErr w:type="spellStart"/>
      <w:r>
        <w:t>Keime</w:t>
      </w:r>
      <w:proofErr w:type="spellEnd"/>
      <w:r>
        <w:t xml:space="preserve">, C., 2016. Bridging the gap between energy and comfort: </w:t>
      </w:r>
      <w:proofErr w:type="gramStart"/>
      <w:r>
        <w:t>Post-occupancy</w:t>
      </w:r>
      <w:proofErr w:type="gramEnd"/>
      <w:r>
        <w:t xml:space="preserve"> evaluation of two higher-education buildings in Sheffield. Energy Build. 130, 651–666. https://doi.org/10.1016/j.enbuild.2016.09.001</w:t>
      </w:r>
    </w:p>
    <w:p w14:paraId="29C3671A" w14:textId="05AB3069" w:rsidR="00FE5ADA" w:rsidRDefault="3C62CFC2" w:rsidP="00FE5ADA">
      <w:pPr>
        <w:pStyle w:val="ASAReference"/>
      </w:pPr>
      <w:r>
        <w:t xml:space="preserve">Myerson, J., </w:t>
      </w:r>
      <w:proofErr w:type="spellStart"/>
      <w:r>
        <w:t>Bichard</w:t>
      </w:r>
      <w:proofErr w:type="spellEnd"/>
      <w:r>
        <w:t xml:space="preserve">, J.-A., </w:t>
      </w:r>
      <w:proofErr w:type="spellStart"/>
      <w:r>
        <w:t>Erlich</w:t>
      </w:r>
      <w:proofErr w:type="spellEnd"/>
      <w:r>
        <w:t xml:space="preserve">, A., 2010. New Demographics, New Workspace: Office Design for the Changing Workforce. </w:t>
      </w:r>
      <w:hyperlink r:id="rId20" w:history="1">
        <w:r w:rsidR="00BF545B" w:rsidRPr="00592754">
          <w:rPr>
            <w:rStyle w:val="Hyperlink"/>
          </w:rPr>
          <w:t>https://doi.org/10.4324/9781315597928</w:t>
        </w:r>
      </w:hyperlink>
    </w:p>
    <w:p w14:paraId="265EEFA8" w14:textId="2E3C3C6C" w:rsidR="00BF545B" w:rsidRDefault="00BF545B" w:rsidP="00FE5ADA">
      <w:pPr>
        <w:pStyle w:val="ASAReference"/>
      </w:pPr>
      <w:r>
        <w:t xml:space="preserve">NVivo, 2022. [Online] Available at:  </w:t>
      </w:r>
      <w:hyperlink r:id="rId21" w:history="1">
        <w:r w:rsidRPr="00BF545B">
          <w:rPr>
            <w:rStyle w:val="Hyperlink"/>
            <w:lang w:val="en-US"/>
          </w:rPr>
          <w:t>Statistical Analysis Software for Mac and Windows | JMP</w:t>
        </w:r>
      </w:hyperlink>
    </w:p>
    <w:p w14:paraId="4857263D" w14:textId="77777777" w:rsidR="00FE5ADA" w:rsidRDefault="3C62CFC2" w:rsidP="00FE5ADA">
      <w:pPr>
        <w:pStyle w:val="ASAReference"/>
      </w:pPr>
      <w:r>
        <w:t>Ricciardi, P., Buratti, C., 2018. Environmental quality of university classrooms: Subjective and objective evaluation of the thermal, acoustic, and lighting comfort conditions. Build. Environ. 127, 23–36. https://doi.org/10.1016/j.buildenv.2017.10.030</w:t>
      </w:r>
    </w:p>
    <w:p w14:paraId="33194F18" w14:textId="7955589F" w:rsidR="00101122" w:rsidRDefault="3C62CFC2" w:rsidP="00F7632C">
      <w:pPr>
        <w:pStyle w:val="ASAReference"/>
      </w:pPr>
      <w:r>
        <w:t xml:space="preserve">Shi, X., Si, B., Zhao, J., Tian, Z., Wang, C., </w:t>
      </w:r>
      <w:proofErr w:type="spellStart"/>
      <w:r>
        <w:t>Jin</w:t>
      </w:r>
      <w:proofErr w:type="spellEnd"/>
      <w:r>
        <w:t xml:space="preserve">, X., Zhou, X., 2019. Magnitude, Causes, and Solutions of the Performance Gap of Buildings: A Review. Sustainability 11. </w:t>
      </w:r>
      <w:hyperlink r:id="rId22" w:history="1">
        <w:r w:rsidR="006910B8" w:rsidRPr="00592754">
          <w:rPr>
            <w:rStyle w:val="Hyperlink"/>
          </w:rPr>
          <w:t>https://doi.org/10.3390/su11030937</w:t>
        </w:r>
      </w:hyperlink>
    </w:p>
    <w:p w14:paraId="5A2799B6" w14:textId="77777777" w:rsidR="008830B4" w:rsidRDefault="008830B4" w:rsidP="008830B4">
      <w:pPr>
        <w:pStyle w:val="ASAReference"/>
        <w:ind w:left="0" w:firstLine="0"/>
        <w:sectPr w:rsidR="008830B4" w:rsidSect="00BC079A">
          <w:headerReference w:type="even" r:id="rId23"/>
          <w:headerReference w:type="default" r:id="rId24"/>
          <w:footerReference w:type="default" r:id="rId25"/>
          <w:footerReference w:type="first" r:id="rId26"/>
          <w:pgSz w:w="11340" w:h="13608" w:code="9"/>
          <w:pgMar w:top="1134" w:right="1134" w:bottom="1134" w:left="1701" w:header="709" w:footer="0" w:gutter="0"/>
          <w:cols w:space="720"/>
          <w:titlePg/>
          <w:docGrid w:linePitch="326"/>
        </w:sectPr>
      </w:pPr>
    </w:p>
    <w:p w14:paraId="3C40D0E8" w14:textId="5975AFF6" w:rsidR="00101122" w:rsidRDefault="00101122" w:rsidP="00921F43">
      <w:pPr>
        <w:pStyle w:val="ASAReference"/>
        <w:ind w:left="0" w:firstLine="0"/>
        <w:rPr>
          <w:b/>
          <w:bCs/>
        </w:rPr>
      </w:pPr>
    </w:p>
    <w:sectPr w:rsidR="00101122" w:rsidSect="008830B4">
      <w:type w:val="continuous"/>
      <w:pgSz w:w="11340" w:h="13608" w:code="9"/>
      <w:pgMar w:top="1134" w:right="1134" w:bottom="1134" w:left="1701" w:header="709"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8C352" w14:textId="77777777" w:rsidR="00CC55FF" w:rsidRDefault="00CC55FF" w:rsidP="00E42F82">
      <w:r>
        <w:separator/>
      </w:r>
    </w:p>
  </w:endnote>
  <w:endnote w:type="continuationSeparator" w:id="0">
    <w:p w14:paraId="4FD0CE90" w14:textId="77777777" w:rsidR="00CC55FF" w:rsidRDefault="00CC55FF" w:rsidP="00E42F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97F32" w14:textId="77777777" w:rsidR="005F3CDD" w:rsidRDefault="005F3CDD" w:rsidP="00254B02">
    <w:pPr>
      <w:pStyle w:val="Footer"/>
      <w:spacing w:after="0"/>
      <w:ind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8755F" w14:textId="2C9F4B78" w:rsidR="005F3CDD" w:rsidRPr="00760547" w:rsidRDefault="005F3CDD" w:rsidP="0041191A">
    <w:pPr>
      <w:pStyle w:val="ASACitation"/>
      <w:spacing w:before="360"/>
      <w:ind w:left="567" w:right="567"/>
      <w:rPr>
        <w:szCs w:val="18"/>
      </w:rPr>
    </w:pPr>
    <w:r w:rsidRPr="003A02C2">
      <w:rPr>
        <w:rStyle w:val="ASAPublicationtitle"/>
        <w:szCs w:val="18"/>
      </w:rPr>
      <w:t>Architectural Science and User Experience: How can Design Enhance the Quality of Life: 55th International Conference of the Architectural Science Association 2022</w:t>
    </w:r>
    <w:r w:rsidRPr="004D31FC">
      <w:rPr>
        <w:szCs w:val="18"/>
      </w:rPr>
      <w:t>,</w:t>
    </w:r>
    <w:r w:rsidRPr="003A02C2">
      <w:rPr>
        <w:rStyle w:val="ASAPublicationtitle"/>
        <w:szCs w:val="18"/>
      </w:rPr>
      <w:t xml:space="preserve"> P. </w:t>
    </w:r>
    <w:proofErr w:type="spellStart"/>
    <w:r w:rsidRPr="003A02C2">
      <w:rPr>
        <w:rStyle w:val="ASAPublicationtitle"/>
        <w:szCs w:val="18"/>
      </w:rPr>
      <w:t>Izadpanahi</w:t>
    </w:r>
    <w:proofErr w:type="spellEnd"/>
    <w:r w:rsidRPr="003A02C2">
      <w:rPr>
        <w:rStyle w:val="ASAPublicationtitle"/>
        <w:szCs w:val="18"/>
      </w:rPr>
      <w:t xml:space="preserve"> and T. </w:t>
    </w:r>
    <w:proofErr w:type="spellStart"/>
    <w:r w:rsidRPr="003A02C2">
      <w:rPr>
        <w:rStyle w:val="ASAPublicationtitle"/>
        <w:szCs w:val="18"/>
      </w:rPr>
      <w:t>Glusac</w:t>
    </w:r>
    <w:proofErr w:type="spellEnd"/>
    <w:r w:rsidRPr="003A02C2">
      <w:rPr>
        <w:rStyle w:val="ASAPublicationtitle"/>
        <w:szCs w:val="18"/>
      </w:rPr>
      <w:t xml:space="preserve"> (eds.), </w:t>
    </w:r>
    <w:r w:rsidRPr="004D31FC">
      <w:rPr>
        <w:szCs w:val="18"/>
      </w:rPr>
      <w:t xml:space="preserve"> pp. </w:t>
    </w:r>
    <w:r>
      <w:rPr>
        <w:szCs w:val="18"/>
      </w:rPr>
      <w:fldChar w:fldCharType="begin"/>
    </w:r>
    <w:r>
      <w:rPr>
        <w:szCs w:val="18"/>
      </w:rPr>
      <w:instrText xml:space="preserve"> PAGE   \* MERGEFORMAT </w:instrText>
    </w:r>
    <w:r>
      <w:rPr>
        <w:szCs w:val="18"/>
      </w:rPr>
      <w:fldChar w:fldCharType="separate"/>
    </w:r>
    <w:r>
      <w:rPr>
        <w:noProof/>
        <w:szCs w:val="18"/>
      </w:rPr>
      <w:t>1</w:t>
    </w:r>
    <w:r>
      <w:rPr>
        <w:szCs w:val="18"/>
      </w:rPr>
      <w:fldChar w:fldCharType="end"/>
    </w:r>
    <w:r w:rsidRPr="004D31FC">
      <w:rPr>
        <w:szCs w:val="18"/>
      </w:rPr>
      <w:t>–</w:t>
    </w:r>
    <w:r w:rsidRPr="00EE1C15">
      <w:rPr>
        <w:szCs w:val="18"/>
      </w:rPr>
      <w:fldChar w:fldCharType="begin"/>
    </w:r>
    <w:r w:rsidRPr="00EE1C15">
      <w:rPr>
        <w:szCs w:val="18"/>
      </w:rPr>
      <w:instrText>=</w:instrText>
    </w:r>
    <w:r w:rsidRPr="00EE1C15">
      <w:rPr>
        <w:szCs w:val="18"/>
      </w:rPr>
      <w:fldChar w:fldCharType="begin"/>
    </w:r>
    <w:r w:rsidRPr="00EE1C15">
      <w:rPr>
        <w:szCs w:val="18"/>
      </w:rPr>
      <w:instrText xml:space="preserve">SECTIONPAGES </w:instrText>
    </w:r>
    <w:r w:rsidRPr="00EE1C15">
      <w:rPr>
        <w:szCs w:val="18"/>
      </w:rPr>
      <w:fldChar w:fldCharType="separate"/>
    </w:r>
    <w:r w:rsidR="00BB7683">
      <w:rPr>
        <w:noProof/>
        <w:szCs w:val="18"/>
      </w:rPr>
      <w:instrText>10</w:instrText>
    </w:r>
    <w:r w:rsidRPr="00EE1C15">
      <w:rPr>
        <w:szCs w:val="18"/>
      </w:rPr>
      <w:fldChar w:fldCharType="end"/>
    </w:r>
    <w:r w:rsidRPr="00EE1C15">
      <w:rPr>
        <w:szCs w:val="18"/>
      </w:rPr>
      <w:instrText>+</w:instrText>
    </w:r>
    <w:r w:rsidRPr="00EE1C15">
      <w:rPr>
        <w:szCs w:val="18"/>
      </w:rPr>
      <w:fldChar w:fldCharType="begin"/>
    </w:r>
    <w:r w:rsidRPr="00EE1C15">
      <w:rPr>
        <w:szCs w:val="18"/>
      </w:rPr>
      <w:instrText xml:space="preserve"> PAGE </w:instrText>
    </w:r>
    <w:r w:rsidRPr="00EE1C15">
      <w:rPr>
        <w:szCs w:val="18"/>
      </w:rPr>
      <w:fldChar w:fldCharType="separate"/>
    </w:r>
    <w:r w:rsidR="00BB7683">
      <w:rPr>
        <w:noProof/>
        <w:szCs w:val="18"/>
      </w:rPr>
      <w:instrText>1</w:instrText>
    </w:r>
    <w:r w:rsidRPr="00EE1C15">
      <w:rPr>
        <w:szCs w:val="18"/>
      </w:rPr>
      <w:fldChar w:fldCharType="end"/>
    </w:r>
    <w:r w:rsidRPr="00EE1C15">
      <w:rPr>
        <w:szCs w:val="18"/>
      </w:rPr>
      <w:instrText xml:space="preserve">-1 \# "0" \* Arabic  \* MERGEFORMAT </w:instrText>
    </w:r>
    <w:r w:rsidRPr="00EE1C15">
      <w:rPr>
        <w:szCs w:val="18"/>
      </w:rPr>
      <w:fldChar w:fldCharType="separate"/>
    </w:r>
    <w:r w:rsidR="00BB7683">
      <w:rPr>
        <w:noProof/>
        <w:szCs w:val="18"/>
      </w:rPr>
      <w:t>10</w:t>
    </w:r>
    <w:r w:rsidRPr="00EE1C15">
      <w:rPr>
        <w:szCs w:val="18"/>
      </w:rPr>
      <w:fldChar w:fldCharType="end"/>
    </w:r>
    <w:r>
      <w:rPr>
        <w:szCs w:val="18"/>
      </w:rPr>
      <w:t>. © 2</w:t>
    </w:r>
    <w:r w:rsidRPr="004D31FC">
      <w:rPr>
        <w:szCs w:val="18"/>
      </w:rPr>
      <w:t>0</w:t>
    </w:r>
    <w:r>
      <w:rPr>
        <w:szCs w:val="18"/>
      </w:rPr>
      <w:t xml:space="preserve">22 </w:t>
    </w:r>
    <w:r w:rsidRPr="00760547">
      <w:rPr>
        <w:szCs w:val="18"/>
      </w:rPr>
      <w:t>and published</w:t>
    </w:r>
    <w:r>
      <w:rPr>
        <w:szCs w:val="18"/>
      </w:rPr>
      <w:t xml:space="preserve"> by t</w:t>
    </w:r>
    <w:r w:rsidRPr="004D31FC">
      <w:rPr>
        <w:szCs w:val="18"/>
      </w:rPr>
      <w:t>he Architectural Science Association</w:t>
    </w:r>
    <w:r>
      <w:rPr>
        <w:szCs w:val="18"/>
      </w:rPr>
      <w:t xml:space="preserve"> (</w:t>
    </w:r>
    <w:proofErr w:type="spellStart"/>
    <w:r>
      <w:rPr>
        <w:szCs w:val="18"/>
      </w:rPr>
      <w:t>ANZAScA</w:t>
    </w:r>
    <w:proofErr w:type="spellEnd"/>
    <w:r>
      <w:rPr>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9FE940" w14:textId="77777777" w:rsidR="00CC55FF" w:rsidRDefault="00CC55FF" w:rsidP="00E42F82">
      <w:r>
        <w:separator/>
      </w:r>
    </w:p>
  </w:footnote>
  <w:footnote w:type="continuationSeparator" w:id="0">
    <w:p w14:paraId="594AC29A" w14:textId="77777777" w:rsidR="00CC55FF" w:rsidRDefault="00CC55FF" w:rsidP="00E42F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3A70A" w14:textId="77777777" w:rsidR="005F3CDD" w:rsidRPr="00101122" w:rsidRDefault="005F3CDD" w:rsidP="00625B44">
    <w:pPr>
      <w:pStyle w:val="ASAHeadereven"/>
    </w:pPr>
    <w:r w:rsidRPr="00311377">
      <w:rPr>
        <w:b/>
        <w:bCs/>
      </w:rPr>
      <w:fldChar w:fldCharType="begin"/>
    </w:r>
    <w:r w:rsidRPr="00311377">
      <w:rPr>
        <w:b/>
        <w:bCs/>
      </w:rPr>
      <w:instrText xml:space="preserve"> PAGE   \* MERGEFORMAT </w:instrText>
    </w:r>
    <w:r w:rsidRPr="00311377">
      <w:rPr>
        <w:b/>
        <w:bCs/>
      </w:rPr>
      <w:fldChar w:fldCharType="separate"/>
    </w:r>
    <w:r>
      <w:rPr>
        <w:b/>
        <w:bCs/>
        <w:noProof/>
      </w:rPr>
      <w:t>2</w:t>
    </w:r>
    <w:r w:rsidRPr="00311377">
      <w:rPr>
        <w:b/>
        <w:bCs/>
      </w:rPr>
      <w:fldChar w:fldCharType="end"/>
    </w:r>
    <w:r>
      <w:tab/>
    </w:r>
    <w:r w:rsidR="00AA546B">
      <w:t>O. Duran and J. Zhao</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8F8B3" w14:textId="4CF6C7BD" w:rsidR="005F3CDD" w:rsidRPr="00625B44" w:rsidRDefault="009729AC" w:rsidP="00625B44">
    <w:pPr>
      <w:pStyle w:val="ASAHeaderodd"/>
    </w:pPr>
    <w:r w:rsidRPr="00625B44">
      <w:rPr>
        <w:noProof/>
      </w:rPr>
      <mc:AlternateContent>
        <mc:Choice Requires="wps">
          <w:drawing>
            <wp:anchor distT="0" distB="0" distL="114300" distR="114300" simplePos="0" relativeHeight="251657728" behindDoc="0" locked="0" layoutInCell="1" allowOverlap="1" wp14:anchorId="0BAD0F15" wp14:editId="36E404D6">
              <wp:simplePos x="0" y="0"/>
              <wp:positionH relativeFrom="column">
                <wp:posOffset>-110317</wp:posOffset>
              </wp:positionH>
              <wp:positionV relativeFrom="paragraph">
                <wp:posOffset>-41275</wp:posOffset>
              </wp:positionV>
              <wp:extent cx="5245562" cy="405765"/>
              <wp:effectExtent l="0" t="0" r="1270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5562" cy="405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2856E6" w14:textId="22AD4254" w:rsidR="005F3CDD" w:rsidRPr="00EC006E" w:rsidRDefault="00F7632C" w:rsidP="0057061B">
                          <w:pPr>
                            <w:jc w:val="right"/>
                            <w:rPr>
                              <w:sz w:val="18"/>
                            </w:rPr>
                          </w:pPr>
                          <w:r w:rsidRPr="00F7632C">
                            <w:rPr>
                              <w:sz w:val="18"/>
                            </w:rPr>
                            <w:t>Post-Pandemic Study Spaces: Post Occupancy Evaluation of BREEAM Excellence Rated University Building</w:t>
                          </w:r>
                        </w:p>
                      </w:txbxContent>
                    </wps:txbx>
                    <wps:bodyPr rot="0" vert="horz" wrap="square" lIns="0" tIns="45720" rIns="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BAD0F15" id="_x0000_t202" coordsize="21600,21600" o:spt="202" path="m,l,21600r21600,l21600,xe">
              <v:stroke joinstyle="miter"/>
              <v:path gradientshapeok="t" o:connecttype="rect"/>
            </v:shapetype>
            <v:shape id="Text Box 2" o:spid="_x0000_s1026" type="#_x0000_t202" style="position:absolute;left:0;text-align:left;margin-left:-8.7pt;margin-top:-3.25pt;width:413.05pt;height:31.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" filled="f" stroked="f">
              <v:textbox inset="0,,0">
                <w:txbxContent>
                  <w:p w14:paraId="092856E6" w14:textId="22AD4254" w:rsidR="005F3CDD" w:rsidRPr="00EC006E" w:rsidRDefault="00F7632C" w:rsidP="0057061B">
                    <w:pPr>
                      <w:jc w:val="right"/>
                      <w:rPr>
                        <w:sz w:val="18"/>
                      </w:rPr>
                    </w:pPr>
                    <w:r w:rsidRPr="00F7632C">
                      <w:rPr>
                        <w:sz w:val="18"/>
                      </w:rPr>
                      <w:t>Post-Pandemic Study Spaces: Post Occupancy Evaluation of BREEAM Excellence Rated University Building</w:t>
                    </w:r>
                  </w:p>
                </w:txbxContent>
              </v:textbox>
            </v:shape>
          </w:pict>
        </mc:Fallback>
      </mc:AlternateContent>
    </w:r>
    <w:r w:rsidR="005F3CDD" w:rsidRPr="00625B44">
      <w:fldChar w:fldCharType="begin"/>
    </w:r>
    <w:r w:rsidR="005F3CDD" w:rsidRPr="00625B44">
      <w:instrText xml:space="preserve"> PAGE   \* MERGEFORMAT </w:instrText>
    </w:r>
    <w:r w:rsidR="005F3CDD" w:rsidRPr="00625B44">
      <w:fldChar w:fldCharType="separate"/>
    </w:r>
    <w:r w:rsidR="005F3CDD">
      <w:rPr>
        <w:noProof/>
      </w:rPr>
      <w:t>7</w:t>
    </w:r>
    <w:r w:rsidR="005F3CDD" w:rsidRPr="00625B44">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70C416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06F0730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FCCA5B2C"/>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B290ED2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59C8D054"/>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408206A8"/>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EA2693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0E74DC70"/>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418E763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D0746A74"/>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1C0A301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2F2B93"/>
    <w:multiLevelType w:val="hybridMultilevel"/>
    <w:tmpl w:val="3E94291A"/>
    <w:lvl w:ilvl="0" w:tplc="A058BD7E">
      <w:start w:val="1"/>
      <w:numFmt w:val="bullet"/>
      <w:pStyle w:val="ASAListbullet"/>
      <w:lvlText w:val=""/>
      <w:lvlJc w:val="left"/>
      <w:pPr>
        <w:ind w:left="653" w:hanging="360"/>
      </w:pPr>
      <w:rPr>
        <w:rFonts w:ascii="Wingdings" w:hAnsi="Wingdings"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22A2A54"/>
    <w:multiLevelType w:val="multilevel"/>
    <w:tmpl w:val="68DAE7AE"/>
    <w:lvl w:ilvl="0">
      <w:start w:val="1"/>
      <w:numFmt w:val="bullet"/>
      <w:lvlText w:val=""/>
      <w:lvlJc w:val="left"/>
      <w:pPr>
        <w:tabs>
          <w:tab w:val="num" w:pos="284"/>
        </w:tabs>
        <w:ind w:left="567" w:hanging="283"/>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F101150"/>
    <w:multiLevelType w:val="hybridMultilevel"/>
    <w:tmpl w:val="AEEE6DB4"/>
    <w:lvl w:ilvl="0" w:tplc="19E4B26A">
      <w:start w:val="1"/>
      <w:numFmt w:val="decimal"/>
      <w:lvlText w:val="%1."/>
      <w:lvlJc w:val="left"/>
      <w:pPr>
        <w:tabs>
          <w:tab w:val="num" w:pos="284"/>
        </w:tabs>
        <w:ind w:left="567" w:hanging="279"/>
      </w:pPr>
      <w:rPr>
        <w:rFonts w:ascii="Times New Roman" w:hAnsi="Times New Roman" w:hint="default"/>
        <w:b w:val="0"/>
        <w:i w:val="0"/>
        <w:color w:val="auto"/>
        <w:sz w:val="2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6C4321"/>
    <w:multiLevelType w:val="hybridMultilevel"/>
    <w:tmpl w:val="58CCFBEE"/>
    <w:lvl w:ilvl="0" w:tplc="B2C26100">
      <w:start w:val="1"/>
      <w:numFmt w:val="decimal"/>
      <w:lvlText w:val="%1."/>
      <w:lvlJc w:val="left"/>
      <w:pPr>
        <w:tabs>
          <w:tab w:val="num" w:pos="284"/>
        </w:tabs>
        <w:ind w:left="567" w:hanging="279"/>
      </w:pPr>
      <w:rPr>
        <w:rFonts w:ascii="Times New Roman" w:hAnsi="Times New Roman" w:hint="default"/>
        <w:b w:val="0"/>
        <w:i w:val="0"/>
        <w:color w:val="auto"/>
        <w:sz w:val="2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7972C93"/>
    <w:multiLevelType w:val="multilevel"/>
    <w:tmpl w:val="81200DEA"/>
    <w:lvl w:ilvl="0">
      <w:start w:val="2"/>
      <w:numFmt w:val="decimal"/>
      <w:lvlText w:val="%1."/>
      <w:lvlJc w:val="left"/>
      <w:pPr>
        <w:tabs>
          <w:tab w:val="num" w:pos="284"/>
        </w:tabs>
        <w:ind w:left="567" w:hanging="279"/>
      </w:pPr>
      <w:rPr>
        <w:rFonts w:ascii="Times New Roman" w:hAnsi="Times New Roman" w:hint="default"/>
        <w:b w:val="0"/>
        <w:i w:val="0"/>
        <w:color w:val="auto"/>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883160B"/>
    <w:multiLevelType w:val="multilevel"/>
    <w:tmpl w:val="F9A4BCBA"/>
    <w:lvl w:ilvl="0">
      <w:start w:val="1"/>
      <w:numFmt w:val="decimal"/>
      <w:lvlText w:val="%1."/>
      <w:lvlJc w:val="left"/>
      <w:pPr>
        <w:tabs>
          <w:tab w:val="num" w:pos="284"/>
        </w:tabs>
        <w:ind w:left="567" w:hanging="279"/>
      </w:pPr>
      <w:rPr>
        <w:rFonts w:hint="default"/>
        <w:b w:val="0"/>
        <w:i w:val="0"/>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8F23D4F"/>
    <w:multiLevelType w:val="hybridMultilevel"/>
    <w:tmpl w:val="5F92D73C"/>
    <w:lvl w:ilvl="0" w:tplc="00010409">
      <w:start w:val="1"/>
      <w:numFmt w:val="bullet"/>
      <w:lvlText w:val=""/>
      <w:lvlJc w:val="left"/>
      <w:pPr>
        <w:tabs>
          <w:tab w:val="num" w:pos="360"/>
        </w:tabs>
        <w:ind w:left="360" w:hanging="360"/>
      </w:pPr>
      <w:rPr>
        <w:rFonts w:ascii="Symbol" w:hAnsi="Symbol" w:hint="default"/>
      </w:rPr>
    </w:lvl>
    <w:lvl w:ilvl="1" w:tplc="00030409" w:tentative="1">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1C4B1488"/>
    <w:multiLevelType w:val="multilevel"/>
    <w:tmpl w:val="B384426A"/>
    <w:lvl w:ilvl="0">
      <w:start w:val="1"/>
      <w:numFmt w:val="decimal"/>
      <w:lvlText w:val="%1."/>
      <w:lvlJc w:val="left"/>
      <w:pPr>
        <w:tabs>
          <w:tab w:val="num" w:pos="284"/>
        </w:tabs>
        <w:ind w:left="567" w:hanging="279"/>
      </w:pPr>
      <w:rPr>
        <w:rFonts w:ascii="Times New Roman" w:hAnsi="Times New Roman" w:hint="default"/>
        <w:b w:val="0"/>
        <w:i w:val="0"/>
        <w:color w:val="auto"/>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06D283E"/>
    <w:multiLevelType w:val="multilevel"/>
    <w:tmpl w:val="CE5E77BA"/>
    <w:lvl w:ilvl="0">
      <w:start w:val="1"/>
      <w:numFmt w:val="decimal"/>
      <w:lvlText w:val="%1."/>
      <w:lvlJc w:val="left"/>
      <w:pPr>
        <w:tabs>
          <w:tab w:val="num" w:pos="284"/>
        </w:tabs>
        <w:ind w:left="567" w:hanging="279"/>
      </w:pPr>
      <w:rPr>
        <w:rFont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59191A"/>
    <w:multiLevelType w:val="multilevel"/>
    <w:tmpl w:val="AC5A89CE"/>
    <w:lvl w:ilvl="0">
      <w:start w:val="1"/>
      <w:numFmt w:val="decimal"/>
      <w:lvlText w:val="%1."/>
      <w:lvlJc w:val="left"/>
      <w:pPr>
        <w:tabs>
          <w:tab w:val="num" w:pos="644"/>
        </w:tabs>
        <w:ind w:left="644" w:hanging="360"/>
      </w:pPr>
      <w:rPr>
        <w:rFonts w:hint="default"/>
        <w:b w:val="0"/>
        <w:i w:val="0"/>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E3F6988"/>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353C0596"/>
    <w:multiLevelType w:val="multilevel"/>
    <w:tmpl w:val="BD2A78EC"/>
    <w:lvl w:ilvl="0">
      <w:start w:val="2"/>
      <w:numFmt w:val="decimal"/>
      <w:lvlText w:val="%1."/>
      <w:lvlJc w:val="left"/>
      <w:pPr>
        <w:tabs>
          <w:tab w:val="num" w:pos="284"/>
        </w:tabs>
        <w:ind w:left="567" w:hanging="279"/>
      </w:pPr>
      <w:rPr>
        <w:rFonts w:hint="default"/>
        <w:b w:val="0"/>
        <w:i w:val="0"/>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84E517A"/>
    <w:multiLevelType w:val="hybridMultilevel"/>
    <w:tmpl w:val="BB1A5F8E"/>
    <w:lvl w:ilvl="0" w:tplc="2B0CC0D8">
      <w:start w:val="1"/>
      <w:numFmt w:val="bullet"/>
      <w:pStyle w:val="ASAListbulletfirst"/>
      <w:lvlText w:val=""/>
      <w:lvlJc w:val="left"/>
      <w:pPr>
        <w:ind w:left="653" w:hanging="360"/>
      </w:pPr>
      <w:rPr>
        <w:rFonts w:ascii="Wingdings" w:hAnsi="Wingdings" w:hint="default"/>
        <w:color w:val="auto"/>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93E4F86"/>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40AB1E46"/>
    <w:multiLevelType w:val="multilevel"/>
    <w:tmpl w:val="ADD65AAA"/>
    <w:lvl w:ilvl="0">
      <w:start w:val="1"/>
      <w:numFmt w:val="decimal"/>
      <w:lvlText w:val="%1."/>
      <w:lvlJc w:val="left"/>
      <w:pPr>
        <w:tabs>
          <w:tab w:val="num" w:pos="284"/>
        </w:tabs>
        <w:ind w:left="567" w:hanging="279"/>
      </w:pPr>
      <w:rPr>
        <w:rFonts w:ascii="Times New Roman" w:hAnsi="Times New Roman" w:hint="default"/>
        <w:b w:val="0"/>
        <w:i w:val="0"/>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49F4902"/>
    <w:multiLevelType w:val="multilevel"/>
    <w:tmpl w:val="F6AAA1C0"/>
    <w:lvl w:ilvl="0">
      <w:numFmt w:val="decimal"/>
      <w:lvlText w:val="%1."/>
      <w:lvlJc w:val="left"/>
      <w:pPr>
        <w:tabs>
          <w:tab w:val="num" w:pos="284"/>
        </w:tabs>
        <w:ind w:left="567" w:hanging="279"/>
      </w:pPr>
      <w:rPr>
        <w:rFonts w:ascii="Times New Roman" w:hAnsi="Times New Roman" w:hint="default"/>
        <w:b w:val="0"/>
        <w:i w:val="0"/>
        <w:color w:val="auto"/>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6BB300D"/>
    <w:multiLevelType w:val="multilevel"/>
    <w:tmpl w:val="A9E42C9C"/>
    <w:lvl w:ilvl="0">
      <w:start w:val="2"/>
      <w:numFmt w:val="decimal"/>
      <w:lvlText w:val="%1."/>
      <w:lvlJc w:val="left"/>
      <w:pPr>
        <w:tabs>
          <w:tab w:val="num" w:pos="284"/>
        </w:tabs>
        <w:ind w:left="567" w:hanging="279"/>
      </w:pPr>
      <w:rPr>
        <w:rFonts w:ascii="Times New Roman" w:hAnsi="Times New Roman" w:hint="default"/>
        <w:b w:val="0"/>
        <w:i w:val="0"/>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92720FF"/>
    <w:multiLevelType w:val="multilevel"/>
    <w:tmpl w:val="68667046"/>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742"/>
        </w:tabs>
        <w:ind w:left="742" w:hanging="600"/>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936"/>
        </w:tabs>
        <w:ind w:left="2936" w:hanging="1800"/>
      </w:pPr>
      <w:rPr>
        <w:rFonts w:hint="default"/>
      </w:rPr>
    </w:lvl>
  </w:abstractNum>
  <w:abstractNum w:abstractNumId="29" w15:restartNumberingAfterBreak="0">
    <w:nsid w:val="49B7385E"/>
    <w:multiLevelType w:val="multilevel"/>
    <w:tmpl w:val="68667046"/>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742"/>
        </w:tabs>
        <w:ind w:left="742" w:hanging="600"/>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936"/>
        </w:tabs>
        <w:ind w:left="2936" w:hanging="1800"/>
      </w:pPr>
      <w:rPr>
        <w:rFonts w:hint="default"/>
      </w:rPr>
    </w:lvl>
  </w:abstractNum>
  <w:abstractNum w:abstractNumId="30" w15:restartNumberingAfterBreak="0">
    <w:nsid w:val="4A182C06"/>
    <w:multiLevelType w:val="multilevel"/>
    <w:tmpl w:val="68667046"/>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742"/>
        </w:tabs>
        <w:ind w:left="742" w:hanging="600"/>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936"/>
        </w:tabs>
        <w:ind w:left="2936" w:hanging="1800"/>
      </w:pPr>
      <w:rPr>
        <w:rFonts w:hint="default"/>
      </w:rPr>
    </w:lvl>
  </w:abstractNum>
  <w:abstractNum w:abstractNumId="31" w15:restartNumberingAfterBreak="0">
    <w:nsid w:val="52A26183"/>
    <w:multiLevelType w:val="multilevel"/>
    <w:tmpl w:val="AC5A89CE"/>
    <w:lvl w:ilvl="0">
      <w:start w:val="1"/>
      <w:numFmt w:val="decimal"/>
      <w:lvlText w:val="%1."/>
      <w:lvlJc w:val="left"/>
      <w:pPr>
        <w:tabs>
          <w:tab w:val="num" w:pos="644"/>
        </w:tabs>
        <w:ind w:left="644" w:hanging="360"/>
      </w:pPr>
      <w:rPr>
        <w:rFonts w:hint="default"/>
        <w:b w:val="0"/>
        <w:i w:val="0"/>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9BA07C3"/>
    <w:multiLevelType w:val="hybridMultilevel"/>
    <w:tmpl w:val="C5AAABEC"/>
    <w:lvl w:ilvl="0" w:tplc="5E380464">
      <w:start w:val="1"/>
      <w:numFmt w:val="bullet"/>
      <w:pStyle w:val="ASAListbulletlast"/>
      <w:lvlText w:val=""/>
      <w:lvlJc w:val="left"/>
      <w:pPr>
        <w:ind w:left="1013" w:hanging="360"/>
      </w:pPr>
      <w:rPr>
        <w:rFonts w:ascii="Wingdings" w:hAnsi="Wingdings" w:hint="default"/>
      </w:rPr>
    </w:lvl>
    <w:lvl w:ilvl="1" w:tplc="0C090003" w:tentative="1">
      <w:start w:val="1"/>
      <w:numFmt w:val="bullet"/>
      <w:lvlText w:val="o"/>
      <w:lvlJc w:val="left"/>
      <w:pPr>
        <w:ind w:left="1733" w:hanging="360"/>
      </w:pPr>
      <w:rPr>
        <w:rFonts w:ascii="Courier New" w:hAnsi="Courier New" w:cs="Courier New" w:hint="default"/>
      </w:rPr>
    </w:lvl>
    <w:lvl w:ilvl="2" w:tplc="0C090005" w:tentative="1">
      <w:start w:val="1"/>
      <w:numFmt w:val="bullet"/>
      <w:lvlText w:val=""/>
      <w:lvlJc w:val="left"/>
      <w:pPr>
        <w:ind w:left="2453" w:hanging="360"/>
      </w:pPr>
      <w:rPr>
        <w:rFonts w:ascii="Wingdings" w:hAnsi="Wingdings" w:hint="default"/>
      </w:rPr>
    </w:lvl>
    <w:lvl w:ilvl="3" w:tplc="0C090001" w:tentative="1">
      <w:start w:val="1"/>
      <w:numFmt w:val="bullet"/>
      <w:lvlText w:val=""/>
      <w:lvlJc w:val="left"/>
      <w:pPr>
        <w:ind w:left="3173" w:hanging="360"/>
      </w:pPr>
      <w:rPr>
        <w:rFonts w:ascii="Symbol" w:hAnsi="Symbol" w:hint="default"/>
      </w:rPr>
    </w:lvl>
    <w:lvl w:ilvl="4" w:tplc="0C090003" w:tentative="1">
      <w:start w:val="1"/>
      <w:numFmt w:val="bullet"/>
      <w:lvlText w:val="o"/>
      <w:lvlJc w:val="left"/>
      <w:pPr>
        <w:ind w:left="3893" w:hanging="360"/>
      </w:pPr>
      <w:rPr>
        <w:rFonts w:ascii="Courier New" w:hAnsi="Courier New" w:cs="Courier New" w:hint="default"/>
      </w:rPr>
    </w:lvl>
    <w:lvl w:ilvl="5" w:tplc="0C090005" w:tentative="1">
      <w:start w:val="1"/>
      <w:numFmt w:val="bullet"/>
      <w:lvlText w:val=""/>
      <w:lvlJc w:val="left"/>
      <w:pPr>
        <w:ind w:left="4613" w:hanging="360"/>
      </w:pPr>
      <w:rPr>
        <w:rFonts w:ascii="Wingdings" w:hAnsi="Wingdings" w:hint="default"/>
      </w:rPr>
    </w:lvl>
    <w:lvl w:ilvl="6" w:tplc="0C090001" w:tentative="1">
      <w:start w:val="1"/>
      <w:numFmt w:val="bullet"/>
      <w:lvlText w:val=""/>
      <w:lvlJc w:val="left"/>
      <w:pPr>
        <w:ind w:left="5333" w:hanging="360"/>
      </w:pPr>
      <w:rPr>
        <w:rFonts w:ascii="Symbol" w:hAnsi="Symbol" w:hint="default"/>
      </w:rPr>
    </w:lvl>
    <w:lvl w:ilvl="7" w:tplc="0C090003" w:tentative="1">
      <w:start w:val="1"/>
      <w:numFmt w:val="bullet"/>
      <w:lvlText w:val="o"/>
      <w:lvlJc w:val="left"/>
      <w:pPr>
        <w:ind w:left="6053" w:hanging="360"/>
      </w:pPr>
      <w:rPr>
        <w:rFonts w:ascii="Courier New" w:hAnsi="Courier New" w:cs="Courier New" w:hint="default"/>
      </w:rPr>
    </w:lvl>
    <w:lvl w:ilvl="8" w:tplc="0C090005" w:tentative="1">
      <w:start w:val="1"/>
      <w:numFmt w:val="bullet"/>
      <w:lvlText w:val=""/>
      <w:lvlJc w:val="left"/>
      <w:pPr>
        <w:ind w:left="6773" w:hanging="360"/>
      </w:pPr>
      <w:rPr>
        <w:rFonts w:ascii="Wingdings" w:hAnsi="Wingdings" w:hint="default"/>
      </w:rPr>
    </w:lvl>
  </w:abstractNum>
  <w:abstractNum w:abstractNumId="33" w15:restartNumberingAfterBreak="0">
    <w:nsid w:val="5EA82282"/>
    <w:multiLevelType w:val="multilevel"/>
    <w:tmpl w:val="B0321002"/>
    <w:lvl w:ilvl="0">
      <w:start w:val="1"/>
      <w:numFmt w:val="decimal"/>
      <w:lvlText w:val="%1."/>
      <w:lvlJc w:val="left"/>
      <w:pPr>
        <w:tabs>
          <w:tab w:val="num" w:pos="284"/>
        </w:tabs>
        <w:ind w:left="567" w:hanging="279"/>
      </w:pPr>
      <w:rPr>
        <w:rFonts w:ascii="Times New Roman" w:hAnsi="Times New Roman" w:hint="default"/>
        <w:b w:val="0"/>
        <w:i w:val="0"/>
        <w:color w:val="auto"/>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2692B85"/>
    <w:multiLevelType w:val="multilevel"/>
    <w:tmpl w:val="F9E4330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3B44D3E"/>
    <w:multiLevelType w:val="multilevel"/>
    <w:tmpl w:val="08724742"/>
    <w:lvl w:ilvl="0">
      <w:start w:val="1"/>
      <w:numFmt w:val="decimal"/>
      <w:lvlText w:val="%1."/>
      <w:lvlJc w:val="left"/>
      <w:pPr>
        <w:tabs>
          <w:tab w:val="num" w:pos="284"/>
        </w:tabs>
        <w:ind w:left="567" w:hanging="279"/>
      </w:pPr>
      <w:rPr>
        <w:rFonts w:ascii="Times New Roman" w:hAnsi="Times New Roman" w:hint="default"/>
        <w:b w:val="0"/>
        <w:i w:val="0"/>
        <w:color w:val="auto"/>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4D16456"/>
    <w:multiLevelType w:val="hybridMultilevel"/>
    <w:tmpl w:val="2B68BF78"/>
    <w:lvl w:ilvl="0" w:tplc="888E8BB0">
      <w:start w:val="1"/>
      <w:numFmt w:val="decimal"/>
      <w:pStyle w:val="ASAEndnote"/>
      <w:lvlText w:val="%1."/>
      <w:lvlJc w:val="left"/>
      <w:pPr>
        <w:tabs>
          <w:tab w:val="num" w:pos="284"/>
        </w:tabs>
        <w:ind w:left="567" w:hanging="283"/>
      </w:pPr>
      <w:rPr>
        <w:rFonts w:ascii="Times New Roman" w:hAnsi="Times New Roman" w:hint="default"/>
        <w:b w:val="0"/>
        <w:i w:val="0"/>
        <w:sz w:val="18"/>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7" w15:restartNumberingAfterBreak="0">
    <w:nsid w:val="6F445C2A"/>
    <w:multiLevelType w:val="multilevel"/>
    <w:tmpl w:val="0FD0F0D2"/>
    <w:lvl w:ilvl="0">
      <w:start w:val="1"/>
      <w:numFmt w:val="bullet"/>
      <w:lvlText w:val=""/>
      <w:lvlJc w:val="left"/>
      <w:pPr>
        <w:tabs>
          <w:tab w:val="num" w:pos="720"/>
        </w:tabs>
        <w:ind w:left="720" w:hanging="360"/>
      </w:pPr>
      <w:rPr>
        <w:rFonts w:ascii="Times New Roman" w:hAnsi="Times New Roman" w:hint="default"/>
        <w:b w:val="0"/>
        <w:i w:val="0"/>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3B25B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9" w15:restartNumberingAfterBreak="0">
    <w:nsid w:val="71F63ABB"/>
    <w:multiLevelType w:val="multilevel"/>
    <w:tmpl w:val="E1AAE22A"/>
    <w:lvl w:ilvl="0">
      <w:start w:val="1"/>
      <w:numFmt w:val="decimal"/>
      <w:lvlText w:val="%1."/>
      <w:lvlJc w:val="left"/>
      <w:pPr>
        <w:tabs>
          <w:tab w:val="num" w:pos="284"/>
        </w:tabs>
        <w:ind w:left="567" w:hanging="279"/>
      </w:pPr>
      <w:rPr>
        <w:rFonts w:ascii="Times New Roman" w:hAnsi="Times New Roman" w:hint="default"/>
        <w:b w:val="0"/>
        <w:i w:val="0"/>
        <w:sz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15:restartNumberingAfterBreak="0">
    <w:nsid w:val="7D1619EE"/>
    <w:multiLevelType w:val="multilevel"/>
    <w:tmpl w:val="BA18E01A"/>
    <w:lvl w:ilvl="0">
      <w:start w:val="1"/>
      <w:numFmt w:val="decimal"/>
      <w:lvlText w:val="%1."/>
      <w:lvlJc w:val="left"/>
      <w:pPr>
        <w:tabs>
          <w:tab w:val="num" w:pos="644"/>
        </w:tabs>
        <w:ind w:left="644" w:hanging="360"/>
      </w:pPr>
      <w:rPr>
        <w:rFont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29"/>
  </w:num>
  <w:num w:numId="2">
    <w:abstractNumId w:val="17"/>
  </w:num>
  <w:num w:numId="3">
    <w:abstractNumId w:val="28"/>
  </w:num>
  <w:num w:numId="4">
    <w:abstractNumId w:val="30"/>
  </w:num>
  <w:num w:numId="5">
    <w:abstractNumId w:val="14"/>
  </w:num>
  <w:num w:numId="6">
    <w:abstractNumId w:val="37"/>
  </w:num>
  <w:num w:numId="7">
    <w:abstractNumId w:val="21"/>
  </w:num>
  <w:num w:numId="8">
    <w:abstractNumId w:val="13"/>
  </w:num>
  <w:num w:numId="9">
    <w:abstractNumId w:val="24"/>
  </w:num>
  <w:num w:numId="10">
    <w:abstractNumId w:val="38"/>
  </w:num>
  <w:num w:numId="11">
    <w:abstractNumId w:val="23"/>
  </w:num>
  <w:num w:numId="12">
    <w:abstractNumId w:val="20"/>
  </w:num>
  <w:num w:numId="13">
    <w:abstractNumId w:val="31"/>
  </w:num>
  <w:num w:numId="14">
    <w:abstractNumId w:val="40"/>
  </w:num>
  <w:num w:numId="15">
    <w:abstractNumId w:val="34"/>
  </w:num>
  <w:num w:numId="16">
    <w:abstractNumId w:val="12"/>
  </w:num>
  <w:num w:numId="17">
    <w:abstractNumId w:val="11"/>
  </w:num>
  <w:num w:numId="18">
    <w:abstractNumId w:val="16"/>
  </w:num>
  <w:num w:numId="19">
    <w:abstractNumId w:val="22"/>
  </w:num>
  <w:num w:numId="20">
    <w:abstractNumId w:val="19"/>
  </w:num>
  <w:num w:numId="21">
    <w:abstractNumId w:val="36"/>
  </w:num>
  <w:num w:numId="22">
    <w:abstractNumId w:val="39"/>
  </w:num>
  <w:num w:numId="23">
    <w:abstractNumId w:val="25"/>
  </w:num>
  <w:num w:numId="24">
    <w:abstractNumId w:val="27"/>
  </w:num>
  <w:num w:numId="25">
    <w:abstractNumId w:val="33"/>
  </w:num>
  <w:num w:numId="26">
    <w:abstractNumId w:val="35"/>
  </w:num>
  <w:num w:numId="27">
    <w:abstractNumId w:val="26"/>
  </w:num>
  <w:num w:numId="28">
    <w:abstractNumId w:val="15"/>
  </w:num>
  <w:num w:numId="29">
    <w:abstractNumId w:val="18"/>
  </w:num>
  <w:num w:numId="30">
    <w:abstractNumId w:val="23"/>
  </w:num>
  <w:num w:numId="31">
    <w:abstractNumId w:val="23"/>
  </w:num>
  <w:num w:numId="32">
    <w:abstractNumId w:val="11"/>
  </w:num>
  <w:num w:numId="33">
    <w:abstractNumId w:val="23"/>
  </w:num>
  <w:num w:numId="34">
    <w:abstractNumId w:val="0"/>
  </w:num>
  <w:num w:numId="35">
    <w:abstractNumId w:val="10"/>
  </w:num>
  <w:num w:numId="36">
    <w:abstractNumId w:val="8"/>
  </w:num>
  <w:num w:numId="37">
    <w:abstractNumId w:val="7"/>
  </w:num>
  <w:num w:numId="38">
    <w:abstractNumId w:val="6"/>
  </w:num>
  <w:num w:numId="39">
    <w:abstractNumId w:val="5"/>
  </w:num>
  <w:num w:numId="40">
    <w:abstractNumId w:val="9"/>
  </w:num>
  <w:num w:numId="41">
    <w:abstractNumId w:val="4"/>
  </w:num>
  <w:num w:numId="42">
    <w:abstractNumId w:val="3"/>
  </w:num>
  <w:num w:numId="43">
    <w:abstractNumId w:val="2"/>
  </w:num>
  <w:num w:numId="44">
    <w:abstractNumId w:val="1"/>
  </w:num>
  <w:num w:numId="4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mirrorMargins/>
  <w:activeWritingStyle w:appName="MSWord" w:lang="en-GB" w:vendorID="6" w:dllVersion="2" w:checkStyle="1"/>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consecutiveHyphenLimit w:val="3"/>
  <w:hyphenationZone w:val="284"/>
  <w:evenAndOddHeaders/>
  <w:drawingGridHorizontalSpacing w:val="11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LAwtzQ2srQ0NDCzNDFX0lEKTi0uzszPAykwrwUAiZFjVywAAAA="/>
    <w:docVar w:name="EN.InstantFormat" w:val="&lt;ENInstantFormat&gt;&lt;Enabled&gt;1&lt;/Enabled&gt;&lt;ScanUnformatted&gt;1&lt;/ScanUnformatted&gt;&lt;ScanChanges&gt;1&lt;/ScanChanges&gt;&lt;Suspended&gt;1&lt;/Suspended&gt;&lt;/ENInstantFormat&gt;"/>
    <w:docVar w:name="EN.Layout" w:val="&lt;ENLayout&gt;&lt;Style&gt;ASAendnote&lt;/Style&gt;&lt;LeftDelim&gt;{&lt;/LeftDelim&gt;&lt;RightDelim&gt;}&lt;/RightDelim&gt;&lt;FontName&gt;Calibri&lt;/FontName&gt;&lt;FontSize&gt;9&lt;/FontSize&gt;&lt;ReflistTitle&gt;&lt;/ReflistTitle&gt;&lt;StartingRefnum&gt;1&lt;/StartingRefnum&gt;&lt;FirstLineIndent&gt;0&lt;/FirstLineIndent&gt;&lt;HangingIndent&gt;282&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af9vwazeceppvde952vx5dwczxrw22a5xdvd&quot;&gt;Thesis&lt;record-ids&gt;&lt;item&gt;1038&lt;/item&gt;&lt;/record-ids&gt;&lt;/item&gt;&lt;/Libraries&gt;"/>
  </w:docVars>
  <w:rsids>
    <w:rsidRoot w:val="000F75B5"/>
    <w:rsid w:val="00012D08"/>
    <w:rsid w:val="000318F5"/>
    <w:rsid w:val="00037044"/>
    <w:rsid w:val="000519CF"/>
    <w:rsid w:val="00055C7E"/>
    <w:rsid w:val="0007203F"/>
    <w:rsid w:val="00074020"/>
    <w:rsid w:val="00090D0F"/>
    <w:rsid w:val="00093CB2"/>
    <w:rsid w:val="000A5156"/>
    <w:rsid w:val="000B07D8"/>
    <w:rsid w:val="000B22CB"/>
    <w:rsid w:val="000B563C"/>
    <w:rsid w:val="000B7469"/>
    <w:rsid w:val="000C24DF"/>
    <w:rsid w:val="000C77C6"/>
    <w:rsid w:val="000D6A5D"/>
    <w:rsid w:val="000E14F0"/>
    <w:rsid w:val="000E1589"/>
    <w:rsid w:val="000E3EC3"/>
    <w:rsid w:val="000E5209"/>
    <w:rsid w:val="000E9956"/>
    <w:rsid w:val="000F0D73"/>
    <w:rsid w:val="000F4263"/>
    <w:rsid w:val="000F47E8"/>
    <w:rsid w:val="000F6504"/>
    <w:rsid w:val="000F75B5"/>
    <w:rsid w:val="000F7C0D"/>
    <w:rsid w:val="00101122"/>
    <w:rsid w:val="00101B47"/>
    <w:rsid w:val="001107D0"/>
    <w:rsid w:val="001151BA"/>
    <w:rsid w:val="001265D5"/>
    <w:rsid w:val="00135EC4"/>
    <w:rsid w:val="00143490"/>
    <w:rsid w:val="00144BD5"/>
    <w:rsid w:val="0014612A"/>
    <w:rsid w:val="00154D14"/>
    <w:rsid w:val="001773BB"/>
    <w:rsid w:val="0017757E"/>
    <w:rsid w:val="001823BA"/>
    <w:rsid w:val="001863B4"/>
    <w:rsid w:val="0019211A"/>
    <w:rsid w:val="00193B51"/>
    <w:rsid w:val="001A53E4"/>
    <w:rsid w:val="001A56AF"/>
    <w:rsid w:val="001B058E"/>
    <w:rsid w:val="001B4DB1"/>
    <w:rsid w:val="001B5D1D"/>
    <w:rsid w:val="001C059E"/>
    <w:rsid w:val="001D6F1A"/>
    <w:rsid w:val="001D7E63"/>
    <w:rsid w:val="001E12BE"/>
    <w:rsid w:val="001F5343"/>
    <w:rsid w:val="001F7224"/>
    <w:rsid w:val="002156EE"/>
    <w:rsid w:val="002175CD"/>
    <w:rsid w:val="0022101D"/>
    <w:rsid w:val="002211C7"/>
    <w:rsid w:val="00222164"/>
    <w:rsid w:val="00227AAF"/>
    <w:rsid w:val="0023367F"/>
    <w:rsid w:val="00241A07"/>
    <w:rsid w:val="00247DD6"/>
    <w:rsid w:val="00250EEB"/>
    <w:rsid w:val="00254B02"/>
    <w:rsid w:val="002611DF"/>
    <w:rsid w:val="0026189D"/>
    <w:rsid w:val="00263481"/>
    <w:rsid w:val="00267BEF"/>
    <w:rsid w:val="00267F30"/>
    <w:rsid w:val="00275302"/>
    <w:rsid w:val="00275958"/>
    <w:rsid w:val="00275CC6"/>
    <w:rsid w:val="00281677"/>
    <w:rsid w:val="00292654"/>
    <w:rsid w:val="002947AA"/>
    <w:rsid w:val="002965B2"/>
    <w:rsid w:val="002A59B5"/>
    <w:rsid w:val="002A7F59"/>
    <w:rsid w:val="002B0B89"/>
    <w:rsid w:val="002C1BC1"/>
    <w:rsid w:val="002D1476"/>
    <w:rsid w:val="002D5F73"/>
    <w:rsid w:val="002E3284"/>
    <w:rsid w:val="002E39DE"/>
    <w:rsid w:val="002F1FA3"/>
    <w:rsid w:val="00311377"/>
    <w:rsid w:val="00324726"/>
    <w:rsid w:val="00335139"/>
    <w:rsid w:val="003464EF"/>
    <w:rsid w:val="00347236"/>
    <w:rsid w:val="0035401D"/>
    <w:rsid w:val="00357A6F"/>
    <w:rsid w:val="0036338C"/>
    <w:rsid w:val="00376291"/>
    <w:rsid w:val="00377F5B"/>
    <w:rsid w:val="00382841"/>
    <w:rsid w:val="0038341A"/>
    <w:rsid w:val="003834E5"/>
    <w:rsid w:val="0039388D"/>
    <w:rsid w:val="003951E3"/>
    <w:rsid w:val="00397012"/>
    <w:rsid w:val="003A02C2"/>
    <w:rsid w:val="003A19DE"/>
    <w:rsid w:val="003A452A"/>
    <w:rsid w:val="003B029B"/>
    <w:rsid w:val="003B3D95"/>
    <w:rsid w:val="003B643A"/>
    <w:rsid w:val="003C1154"/>
    <w:rsid w:val="003C2214"/>
    <w:rsid w:val="003D5FD5"/>
    <w:rsid w:val="003E092B"/>
    <w:rsid w:val="003E3073"/>
    <w:rsid w:val="003E7836"/>
    <w:rsid w:val="003F6093"/>
    <w:rsid w:val="00407660"/>
    <w:rsid w:val="0041191A"/>
    <w:rsid w:val="00411FBE"/>
    <w:rsid w:val="00417683"/>
    <w:rsid w:val="004234AA"/>
    <w:rsid w:val="0042553B"/>
    <w:rsid w:val="004265CF"/>
    <w:rsid w:val="004300B0"/>
    <w:rsid w:val="004334EF"/>
    <w:rsid w:val="004441EF"/>
    <w:rsid w:val="00450269"/>
    <w:rsid w:val="004513D1"/>
    <w:rsid w:val="00461393"/>
    <w:rsid w:val="004660D9"/>
    <w:rsid w:val="00471A07"/>
    <w:rsid w:val="004755DB"/>
    <w:rsid w:val="004809D9"/>
    <w:rsid w:val="00483630"/>
    <w:rsid w:val="004969E7"/>
    <w:rsid w:val="0049710F"/>
    <w:rsid w:val="004B7AEA"/>
    <w:rsid w:val="004C1E90"/>
    <w:rsid w:val="004D1865"/>
    <w:rsid w:val="004D31FC"/>
    <w:rsid w:val="004D5EE8"/>
    <w:rsid w:val="004D6C4F"/>
    <w:rsid w:val="004E525F"/>
    <w:rsid w:val="004E704C"/>
    <w:rsid w:val="00514166"/>
    <w:rsid w:val="00523D7F"/>
    <w:rsid w:val="00527AFA"/>
    <w:rsid w:val="0053264B"/>
    <w:rsid w:val="00532E85"/>
    <w:rsid w:val="00533E1F"/>
    <w:rsid w:val="005409F9"/>
    <w:rsid w:val="00547F0A"/>
    <w:rsid w:val="00561E07"/>
    <w:rsid w:val="00562EB8"/>
    <w:rsid w:val="005655B2"/>
    <w:rsid w:val="0057061B"/>
    <w:rsid w:val="005728C0"/>
    <w:rsid w:val="00577C28"/>
    <w:rsid w:val="00580DBC"/>
    <w:rsid w:val="0058459F"/>
    <w:rsid w:val="00597B93"/>
    <w:rsid w:val="005A05A5"/>
    <w:rsid w:val="005A3B9C"/>
    <w:rsid w:val="005B41EE"/>
    <w:rsid w:val="005D33A6"/>
    <w:rsid w:val="005D40B0"/>
    <w:rsid w:val="005D5562"/>
    <w:rsid w:val="005E6FF4"/>
    <w:rsid w:val="005F1402"/>
    <w:rsid w:val="005F3CDD"/>
    <w:rsid w:val="00604173"/>
    <w:rsid w:val="00604986"/>
    <w:rsid w:val="006071C8"/>
    <w:rsid w:val="0060730D"/>
    <w:rsid w:val="00622D81"/>
    <w:rsid w:val="00625B44"/>
    <w:rsid w:val="0063055C"/>
    <w:rsid w:val="00630E27"/>
    <w:rsid w:val="006316BD"/>
    <w:rsid w:val="00632655"/>
    <w:rsid w:val="006343C4"/>
    <w:rsid w:val="00644FF2"/>
    <w:rsid w:val="006452A1"/>
    <w:rsid w:val="00651C96"/>
    <w:rsid w:val="0065384A"/>
    <w:rsid w:val="006564CA"/>
    <w:rsid w:val="00675686"/>
    <w:rsid w:val="0067775C"/>
    <w:rsid w:val="00690F65"/>
    <w:rsid w:val="006910B8"/>
    <w:rsid w:val="0069145A"/>
    <w:rsid w:val="0069373E"/>
    <w:rsid w:val="006A0447"/>
    <w:rsid w:val="006A1F33"/>
    <w:rsid w:val="006A1FB3"/>
    <w:rsid w:val="006A619D"/>
    <w:rsid w:val="006B0241"/>
    <w:rsid w:val="006B3C39"/>
    <w:rsid w:val="006B51B3"/>
    <w:rsid w:val="006B5B97"/>
    <w:rsid w:val="006C3887"/>
    <w:rsid w:val="006E1738"/>
    <w:rsid w:val="00704716"/>
    <w:rsid w:val="0071548A"/>
    <w:rsid w:val="00721B14"/>
    <w:rsid w:val="007317D6"/>
    <w:rsid w:val="007376D9"/>
    <w:rsid w:val="007426AE"/>
    <w:rsid w:val="0074428D"/>
    <w:rsid w:val="00746800"/>
    <w:rsid w:val="00750C04"/>
    <w:rsid w:val="00751DDD"/>
    <w:rsid w:val="0075230C"/>
    <w:rsid w:val="00760547"/>
    <w:rsid w:val="007623E2"/>
    <w:rsid w:val="00762E85"/>
    <w:rsid w:val="00766DC4"/>
    <w:rsid w:val="00770069"/>
    <w:rsid w:val="00774AA2"/>
    <w:rsid w:val="00776B0C"/>
    <w:rsid w:val="00777D78"/>
    <w:rsid w:val="00793848"/>
    <w:rsid w:val="007A72C2"/>
    <w:rsid w:val="007B0082"/>
    <w:rsid w:val="007B068E"/>
    <w:rsid w:val="007B57AB"/>
    <w:rsid w:val="007B7F52"/>
    <w:rsid w:val="007C0472"/>
    <w:rsid w:val="007C7052"/>
    <w:rsid w:val="007D32B5"/>
    <w:rsid w:val="007D529E"/>
    <w:rsid w:val="007D7DCE"/>
    <w:rsid w:val="007E0164"/>
    <w:rsid w:val="007E25B7"/>
    <w:rsid w:val="007E28BF"/>
    <w:rsid w:val="007E76A5"/>
    <w:rsid w:val="007F2E0A"/>
    <w:rsid w:val="007F4EEF"/>
    <w:rsid w:val="007F5F5F"/>
    <w:rsid w:val="007F6DDD"/>
    <w:rsid w:val="00802232"/>
    <w:rsid w:val="00805470"/>
    <w:rsid w:val="008062C0"/>
    <w:rsid w:val="00807869"/>
    <w:rsid w:val="00815063"/>
    <w:rsid w:val="00815D0F"/>
    <w:rsid w:val="00820AFC"/>
    <w:rsid w:val="0082764D"/>
    <w:rsid w:val="00832D20"/>
    <w:rsid w:val="00834337"/>
    <w:rsid w:val="0085334E"/>
    <w:rsid w:val="0085362B"/>
    <w:rsid w:val="00855573"/>
    <w:rsid w:val="00864D09"/>
    <w:rsid w:val="008805E0"/>
    <w:rsid w:val="00880E6B"/>
    <w:rsid w:val="008823F1"/>
    <w:rsid w:val="00882DFC"/>
    <w:rsid w:val="008830B4"/>
    <w:rsid w:val="008868A2"/>
    <w:rsid w:val="00887FCA"/>
    <w:rsid w:val="008912BA"/>
    <w:rsid w:val="00891DC8"/>
    <w:rsid w:val="00895DCC"/>
    <w:rsid w:val="008A35EF"/>
    <w:rsid w:val="008A569A"/>
    <w:rsid w:val="008B4372"/>
    <w:rsid w:val="008B5597"/>
    <w:rsid w:val="008C2022"/>
    <w:rsid w:val="008C3FC6"/>
    <w:rsid w:val="008F0B0F"/>
    <w:rsid w:val="008F199C"/>
    <w:rsid w:val="008F70C9"/>
    <w:rsid w:val="00902271"/>
    <w:rsid w:val="00920A05"/>
    <w:rsid w:val="00921361"/>
    <w:rsid w:val="00921E45"/>
    <w:rsid w:val="00921F43"/>
    <w:rsid w:val="009259E3"/>
    <w:rsid w:val="009265D3"/>
    <w:rsid w:val="00934F86"/>
    <w:rsid w:val="009378B8"/>
    <w:rsid w:val="00950A42"/>
    <w:rsid w:val="00956679"/>
    <w:rsid w:val="009729AC"/>
    <w:rsid w:val="00981B0C"/>
    <w:rsid w:val="00985E95"/>
    <w:rsid w:val="00992F43"/>
    <w:rsid w:val="0099517B"/>
    <w:rsid w:val="009A091C"/>
    <w:rsid w:val="009A1144"/>
    <w:rsid w:val="009A15BA"/>
    <w:rsid w:val="009A1B9C"/>
    <w:rsid w:val="009A308B"/>
    <w:rsid w:val="009B004D"/>
    <w:rsid w:val="009D2E6C"/>
    <w:rsid w:val="009D6759"/>
    <w:rsid w:val="009E6C0D"/>
    <w:rsid w:val="009F2F34"/>
    <w:rsid w:val="00A11469"/>
    <w:rsid w:val="00A11F04"/>
    <w:rsid w:val="00A12BD6"/>
    <w:rsid w:val="00A233A3"/>
    <w:rsid w:val="00A23EE5"/>
    <w:rsid w:val="00A24EC4"/>
    <w:rsid w:val="00A26D64"/>
    <w:rsid w:val="00A315D3"/>
    <w:rsid w:val="00A47E9C"/>
    <w:rsid w:val="00A57D77"/>
    <w:rsid w:val="00A61856"/>
    <w:rsid w:val="00A6196A"/>
    <w:rsid w:val="00A626B6"/>
    <w:rsid w:val="00A6681F"/>
    <w:rsid w:val="00A66B3F"/>
    <w:rsid w:val="00A679A2"/>
    <w:rsid w:val="00A71AEF"/>
    <w:rsid w:val="00A73B6B"/>
    <w:rsid w:val="00A73DC1"/>
    <w:rsid w:val="00A741E4"/>
    <w:rsid w:val="00A82035"/>
    <w:rsid w:val="00A8440F"/>
    <w:rsid w:val="00A873C1"/>
    <w:rsid w:val="00AA4F71"/>
    <w:rsid w:val="00AA546B"/>
    <w:rsid w:val="00AA73CE"/>
    <w:rsid w:val="00AB0FA0"/>
    <w:rsid w:val="00AB6677"/>
    <w:rsid w:val="00AC2986"/>
    <w:rsid w:val="00AC4282"/>
    <w:rsid w:val="00AC440F"/>
    <w:rsid w:val="00AD216E"/>
    <w:rsid w:val="00AD4F43"/>
    <w:rsid w:val="00AD52D1"/>
    <w:rsid w:val="00AD6DCD"/>
    <w:rsid w:val="00AE00AF"/>
    <w:rsid w:val="00AE5615"/>
    <w:rsid w:val="00AF323C"/>
    <w:rsid w:val="00AF3938"/>
    <w:rsid w:val="00AF671B"/>
    <w:rsid w:val="00B01E21"/>
    <w:rsid w:val="00B04772"/>
    <w:rsid w:val="00B06E22"/>
    <w:rsid w:val="00B0781D"/>
    <w:rsid w:val="00B1139B"/>
    <w:rsid w:val="00B230B4"/>
    <w:rsid w:val="00B33384"/>
    <w:rsid w:val="00B3539D"/>
    <w:rsid w:val="00B37202"/>
    <w:rsid w:val="00B405E1"/>
    <w:rsid w:val="00B43A1C"/>
    <w:rsid w:val="00B44B72"/>
    <w:rsid w:val="00B55247"/>
    <w:rsid w:val="00B55F94"/>
    <w:rsid w:val="00B60DBD"/>
    <w:rsid w:val="00B630B9"/>
    <w:rsid w:val="00B638D0"/>
    <w:rsid w:val="00B731A0"/>
    <w:rsid w:val="00B740DA"/>
    <w:rsid w:val="00B7461B"/>
    <w:rsid w:val="00B85B39"/>
    <w:rsid w:val="00BA23E6"/>
    <w:rsid w:val="00BB148C"/>
    <w:rsid w:val="00BB7683"/>
    <w:rsid w:val="00BC079A"/>
    <w:rsid w:val="00BC3B4F"/>
    <w:rsid w:val="00BC465D"/>
    <w:rsid w:val="00BE1D0F"/>
    <w:rsid w:val="00BE3DDA"/>
    <w:rsid w:val="00BE7B29"/>
    <w:rsid w:val="00BE7D9B"/>
    <w:rsid w:val="00BF3F88"/>
    <w:rsid w:val="00BF545B"/>
    <w:rsid w:val="00C01D2B"/>
    <w:rsid w:val="00C0462D"/>
    <w:rsid w:val="00C175E4"/>
    <w:rsid w:val="00C2152D"/>
    <w:rsid w:val="00C23289"/>
    <w:rsid w:val="00C246B1"/>
    <w:rsid w:val="00C303EC"/>
    <w:rsid w:val="00C3241A"/>
    <w:rsid w:val="00C33119"/>
    <w:rsid w:val="00C37726"/>
    <w:rsid w:val="00C407AF"/>
    <w:rsid w:val="00C420C5"/>
    <w:rsid w:val="00C42763"/>
    <w:rsid w:val="00C44A42"/>
    <w:rsid w:val="00C517AF"/>
    <w:rsid w:val="00C55C31"/>
    <w:rsid w:val="00C64E55"/>
    <w:rsid w:val="00C67F56"/>
    <w:rsid w:val="00C701FC"/>
    <w:rsid w:val="00C7710A"/>
    <w:rsid w:val="00C844ED"/>
    <w:rsid w:val="00C86F65"/>
    <w:rsid w:val="00C87A36"/>
    <w:rsid w:val="00C9033C"/>
    <w:rsid w:val="00C90488"/>
    <w:rsid w:val="00C95F2B"/>
    <w:rsid w:val="00CA45CE"/>
    <w:rsid w:val="00CB1CE7"/>
    <w:rsid w:val="00CB5EF1"/>
    <w:rsid w:val="00CC3226"/>
    <w:rsid w:val="00CC4F6D"/>
    <w:rsid w:val="00CC538A"/>
    <w:rsid w:val="00CC55FF"/>
    <w:rsid w:val="00CC5DEC"/>
    <w:rsid w:val="00CC6FD4"/>
    <w:rsid w:val="00CD0230"/>
    <w:rsid w:val="00CD3392"/>
    <w:rsid w:val="00CD535C"/>
    <w:rsid w:val="00CE1EA0"/>
    <w:rsid w:val="00CF0BD5"/>
    <w:rsid w:val="00CF54BD"/>
    <w:rsid w:val="00CF57B9"/>
    <w:rsid w:val="00D0028D"/>
    <w:rsid w:val="00D027FE"/>
    <w:rsid w:val="00D0408B"/>
    <w:rsid w:val="00D105F7"/>
    <w:rsid w:val="00D14896"/>
    <w:rsid w:val="00D17700"/>
    <w:rsid w:val="00D24712"/>
    <w:rsid w:val="00D379D0"/>
    <w:rsid w:val="00D44367"/>
    <w:rsid w:val="00D55980"/>
    <w:rsid w:val="00D703F2"/>
    <w:rsid w:val="00D7257A"/>
    <w:rsid w:val="00D80158"/>
    <w:rsid w:val="00D96B0B"/>
    <w:rsid w:val="00DA4880"/>
    <w:rsid w:val="00DB50C5"/>
    <w:rsid w:val="00DB63ED"/>
    <w:rsid w:val="00DC2997"/>
    <w:rsid w:val="00DD2B17"/>
    <w:rsid w:val="00DD6B6E"/>
    <w:rsid w:val="00DE0837"/>
    <w:rsid w:val="00DF105A"/>
    <w:rsid w:val="00E02568"/>
    <w:rsid w:val="00E05889"/>
    <w:rsid w:val="00E06546"/>
    <w:rsid w:val="00E10BF7"/>
    <w:rsid w:val="00E140CB"/>
    <w:rsid w:val="00E14C56"/>
    <w:rsid w:val="00E254E6"/>
    <w:rsid w:val="00E364DC"/>
    <w:rsid w:val="00E42F82"/>
    <w:rsid w:val="00E43B4E"/>
    <w:rsid w:val="00E43EAF"/>
    <w:rsid w:val="00E53C2F"/>
    <w:rsid w:val="00E66908"/>
    <w:rsid w:val="00E6726A"/>
    <w:rsid w:val="00E67916"/>
    <w:rsid w:val="00E76525"/>
    <w:rsid w:val="00E779B2"/>
    <w:rsid w:val="00E814B0"/>
    <w:rsid w:val="00E872CA"/>
    <w:rsid w:val="00E95804"/>
    <w:rsid w:val="00E9682D"/>
    <w:rsid w:val="00E97F69"/>
    <w:rsid w:val="00EA4051"/>
    <w:rsid w:val="00EA5DDC"/>
    <w:rsid w:val="00EB2827"/>
    <w:rsid w:val="00EC006E"/>
    <w:rsid w:val="00EC4FD6"/>
    <w:rsid w:val="00ED49FF"/>
    <w:rsid w:val="00ED6E84"/>
    <w:rsid w:val="00EE1C15"/>
    <w:rsid w:val="00EF418F"/>
    <w:rsid w:val="00EF5D69"/>
    <w:rsid w:val="00F048BF"/>
    <w:rsid w:val="00F07854"/>
    <w:rsid w:val="00F07B5C"/>
    <w:rsid w:val="00F07EC9"/>
    <w:rsid w:val="00F142F1"/>
    <w:rsid w:val="00F209C6"/>
    <w:rsid w:val="00F241AD"/>
    <w:rsid w:val="00F249A6"/>
    <w:rsid w:val="00F24B69"/>
    <w:rsid w:val="00F25016"/>
    <w:rsid w:val="00F269CF"/>
    <w:rsid w:val="00F3221B"/>
    <w:rsid w:val="00F453A8"/>
    <w:rsid w:val="00F45F6F"/>
    <w:rsid w:val="00F46641"/>
    <w:rsid w:val="00F6302C"/>
    <w:rsid w:val="00F751F3"/>
    <w:rsid w:val="00F7632C"/>
    <w:rsid w:val="00F846B9"/>
    <w:rsid w:val="00F96200"/>
    <w:rsid w:val="00FA2C0E"/>
    <w:rsid w:val="00FA4503"/>
    <w:rsid w:val="00FA4B4A"/>
    <w:rsid w:val="00FA5073"/>
    <w:rsid w:val="00FB0B67"/>
    <w:rsid w:val="00FC2FB4"/>
    <w:rsid w:val="00FD44F0"/>
    <w:rsid w:val="00FE0A70"/>
    <w:rsid w:val="00FE3C4D"/>
    <w:rsid w:val="00FE5ADA"/>
    <w:rsid w:val="02FC3600"/>
    <w:rsid w:val="04B3C552"/>
    <w:rsid w:val="08724CE4"/>
    <w:rsid w:val="08E17051"/>
    <w:rsid w:val="0DF60046"/>
    <w:rsid w:val="1054BF9E"/>
    <w:rsid w:val="1412BBD2"/>
    <w:rsid w:val="19F5D5B8"/>
    <w:rsid w:val="1B5BC094"/>
    <w:rsid w:val="1E41A1E8"/>
    <w:rsid w:val="20F5649E"/>
    <w:rsid w:val="281BCDA1"/>
    <w:rsid w:val="2919ABEC"/>
    <w:rsid w:val="2B188CA2"/>
    <w:rsid w:val="2D76D4E3"/>
    <w:rsid w:val="2E6217F8"/>
    <w:rsid w:val="362B2BEC"/>
    <w:rsid w:val="39B8BDFF"/>
    <w:rsid w:val="3C62CFC2"/>
    <w:rsid w:val="3EAD9D0C"/>
    <w:rsid w:val="40D55522"/>
    <w:rsid w:val="4204B12A"/>
    <w:rsid w:val="429BDD6B"/>
    <w:rsid w:val="444E1605"/>
    <w:rsid w:val="4451794E"/>
    <w:rsid w:val="44610A99"/>
    <w:rsid w:val="448C56F8"/>
    <w:rsid w:val="453C51EC"/>
    <w:rsid w:val="46282759"/>
    <w:rsid w:val="4A503C63"/>
    <w:rsid w:val="4B926B13"/>
    <w:rsid w:val="5005D9F8"/>
    <w:rsid w:val="5172C786"/>
    <w:rsid w:val="5649C140"/>
    <w:rsid w:val="57E2090A"/>
    <w:rsid w:val="5867AB93"/>
    <w:rsid w:val="593F5F40"/>
    <w:rsid w:val="5E98DC22"/>
    <w:rsid w:val="625C1D64"/>
    <w:rsid w:val="65E4E263"/>
    <w:rsid w:val="6AD4475C"/>
    <w:rsid w:val="6D63CF66"/>
    <w:rsid w:val="6DCEE79F"/>
    <w:rsid w:val="78CFC2D7"/>
    <w:rsid w:val="7BC39B9A"/>
    <w:rsid w:val="7E963A8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243552C0"/>
  <w15:chartTrackingRefBased/>
  <w15:docId w15:val="{0D80CE1B-2D98-44B1-8AA8-F2F5C2BD1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uiPriority="10"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74020"/>
    <w:pPr>
      <w:spacing w:after="60"/>
      <w:ind w:firstLine="567"/>
      <w:jc w:val="both"/>
    </w:pPr>
    <w:rPr>
      <w:rFonts w:ascii="Calibri" w:hAnsi="Calibri"/>
      <w:sz w:val="22"/>
      <w:szCs w:val="24"/>
      <w:lang w:eastAsia="en-US"/>
    </w:rPr>
  </w:style>
  <w:style w:type="paragraph" w:styleId="Heading1">
    <w:name w:val="heading 1"/>
    <w:next w:val="Normal"/>
    <w:qFormat/>
    <w:rsid w:val="00E42F82"/>
    <w:pPr>
      <w:keepNext/>
      <w:keepLines/>
      <w:spacing w:before="240" w:after="120" w:line="260" w:lineRule="exact"/>
      <w:outlineLvl w:val="0"/>
    </w:pPr>
    <w:rPr>
      <w:rFonts w:ascii="Arial" w:hAnsi="Arial"/>
      <w:b/>
      <w:kern w:val="32"/>
      <w:sz w:val="22"/>
      <w:szCs w:val="32"/>
      <w:lang w:val="en-GB" w:eastAsia="en-US"/>
    </w:rPr>
  </w:style>
  <w:style w:type="paragraph" w:styleId="Heading2">
    <w:name w:val="heading 2"/>
    <w:basedOn w:val="Normal"/>
    <w:next w:val="Normal"/>
    <w:qFormat/>
    <w:rsid w:val="009A2BF6"/>
    <w:pPr>
      <w:keepNext/>
      <w:spacing w:before="240"/>
      <w:outlineLvl w:val="1"/>
    </w:pPr>
    <w:rPr>
      <w:rFonts w:ascii="Arial" w:hAnsi="Arial"/>
      <w:b/>
      <w:i/>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SAReference">
    <w:name w:val="ASA Reference"/>
    <w:basedOn w:val="ASATextfirst"/>
    <w:rsid w:val="00651C96"/>
    <w:pPr>
      <w:ind w:left="284" w:hanging="284"/>
    </w:pPr>
    <w:rPr>
      <w:sz w:val="18"/>
      <w:szCs w:val="18"/>
      <w:lang w:val="en-GB"/>
    </w:rPr>
  </w:style>
  <w:style w:type="paragraph" w:customStyle="1" w:styleId="ASATextfirst">
    <w:name w:val="ASA Text first"/>
    <w:basedOn w:val="ASAText"/>
    <w:next w:val="ASAText"/>
    <w:link w:val="ASATextfirstChar"/>
    <w:rsid w:val="00A315D3"/>
    <w:pPr>
      <w:spacing w:before="0"/>
      <w:ind w:firstLine="0"/>
    </w:pPr>
  </w:style>
  <w:style w:type="paragraph" w:customStyle="1" w:styleId="ASAText">
    <w:name w:val="ASA Text"/>
    <w:basedOn w:val="Normal"/>
    <w:link w:val="ASATextChar"/>
    <w:rsid w:val="009A15BA"/>
    <w:pPr>
      <w:spacing w:before="60" w:after="0"/>
      <w:ind w:firstLine="284"/>
    </w:pPr>
    <w:rPr>
      <w:sz w:val="20"/>
      <w:szCs w:val="20"/>
    </w:rPr>
  </w:style>
  <w:style w:type="character" w:customStyle="1" w:styleId="ASATextChar">
    <w:name w:val="ASA Text Char"/>
    <w:link w:val="ASAText"/>
    <w:rsid w:val="00A57D77"/>
    <w:rPr>
      <w:rFonts w:ascii="Calibri" w:hAnsi="Calibri"/>
      <w:lang w:val="en-US" w:eastAsia="en-US"/>
    </w:rPr>
  </w:style>
  <w:style w:type="character" w:customStyle="1" w:styleId="ASATextfirstChar">
    <w:name w:val="ASA Text first Char"/>
    <w:basedOn w:val="ASATextChar"/>
    <w:link w:val="ASATextfirst"/>
    <w:rsid w:val="0069373E"/>
    <w:rPr>
      <w:rFonts w:ascii="Calibri" w:hAnsi="Calibri"/>
      <w:lang w:val="en-US" w:eastAsia="en-US"/>
    </w:rPr>
  </w:style>
  <w:style w:type="paragraph" w:customStyle="1" w:styleId="ASACitation">
    <w:name w:val="ASA Citation"/>
    <w:basedOn w:val="ASATextfirst"/>
    <w:rsid w:val="00B0781D"/>
    <w:pPr>
      <w:spacing w:after="1280" w:line="180" w:lineRule="exact"/>
    </w:pPr>
    <w:rPr>
      <w:sz w:val="18"/>
    </w:rPr>
  </w:style>
  <w:style w:type="paragraph" w:customStyle="1" w:styleId="ASAAuthor">
    <w:name w:val="ASA Author"/>
    <w:basedOn w:val="ASATextfirst"/>
    <w:next w:val="ASAAffiliation"/>
    <w:rsid w:val="001265D5"/>
    <w:pPr>
      <w:spacing w:before="480" w:line="240" w:lineRule="exact"/>
      <w:jc w:val="center"/>
    </w:pPr>
  </w:style>
  <w:style w:type="paragraph" w:customStyle="1" w:styleId="ASAAffiliation">
    <w:name w:val="ASA Affiliation"/>
    <w:basedOn w:val="ASATextfirst"/>
    <w:rsid w:val="00E364DC"/>
    <w:pPr>
      <w:spacing w:line="240" w:lineRule="exact"/>
      <w:jc w:val="center"/>
    </w:pPr>
    <w:rPr>
      <w:i/>
      <w:iCs/>
      <w:lang w:val="en-GB"/>
    </w:rPr>
  </w:style>
  <w:style w:type="paragraph" w:customStyle="1" w:styleId="ASAAbstract">
    <w:name w:val="ASA Abstract"/>
    <w:basedOn w:val="ASATextfirst"/>
    <w:link w:val="ASAAbstractChar"/>
    <w:rsid w:val="00DB50C5"/>
    <w:pPr>
      <w:spacing w:before="600" w:line="220" w:lineRule="exact"/>
    </w:pPr>
    <w:rPr>
      <w:lang w:val="en-GB"/>
    </w:rPr>
  </w:style>
  <w:style w:type="character" w:customStyle="1" w:styleId="ASAAbstractChar">
    <w:name w:val="ASA Abstract Char"/>
    <w:link w:val="ASAAbstract"/>
    <w:rsid w:val="0069373E"/>
    <w:rPr>
      <w:rFonts w:ascii="Calibri" w:hAnsi="Calibri"/>
      <w:lang w:val="en-GB" w:eastAsia="en-US"/>
    </w:rPr>
  </w:style>
  <w:style w:type="paragraph" w:customStyle="1" w:styleId="ASAKeyword">
    <w:name w:val="ASA Keyword"/>
    <w:basedOn w:val="ASATextfirst"/>
    <w:rsid w:val="001265D5"/>
    <w:pPr>
      <w:spacing w:before="240" w:after="360" w:line="220" w:lineRule="exact"/>
      <w:jc w:val="left"/>
    </w:pPr>
  </w:style>
  <w:style w:type="paragraph" w:customStyle="1" w:styleId="ASATitle">
    <w:name w:val="ASA Title"/>
    <w:basedOn w:val="Title"/>
    <w:next w:val="ASAAuthor"/>
    <w:rsid w:val="001265D5"/>
    <w:pPr>
      <w:ind w:firstLine="0"/>
    </w:pPr>
    <w:rPr>
      <w:rFonts w:ascii="Calibri" w:hAnsi="Calibri"/>
    </w:rPr>
  </w:style>
  <w:style w:type="paragraph" w:styleId="Title">
    <w:name w:val="Title"/>
    <w:basedOn w:val="Normal"/>
    <w:next w:val="Normal"/>
    <w:link w:val="TitleChar"/>
    <w:uiPriority w:val="10"/>
    <w:qFormat/>
    <w:rsid w:val="00B04772"/>
    <w:pPr>
      <w:spacing w:before="240"/>
      <w:jc w:val="center"/>
      <w:outlineLvl w:val="0"/>
    </w:pPr>
    <w:rPr>
      <w:rFonts w:ascii="Cambria" w:hAnsi="Cambria"/>
      <w:b/>
      <w:bCs/>
      <w:kern w:val="28"/>
      <w:sz w:val="32"/>
      <w:szCs w:val="32"/>
    </w:rPr>
  </w:style>
  <w:style w:type="character" w:customStyle="1" w:styleId="TitleChar">
    <w:name w:val="Title Char"/>
    <w:link w:val="Title"/>
    <w:uiPriority w:val="10"/>
    <w:rsid w:val="00B04772"/>
    <w:rPr>
      <w:rFonts w:ascii="Cambria" w:eastAsia="Times New Roman" w:hAnsi="Cambria" w:cs="Times New Roman"/>
      <w:b/>
      <w:bCs/>
      <w:kern w:val="28"/>
      <w:sz w:val="32"/>
      <w:szCs w:val="32"/>
      <w:lang w:val="en-US" w:eastAsia="en-US"/>
    </w:rPr>
  </w:style>
  <w:style w:type="character" w:customStyle="1" w:styleId="ASAIn-lineheading">
    <w:name w:val="ASA In-line heading"/>
    <w:rsid w:val="00177E44"/>
    <w:rPr>
      <w:b/>
    </w:rPr>
  </w:style>
  <w:style w:type="character" w:customStyle="1" w:styleId="ASAPublicationtitle">
    <w:name w:val="ASA Publication title"/>
    <w:rsid w:val="00BA23E6"/>
    <w:rPr>
      <w:rFonts w:ascii="Calibri" w:hAnsi="Calibri"/>
      <w:b w:val="0"/>
      <w:i/>
      <w:sz w:val="18"/>
    </w:rPr>
  </w:style>
  <w:style w:type="paragraph" w:customStyle="1" w:styleId="ASAHeading1">
    <w:name w:val="ASA Heading 1"/>
    <w:basedOn w:val="Heading1"/>
    <w:next w:val="ASATextfirst"/>
    <w:rsid w:val="00777D78"/>
    <w:rPr>
      <w:rFonts w:ascii="Calibri" w:hAnsi="Calibri"/>
      <w:sz w:val="28"/>
      <w:szCs w:val="28"/>
    </w:rPr>
  </w:style>
  <w:style w:type="paragraph" w:customStyle="1" w:styleId="ASAHeading2">
    <w:name w:val="ASA Heading 2"/>
    <w:basedOn w:val="ASATextfirst"/>
    <w:next w:val="ASATextfirst"/>
    <w:rsid w:val="006564CA"/>
    <w:pPr>
      <w:keepNext/>
      <w:spacing w:before="240" w:after="120"/>
    </w:pPr>
    <w:rPr>
      <w:b/>
      <w:bCs/>
      <w:sz w:val="22"/>
      <w:szCs w:val="22"/>
      <w:lang w:val="en-GB"/>
    </w:rPr>
  </w:style>
  <w:style w:type="paragraph" w:customStyle="1" w:styleId="ASAHeading3">
    <w:name w:val="ASA Heading 3"/>
    <w:basedOn w:val="ASATextfirst"/>
    <w:next w:val="ASATextfirst"/>
    <w:rsid w:val="00171940"/>
    <w:pPr>
      <w:spacing w:before="240" w:after="120"/>
    </w:pPr>
    <w:rPr>
      <w:i/>
    </w:rPr>
  </w:style>
  <w:style w:type="character" w:customStyle="1" w:styleId="ASAIn-lineand">
    <w:name w:val="ASA In-line and"/>
    <w:rsid w:val="00177E44"/>
    <w:rPr>
      <w:caps/>
    </w:rPr>
  </w:style>
  <w:style w:type="character" w:customStyle="1" w:styleId="ASASuperscript">
    <w:name w:val="ASA Superscript"/>
    <w:rsid w:val="00177E44"/>
    <w:rPr>
      <w:vertAlign w:val="superscript"/>
    </w:rPr>
  </w:style>
  <w:style w:type="paragraph" w:customStyle="1" w:styleId="ASASubtitle">
    <w:name w:val="ASA Subtitle"/>
    <w:basedOn w:val="ASATextfirst"/>
    <w:rsid w:val="004B7AEA"/>
    <w:pPr>
      <w:spacing w:before="300"/>
      <w:jc w:val="center"/>
    </w:pPr>
    <w:rPr>
      <w:i/>
      <w:sz w:val="22"/>
      <w:szCs w:val="22"/>
      <w:lang w:val="en-GB"/>
    </w:rPr>
  </w:style>
  <w:style w:type="paragraph" w:customStyle="1" w:styleId="ASAAcknowledgements">
    <w:name w:val="ASA Acknowledgements"/>
    <w:basedOn w:val="ASATextfirst"/>
    <w:rsid w:val="009378B8"/>
  </w:style>
  <w:style w:type="paragraph" w:customStyle="1" w:styleId="ASAEndnote">
    <w:name w:val="ASA Endnote"/>
    <w:basedOn w:val="ASATextfirst"/>
    <w:rsid w:val="009A2BF6"/>
    <w:pPr>
      <w:numPr>
        <w:numId w:val="21"/>
      </w:numPr>
      <w:spacing w:line="200" w:lineRule="exact"/>
    </w:pPr>
    <w:rPr>
      <w:sz w:val="18"/>
    </w:rPr>
  </w:style>
  <w:style w:type="paragraph" w:styleId="Footer">
    <w:name w:val="footer"/>
    <w:basedOn w:val="Normal"/>
    <w:link w:val="FooterChar"/>
    <w:uiPriority w:val="99"/>
    <w:rsid w:val="009A2BF6"/>
    <w:pPr>
      <w:tabs>
        <w:tab w:val="center" w:pos="4320"/>
        <w:tab w:val="right" w:pos="8640"/>
      </w:tabs>
    </w:pPr>
  </w:style>
  <w:style w:type="character" w:customStyle="1" w:styleId="FooterChar">
    <w:name w:val="Footer Char"/>
    <w:link w:val="Footer"/>
    <w:uiPriority w:val="99"/>
    <w:rsid w:val="00934F86"/>
    <w:rPr>
      <w:rFonts w:ascii="Calibri" w:hAnsi="Calibri"/>
      <w:sz w:val="22"/>
      <w:szCs w:val="24"/>
      <w:lang w:val="en-US" w:eastAsia="en-US"/>
    </w:rPr>
  </w:style>
  <w:style w:type="paragraph" w:customStyle="1" w:styleId="ASAHeaderodd">
    <w:name w:val="ASA Header odd"/>
    <w:basedOn w:val="ASATextfirst"/>
    <w:locked/>
    <w:rsid w:val="00625B44"/>
    <w:pPr>
      <w:spacing w:after="480"/>
      <w:jc w:val="right"/>
    </w:pPr>
    <w:rPr>
      <w:b/>
      <w:sz w:val="18"/>
    </w:rPr>
  </w:style>
  <w:style w:type="paragraph" w:customStyle="1" w:styleId="ASAListbullet">
    <w:name w:val="ASA List bullet"/>
    <w:basedOn w:val="ASATextfirst"/>
    <w:rsid w:val="0099517B"/>
    <w:pPr>
      <w:numPr>
        <w:numId w:val="17"/>
      </w:numPr>
    </w:pPr>
  </w:style>
  <w:style w:type="paragraph" w:customStyle="1" w:styleId="ASAListbulletfirst">
    <w:name w:val="ASA List bullet first"/>
    <w:basedOn w:val="ASAListbullet"/>
    <w:next w:val="ASAListbullet"/>
    <w:rsid w:val="0099517B"/>
    <w:pPr>
      <w:numPr>
        <w:numId w:val="11"/>
      </w:numPr>
      <w:spacing w:before="120"/>
    </w:pPr>
  </w:style>
  <w:style w:type="paragraph" w:customStyle="1" w:styleId="ASAListbulletlast">
    <w:name w:val="ASA List bullet last"/>
    <w:basedOn w:val="ASAListbullet"/>
    <w:next w:val="ASAText"/>
    <w:rsid w:val="0082764D"/>
    <w:pPr>
      <w:numPr>
        <w:numId w:val="45"/>
      </w:numPr>
      <w:spacing w:after="120"/>
      <w:ind w:left="641" w:hanging="357"/>
    </w:pPr>
  </w:style>
  <w:style w:type="paragraph" w:customStyle="1" w:styleId="ASACaptionfigure">
    <w:name w:val="ASA Caption figure"/>
    <w:basedOn w:val="ASACaptiontable"/>
    <w:next w:val="ASAText"/>
    <w:rsid w:val="00417683"/>
    <w:pPr>
      <w:spacing w:after="0"/>
    </w:pPr>
    <w:rPr>
      <w:lang w:val="en-GB"/>
    </w:rPr>
  </w:style>
  <w:style w:type="paragraph" w:customStyle="1" w:styleId="ASACaptiontable">
    <w:name w:val="ASA Caption table"/>
    <w:basedOn w:val="ASATextfirst"/>
    <w:next w:val="ASAText"/>
    <w:rsid w:val="00417683"/>
    <w:pPr>
      <w:spacing w:before="300" w:after="120" w:line="240" w:lineRule="exact"/>
      <w:jc w:val="center"/>
    </w:pPr>
    <w:rPr>
      <w:szCs w:val="16"/>
    </w:rPr>
  </w:style>
  <w:style w:type="paragraph" w:customStyle="1" w:styleId="ASAEquation">
    <w:name w:val="ASA Equation"/>
    <w:basedOn w:val="ASATextfirst"/>
    <w:next w:val="ASAText"/>
    <w:rsid w:val="009A1144"/>
    <w:pPr>
      <w:tabs>
        <w:tab w:val="right" w:pos="8505"/>
      </w:tabs>
      <w:spacing w:before="120" w:after="120"/>
      <w:ind w:left="284"/>
      <w:jc w:val="left"/>
    </w:pPr>
  </w:style>
  <w:style w:type="character" w:customStyle="1" w:styleId="ASASubscript">
    <w:name w:val="ASA Subscript"/>
    <w:rsid w:val="00341B1B"/>
    <w:rPr>
      <w:vertAlign w:val="subscript"/>
    </w:rPr>
  </w:style>
  <w:style w:type="character" w:customStyle="1" w:styleId="ASAEmphasis">
    <w:name w:val="ASA Emphasis"/>
    <w:rsid w:val="00341B1B"/>
    <w:rPr>
      <w:i/>
    </w:rPr>
  </w:style>
  <w:style w:type="paragraph" w:customStyle="1" w:styleId="ASAFiguretable">
    <w:name w:val="ASA Figure table"/>
    <w:basedOn w:val="ASATextfirst"/>
    <w:next w:val="ASAText"/>
    <w:rsid w:val="00766DC4"/>
    <w:pPr>
      <w:spacing w:line="260" w:lineRule="atLeast"/>
      <w:jc w:val="center"/>
    </w:pPr>
  </w:style>
  <w:style w:type="character" w:customStyle="1" w:styleId="ASAPagenumber">
    <w:name w:val="ASA Page number"/>
    <w:rsid w:val="00341B1B"/>
  </w:style>
  <w:style w:type="character" w:customStyle="1" w:styleId="ASAStrong">
    <w:name w:val="ASA Strong"/>
    <w:rsid w:val="00341B1B"/>
    <w:rPr>
      <w:b/>
    </w:rPr>
  </w:style>
  <w:style w:type="paragraph" w:styleId="BalloonText">
    <w:name w:val="Balloon Text"/>
    <w:basedOn w:val="Normal"/>
    <w:semiHidden/>
    <w:rsid w:val="00247DD6"/>
    <w:rPr>
      <w:rFonts w:ascii="Tahoma" w:hAnsi="Tahoma" w:cs="Tahoma"/>
      <w:sz w:val="16"/>
      <w:szCs w:val="16"/>
    </w:rPr>
  </w:style>
  <w:style w:type="character" w:styleId="CommentReference">
    <w:name w:val="annotation reference"/>
    <w:uiPriority w:val="99"/>
    <w:semiHidden/>
    <w:rsid w:val="009D6759"/>
    <w:rPr>
      <w:sz w:val="16"/>
      <w:szCs w:val="16"/>
    </w:rPr>
  </w:style>
  <w:style w:type="paragraph" w:styleId="CommentText">
    <w:name w:val="annotation text"/>
    <w:basedOn w:val="Normal"/>
    <w:link w:val="CommentTextChar"/>
    <w:uiPriority w:val="99"/>
    <w:rsid w:val="009D6759"/>
    <w:rPr>
      <w:sz w:val="20"/>
      <w:szCs w:val="20"/>
    </w:rPr>
  </w:style>
  <w:style w:type="paragraph" w:styleId="CommentSubject">
    <w:name w:val="annotation subject"/>
    <w:basedOn w:val="CommentText"/>
    <w:next w:val="CommentText"/>
    <w:semiHidden/>
    <w:rsid w:val="009D6759"/>
    <w:rPr>
      <w:b/>
      <w:bCs/>
    </w:rPr>
  </w:style>
  <w:style w:type="table" w:styleId="TableGrid">
    <w:name w:val="Table Grid"/>
    <w:basedOn w:val="TableNormal"/>
    <w:rsid w:val="006071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SATablebody">
    <w:name w:val="ASA Table body"/>
    <w:basedOn w:val="ASAText"/>
    <w:next w:val="ASAText"/>
    <w:rsid w:val="00B85B39"/>
    <w:pPr>
      <w:spacing w:before="0"/>
      <w:ind w:firstLine="0"/>
    </w:pPr>
    <w:rPr>
      <w:sz w:val="18"/>
    </w:rPr>
  </w:style>
  <w:style w:type="paragraph" w:customStyle="1" w:styleId="ASAQuotation">
    <w:name w:val="ASA Quotation"/>
    <w:basedOn w:val="ASATextfirst"/>
    <w:next w:val="ASAText"/>
    <w:rsid w:val="008823F1"/>
    <w:pPr>
      <w:spacing w:before="120" w:after="120" w:line="240" w:lineRule="exact"/>
      <w:ind w:left="562" w:right="562"/>
    </w:pPr>
  </w:style>
  <w:style w:type="character" w:styleId="Hyperlink">
    <w:name w:val="Hyperlink"/>
    <w:uiPriority w:val="99"/>
    <w:unhideWhenUsed/>
    <w:rsid w:val="005728C0"/>
    <w:rPr>
      <w:color w:val="0000FF"/>
      <w:u w:val="single"/>
    </w:rPr>
  </w:style>
  <w:style w:type="paragraph" w:styleId="Caption">
    <w:name w:val="caption"/>
    <w:basedOn w:val="Normal"/>
    <w:next w:val="Normal"/>
    <w:unhideWhenUsed/>
    <w:qFormat/>
    <w:rsid w:val="00D105F7"/>
    <w:rPr>
      <w:b/>
      <w:bCs/>
      <w:sz w:val="20"/>
      <w:szCs w:val="20"/>
    </w:rPr>
  </w:style>
  <w:style w:type="table" w:styleId="TableSimple1">
    <w:name w:val="Table Simple 1"/>
    <w:basedOn w:val="TableNormal"/>
    <w:rsid w:val="002965B2"/>
    <w:pPr>
      <w:spacing w:after="60"/>
      <w:ind w:firstLine="567"/>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Style1">
    <w:name w:val="Style1"/>
    <w:basedOn w:val="TableSimple1"/>
    <w:uiPriority w:val="99"/>
    <w:rsid w:val="002965B2"/>
    <w:pPr>
      <w:jc w:val="left"/>
    </w:pPr>
    <w:rPr>
      <w:rFonts w:ascii="Calibri" w:hAnsi="Calibri"/>
      <w:sz w:val="16"/>
    </w:rP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MediumList2">
    <w:name w:val="Medium List 2"/>
    <w:basedOn w:val="TableNormal"/>
    <w:rsid w:val="002965B2"/>
    <w:rPr>
      <w:rFonts w:ascii="Cambria"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ASATablestyle">
    <w:name w:val="ASA Table style"/>
    <w:basedOn w:val="TableNormal"/>
    <w:uiPriority w:val="99"/>
    <w:rsid w:val="00B85B39"/>
    <w:pPr>
      <w:spacing w:after="60"/>
      <w:ind w:firstLine="567"/>
      <w:jc w:val="both"/>
    </w:pPr>
    <w:rPr>
      <w:rFonts w:ascii="Calibri" w:hAnsi="Calibri"/>
      <w:sz w:val="18"/>
    </w:rPr>
    <w:tblPr>
      <w:jc w:val="center"/>
      <w:tblBorders>
        <w:top w:val="single" w:sz="12" w:space="0" w:color="auto"/>
        <w:bottom w:val="single" w:sz="12" w:space="0" w:color="auto"/>
      </w:tblBorders>
    </w:tblPr>
    <w:trPr>
      <w:jc w:val="center"/>
    </w:trPr>
    <w:tcPr>
      <w:shd w:val="clear" w:color="auto" w:fill="auto"/>
    </w:tcPr>
    <w:tblStylePr w:type="firstRow">
      <w:tblPr/>
      <w:tcPr>
        <w:tcBorders>
          <w:bottom w:val="single" w:sz="4" w:space="0" w:color="auto"/>
          <w:tl2br w:val="none" w:sz="0" w:space="0" w:color="auto"/>
          <w:tr2bl w:val="none" w:sz="0" w:space="0" w:color="auto"/>
        </w:tcBorders>
        <w:shd w:val="clear" w:color="auto" w:fill="auto"/>
      </w:tcPr>
    </w:tblStylePr>
    <w:tblStylePr w:type="lastRow">
      <w:pPr>
        <w:jc w:val="left"/>
      </w:pPr>
      <w:rPr>
        <w:rFonts w:ascii="Calibri" w:hAnsi="Calibri"/>
        <w:sz w:val="16"/>
      </w:rPr>
      <w:tblPr/>
      <w:tcPr>
        <w:tcBorders>
          <w:top w:val="nil"/>
          <w:tl2br w:val="none" w:sz="0" w:space="0" w:color="auto"/>
          <w:tr2bl w:val="none" w:sz="0" w:space="0" w:color="auto"/>
        </w:tcBorders>
        <w:vAlign w:val="center"/>
      </w:tcPr>
    </w:tblStylePr>
  </w:style>
  <w:style w:type="paragraph" w:styleId="DocumentMap">
    <w:name w:val="Document Map"/>
    <w:basedOn w:val="Normal"/>
    <w:link w:val="DocumentMapChar"/>
    <w:rsid w:val="00A11F04"/>
    <w:rPr>
      <w:rFonts w:ascii="Tahoma" w:hAnsi="Tahoma"/>
      <w:sz w:val="16"/>
      <w:szCs w:val="16"/>
    </w:rPr>
  </w:style>
  <w:style w:type="character" w:customStyle="1" w:styleId="DocumentMapChar">
    <w:name w:val="Document Map Char"/>
    <w:link w:val="DocumentMap"/>
    <w:rsid w:val="00A11F04"/>
    <w:rPr>
      <w:rFonts w:ascii="Tahoma" w:hAnsi="Tahoma" w:cs="Tahoma"/>
      <w:sz w:val="16"/>
      <w:szCs w:val="16"/>
      <w:lang w:val="en-US" w:eastAsia="en-US"/>
    </w:rPr>
  </w:style>
  <w:style w:type="paragraph" w:customStyle="1" w:styleId="ASAFooterodd">
    <w:name w:val="ASA Footer odd"/>
    <w:basedOn w:val="ASAHeaderodd"/>
    <w:qFormat/>
    <w:locked/>
    <w:rsid w:val="00762E85"/>
    <w:pPr>
      <w:spacing w:after="360"/>
    </w:pPr>
    <w:rPr>
      <w:i/>
    </w:rPr>
  </w:style>
  <w:style w:type="paragraph" w:customStyle="1" w:styleId="ASAHeadereven">
    <w:name w:val="ASA Header even"/>
    <w:basedOn w:val="Normal"/>
    <w:qFormat/>
    <w:locked/>
    <w:rsid w:val="00C64E55"/>
    <w:pPr>
      <w:tabs>
        <w:tab w:val="left" w:pos="426"/>
      </w:tabs>
      <w:spacing w:after="360"/>
      <w:ind w:firstLine="0"/>
      <w:jc w:val="left"/>
    </w:pPr>
    <w:rPr>
      <w:sz w:val="18"/>
      <w:szCs w:val="20"/>
    </w:rPr>
  </w:style>
  <w:style w:type="paragraph" w:customStyle="1" w:styleId="EndNoteBibliographyTitle">
    <w:name w:val="EndNote Bibliography Title"/>
    <w:basedOn w:val="Normal"/>
    <w:link w:val="EndNoteBibliographyTitleChar"/>
    <w:rsid w:val="00A57D77"/>
    <w:pPr>
      <w:spacing w:after="0"/>
      <w:jc w:val="center"/>
    </w:pPr>
    <w:rPr>
      <w:noProof/>
      <w:sz w:val="18"/>
    </w:rPr>
  </w:style>
  <w:style w:type="character" w:customStyle="1" w:styleId="EndNoteBibliographyTitleChar">
    <w:name w:val="EndNote Bibliography Title Char"/>
    <w:link w:val="EndNoteBibliographyTitle"/>
    <w:rsid w:val="00A57D77"/>
    <w:rPr>
      <w:rFonts w:ascii="Calibri" w:hAnsi="Calibri"/>
      <w:noProof/>
      <w:sz w:val="18"/>
      <w:szCs w:val="24"/>
      <w:lang w:val="en-US" w:eastAsia="en-US"/>
    </w:rPr>
  </w:style>
  <w:style w:type="paragraph" w:customStyle="1" w:styleId="EndNoteBibliography">
    <w:name w:val="EndNote Bibliography"/>
    <w:basedOn w:val="Normal"/>
    <w:link w:val="EndNoteBibliographyChar"/>
    <w:rsid w:val="00A57D77"/>
    <w:rPr>
      <w:noProof/>
      <w:sz w:val="18"/>
    </w:rPr>
  </w:style>
  <w:style w:type="character" w:customStyle="1" w:styleId="EndNoteBibliographyChar">
    <w:name w:val="EndNote Bibliography Char"/>
    <w:link w:val="EndNoteBibliography"/>
    <w:rsid w:val="00A57D77"/>
    <w:rPr>
      <w:rFonts w:ascii="Calibri" w:hAnsi="Calibri"/>
      <w:noProof/>
      <w:sz w:val="18"/>
      <w:szCs w:val="24"/>
      <w:lang w:val="en-US" w:eastAsia="en-US"/>
    </w:rPr>
  </w:style>
  <w:style w:type="paragraph" w:styleId="Header">
    <w:name w:val="header"/>
    <w:basedOn w:val="Normal"/>
    <w:link w:val="HeaderChar"/>
    <w:rsid w:val="00760547"/>
    <w:pPr>
      <w:tabs>
        <w:tab w:val="center" w:pos="4513"/>
        <w:tab w:val="right" w:pos="9026"/>
      </w:tabs>
    </w:pPr>
  </w:style>
  <w:style w:type="character" w:customStyle="1" w:styleId="HeaderChar">
    <w:name w:val="Header Char"/>
    <w:link w:val="Header"/>
    <w:rsid w:val="00760547"/>
    <w:rPr>
      <w:rFonts w:ascii="Calibri" w:hAnsi="Calibri"/>
      <w:sz w:val="22"/>
      <w:szCs w:val="24"/>
      <w:lang w:val="en-US" w:eastAsia="en-US"/>
    </w:rPr>
  </w:style>
  <w:style w:type="character" w:styleId="UnresolvedMention">
    <w:name w:val="Unresolved Mention"/>
    <w:uiPriority w:val="99"/>
    <w:semiHidden/>
    <w:unhideWhenUsed/>
    <w:rsid w:val="003A02C2"/>
    <w:rPr>
      <w:color w:val="605E5C"/>
      <w:shd w:val="clear" w:color="auto" w:fill="E1DFDD"/>
    </w:rPr>
  </w:style>
  <w:style w:type="character" w:customStyle="1" w:styleId="CommentTextChar">
    <w:name w:val="Comment Text Char"/>
    <w:link w:val="CommentText"/>
    <w:uiPriority w:val="99"/>
    <w:rsid w:val="00E779B2"/>
    <w:rPr>
      <w:rFonts w:ascii="Calibri" w:hAnsi="Calibri"/>
      <w:lang w:val="en-US" w:eastAsia="en-US"/>
    </w:rPr>
  </w:style>
  <w:style w:type="paragraph" w:styleId="Bibliography">
    <w:name w:val="Bibliography"/>
    <w:basedOn w:val="Normal"/>
    <w:next w:val="Normal"/>
    <w:uiPriority w:val="37"/>
    <w:semiHidden/>
    <w:unhideWhenUsed/>
    <w:rsid w:val="00FE5ADA"/>
  </w:style>
  <w:style w:type="paragraph" w:styleId="Revision">
    <w:name w:val="Revision"/>
    <w:hidden/>
    <w:uiPriority w:val="99"/>
    <w:semiHidden/>
    <w:rsid w:val="000F47E8"/>
    <w:rPr>
      <w:rFonts w:ascii="Calibri" w:hAnsi="Calibri"/>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8028040">
      <w:bodyDiv w:val="1"/>
      <w:marLeft w:val="0"/>
      <w:marRight w:val="0"/>
      <w:marTop w:val="0"/>
      <w:marBottom w:val="0"/>
      <w:divBdr>
        <w:top w:val="none" w:sz="0" w:space="0" w:color="auto"/>
        <w:left w:val="none" w:sz="0" w:space="0" w:color="auto"/>
        <w:bottom w:val="none" w:sz="0" w:space="0" w:color="auto"/>
        <w:right w:val="none" w:sz="0" w:space="0" w:color="auto"/>
      </w:divBdr>
    </w:div>
    <w:div w:id="1336954609">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author-email2%7d@first-inst.edu" TargetMode="External"/><Relationship Id="rId13" Type="http://schemas.openxmlformats.org/officeDocument/2006/relationships/image" Target="media/image4.png"/><Relationship Id="rId18" Type="http://schemas.openxmlformats.org/officeDocument/2006/relationships/hyperlink" Target="https://bregroup.com/products/breeam/how-breeam-works/"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www.jmp.com/en_gb/offers/statistical-analysis-software.html?msclkid=b7a4754f7f691ff026401781167e6446&amp;utm_source=bing&amp;utm_medium=cpc&amp;utm_campaign=(JMP)%20EMEA%20-%20ENG%20-%20Search%20-%20NB%20-%20Competitors&amp;utm_term=nvivo&amp;utm_content=Nvivo"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yperlink" Target="https://doi.org/10.4324/978131559792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https://doi.org/10.1016/j.buildenv.2013.06.002" TargetMode="External"/><Relationship Id="rId4" Type="http://schemas.openxmlformats.org/officeDocument/2006/relationships/settings" Target="settings.xml"/><Relationship Id="rId9" Type="http://schemas.openxmlformats.org/officeDocument/2006/relationships/hyperlink" Target="mailto:jingzhao@lincoln.ac.uk" TargetMode="External"/><Relationship Id="rId14" Type="http://schemas.openxmlformats.org/officeDocument/2006/relationships/image" Target="media/image5.png"/><Relationship Id="rId22" Type="http://schemas.openxmlformats.org/officeDocument/2006/relationships/hyperlink" Target="https://doi.org/10.3390/su11030937"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B112C51-5810-A041-82D6-88ECA222FF03}">
  <we:reference id="f518cb36-c901-4d52-a9e7-4331342e485d" version="1.2.0.0" store="EXCatalog" storeType="EXCatalog"/>
  <we:alternateReferences>
    <we:reference id="WA200001011" version="1.2.0.0" store="en-GB"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b:Source>
    <b:Tag>BRE22</b:Tag>
    <b:SourceType>InternetSite</b:SourceType>
    <b:Guid>{0CA09AA4-026A-4CA5-8047-0797CACEE874}</b:Guid>
    <b:Year>2022</b:Year>
    <b:InternetSiteTitle>BREEAM</b:InternetSiteTitle>
    <b:URL>https://bregroup.com/products/breeam/how-breeam-works/</b:URL>
    <b:Author>
      <b:Author>
        <b:Corporate>BREEAM</b:Corporate>
      </b:Author>
    </b:Author>
    <b:RefOrder>1</b:RefOrder>
  </b:Source>
  <b:Source>
    <b:Tag>CIB13</b:Tag>
    <b:SourceType>Report</b:SourceType>
    <b:Guid>{CB2700B3-6C67-48A5-B561-C5F8B4DE6914}</b:Guid>
    <b:Title>The limits of thermal comfort: avoiding overheating in European buildings</b:Title>
    <b:Year>2013</b:Year>
    <b:City>London</b:City>
    <b:Publisher>CIBSE</b:Publisher>
    <b:Author>
      <b:Author>
        <b:Corporate>CIBSE TM52</b:Corporate>
      </b:Author>
    </b:Author>
    <b:RefOrder>2</b:RefOrder>
  </b:Source>
  <b:Source>
    <b:Tag>CIB11</b:Tag>
    <b:SourceType>Report</b:SourceType>
    <b:Guid>{3FBD1996-1254-4CE1-9E1D-46BE1DFF3763}</b:Guid>
    <b:Author>
      <b:Author>
        <b:Corporate>CIBSE LG05 </b:Corporate>
      </b:Author>
    </b:Author>
    <b:Title>Lighting for education</b:Title>
    <b:Year>2011</b:Year>
    <b:Publisher>CIBSE</b:Publisher>
    <b:City>London</b:City>
    <b:RefOrder>3</b:RefOrder>
  </b:Source>
  <b:Source>
    <b:Tag>ANS10</b:Tag>
    <b:SourceType>Report</b:SourceType>
    <b:Guid>{68A605B5-1212-43C6-9338-7406FCC12E7F}</b:Guid>
    <b:Title>Environmental Conditions for human Occupancy</b:Title>
    <b:Year>2010</b:Year>
    <b:Author>
      <b:Author>
        <b:Corporate>ANSI/ASHRAE 55</b:Corporate>
      </b:Author>
    </b:Author>
    <b:Publisher>ASHRAE American Society of Heating, Refrigeration and Air Conditioning Engineers, Inc.</b:Publisher>
    <b:City> Atlanta, GA, USA</b:City>
    <b:RefOrder>4</b:RefOrder>
  </b:Source>
  <b:Source>
    <b:Tag>NBa</b:Tag>
    <b:SourceType>JournalArticle</b:SourceType>
    <b:Guid>{852AB1F2-CEB5-43C3-B0FB-A331816C1AC0}</b:Guid>
    <b:Title>A behavioural approach to thermal comfort assessment in naturally ventilated buildings</b:Title>
    <b:Author>
      <b:Author>
        <b:NameList>
          <b:Person>
            <b:Last>Baker</b:Last>
            <b:First>N.,</b:First>
            <b:Middle>Standeven M.</b:Middle>
          </b:Person>
        </b:NameList>
      </b:Author>
    </b:Author>
    <b:JournalName>CIBSE National Conference Proceedings </b:JournalName>
    <b:Year>1995</b:Year>
    <b:RefOrder>5</b:RefOrder>
  </b:Source>
</b:Sources>
</file>

<file path=customXml/itemProps1.xml><?xml version="1.0" encoding="utf-8"?>
<ds:datastoreItem xmlns:ds="http://schemas.openxmlformats.org/officeDocument/2006/customXml" ds:itemID="{4974FB28-7527-4E49-8CCF-11C83D73EF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137</TotalTime>
  <Pages>10</Pages>
  <Words>4259</Words>
  <Characters>24278</Characters>
  <Application>Microsoft Office Word</Application>
  <DocSecurity>0</DocSecurity>
  <Lines>202</Lines>
  <Paragraphs>56</Paragraphs>
  <ScaleCrop>false</ScaleCrop>
  <HeadingPairs>
    <vt:vector size="2" baseType="variant">
      <vt:variant>
        <vt:lpstr>Title</vt:lpstr>
      </vt:variant>
      <vt:variant>
        <vt:i4>1</vt:i4>
      </vt:variant>
    </vt:vector>
  </HeadingPairs>
  <TitlesOfParts>
    <vt:vector size="1" baseType="lpstr">
      <vt:lpstr>55th International Conference of the Architectural Science Association</vt:lpstr>
    </vt:vector>
  </TitlesOfParts>
  <Company>ASA</Company>
  <LinksUpToDate>false</LinksUpToDate>
  <CharactersWithSpaces>28481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55th International Conference of the Architectural Science Association</dc:title>
  <dc:subject/>
  <dc:creator>MarcAurel.Schnabel@vuw.ac.nz</dc:creator>
  <cp:keywords>55th International Conference of the Architectural Science Association</cp:keywords>
  <dc:description>55th International Conference of the Architectural Science Association</dc:description>
  <cp:lastModifiedBy>Ozlem Duran</cp:lastModifiedBy>
  <cp:revision>8</cp:revision>
  <cp:lastPrinted>2014-04-09T02:43:00Z</cp:lastPrinted>
  <dcterms:created xsi:type="dcterms:W3CDTF">2022-10-24T13:03:00Z</dcterms:created>
  <dcterms:modified xsi:type="dcterms:W3CDTF">2022-11-28T14:34:00Z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documentId_1350</vt:lpwstr>
  </property>
  <property fmtid="{D5CDD505-2E9C-101B-9397-08002B2CF9AE}" pid="3" name="grammarly_documentContext">
    <vt:lpwstr>{"goals":[],"domain":"general","emotions":[],"dialect":"british"}</vt:lpwstr>
  </property>
  <property fmtid="{D5CDD505-2E9C-101B-9397-08002B2CF9AE}" pid="4" name="GrammarlyDocumentId">
    <vt:lpwstr>8a2c73d9165ba2c363c67189b8e0af10915eb6169c6c77781768ace77f287b67</vt:lpwstr>
  </property>
</Properties>
</file>