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26DA" w14:textId="624D1067" w:rsidR="009A4B9A" w:rsidRDefault="005843BD" w:rsidP="009A4B9A">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Managerial C</w:t>
      </w:r>
      <w:r w:rsidR="006860E3" w:rsidRPr="009A4B9A">
        <w:rPr>
          <w:rFonts w:ascii="Times New Roman" w:hAnsi="Times New Roman" w:cs="Times New Roman"/>
          <w:b/>
          <w:color w:val="000000" w:themeColor="text1"/>
          <w:sz w:val="24"/>
          <w:szCs w:val="24"/>
        </w:rPr>
        <w:t xml:space="preserve">ompensation and </w:t>
      </w:r>
      <w:r>
        <w:rPr>
          <w:rFonts w:ascii="Times New Roman" w:hAnsi="Times New Roman" w:cs="Times New Roman"/>
          <w:b/>
          <w:color w:val="000000" w:themeColor="text1"/>
          <w:sz w:val="24"/>
          <w:szCs w:val="24"/>
        </w:rPr>
        <w:t>Fi</w:t>
      </w:r>
      <w:r w:rsidR="00547145">
        <w:rPr>
          <w:rFonts w:ascii="Times New Roman" w:hAnsi="Times New Roman" w:cs="Times New Roman"/>
          <w:b/>
          <w:color w:val="000000" w:themeColor="text1"/>
          <w:sz w:val="24"/>
          <w:szCs w:val="24"/>
        </w:rPr>
        <w:t xml:space="preserve">rm </w:t>
      </w:r>
      <w:r>
        <w:rPr>
          <w:rFonts w:ascii="Times New Roman" w:hAnsi="Times New Roman" w:cs="Times New Roman"/>
          <w:b/>
          <w:color w:val="000000" w:themeColor="text1"/>
          <w:sz w:val="24"/>
          <w:szCs w:val="24"/>
        </w:rPr>
        <w:t xml:space="preserve">Performance: </w:t>
      </w:r>
      <w:proofErr w:type="gramStart"/>
      <w:r>
        <w:rPr>
          <w:rFonts w:ascii="Times New Roman" w:hAnsi="Times New Roman" w:cs="Times New Roman"/>
          <w:b/>
          <w:color w:val="000000" w:themeColor="text1"/>
          <w:sz w:val="24"/>
          <w:szCs w:val="24"/>
        </w:rPr>
        <w:t>the</w:t>
      </w:r>
      <w:proofErr w:type="gramEnd"/>
      <w:r>
        <w:rPr>
          <w:rFonts w:ascii="Times New Roman" w:hAnsi="Times New Roman" w:cs="Times New Roman"/>
          <w:b/>
          <w:color w:val="000000" w:themeColor="text1"/>
          <w:sz w:val="24"/>
          <w:szCs w:val="24"/>
        </w:rPr>
        <w:t xml:space="preserve"> Moderating Role of M</w:t>
      </w:r>
      <w:r w:rsidR="006860E3" w:rsidRPr="009A4B9A">
        <w:rPr>
          <w:rFonts w:ascii="Times New Roman" w:hAnsi="Times New Roman" w:cs="Times New Roman"/>
          <w:b/>
          <w:color w:val="000000" w:themeColor="text1"/>
          <w:sz w:val="24"/>
          <w:szCs w:val="24"/>
        </w:rPr>
        <w:t>anagerial</w:t>
      </w:r>
    </w:p>
    <w:p w14:paraId="75B304D8" w14:textId="2ED3223C" w:rsidR="006860E3" w:rsidRDefault="009A4B9A" w:rsidP="009A4B9A">
      <w:pPr>
        <w:spacing w:line="360" w:lineRule="auto"/>
        <w:rPr>
          <w:rFonts w:ascii="Times New Roman" w:hAnsi="Times New Roman" w:cs="Times New Roman"/>
          <w:b/>
          <w:i/>
          <w:iCs/>
          <w:color w:val="000000" w:themeColor="text1"/>
          <w:sz w:val="24"/>
          <w:szCs w:val="24"/>
        </w:rPr>
      </w:pPr>
      <w:r>
        <w:rPr>
          <w:rFonts w:ascii="Times New Roman" w:hAnsi="Times New Roman" w:cs="Times New Roman"/>
          <w:b/>
          <w:color w:val="000000" w:themeColor="text1"/>
          <w:sz w:val="24"/>
          <w:szCs w:val="24"/>
        </w:rPr>
        <w:t xml:space="preserve">                                    </w:t>
      </w:r>
      <w:r w:rsidR="006860E3" w:rsidRPr="009A4B9A">
        <w:rPr>
          <w:rFonts w:ascii="Times New Roman" w:hAnsi="Times New Roman" w:cs="Times New Roman"/>
          <w:b/>
          <w:color w:val="000000" w:themeColor="text1"/>
          <w:sz w:val="24"/>
          <w:szCs w:val="24"/>
        </w:rPr>
        <w:t xml:space="preserve"> </w:t>
      </w:r>
      <w:r w:rsidR="005843BD">
        <w:rPr>
          <w:rFonts w:ascii="Times New Roman" w:hAnsi="Times New Roman" w:cs="Times New Roman"/>
          <w:b/>
          <w:color w:val="000000" w:themeColor="text1"/>
          <w:sz w:val="24"/>
          <w:szCs w:val="24"/>
        </w:rPr>
        <w:t>O</w:t>
      </w:r>
      <w:r w:rsidR="006860E3" w:rsidRPr="009A4B9A">
        <w:rPr>
          <w:rFonts w:ascii="Times New Roman" w:hAnsi="Times New Roman" w:cs="Times New Roman"/>
          <w:b/>
          <w:color w:val="000000" w:themeColor="text1"/>
          <w:sz w:val="24"/>
          <w:szCs w:val="24"/>
        </w:rPr>
        <w:t>wnersh</w:t>
      </w:r>
      <w:r w:rsidR="005843BD">
        <w:rPr>
          <w:rFonts w:ascii="Times New Roman" w:hAnsi="Times New Roman" w:cs="Times New Roman"/>
          <w:b/>
          <w:color w:val="000000" w:themeColor="text1"/>
          <w:sz w:val="24"/>
          <w:szCs w:val="24"/>
        </w:rPr>
        <w:t xml:space="preserve">ip and Other Governance Factors </w:t>
      </w:r>
      <w:r w:rsidR="006860E3" w:rsidRPr="006860E3">
        <w:rPr>
          <w:rFonts w:ascii="Times New Roman" w:hAnsi="Times New Roman" w:cs="Times New Roman"/>
          <w:b/>
          <w:i/>
          <w:iCs/>
          <w:color w:val="000000" w:themeColor="text1"/>
          <w:sz w:val="24"/>
          <w:szCs w:val="24"/>
        </w:rPr>
        <w:t xml:space="preserve"> </w:t>
      </w:r>
    </w:p>
    <w:p w14:paraId="1EAF7C53" w14:textId="4D413506" w:rsidR="009A4B9A" w:rsidRDefault="009A4B9A" w:rsidP="006860E3">
      <w:pPr>
        <w:spacing w:line="240" w:lineRule="auto"/>
        <w:rPr>
          <w:rFonts w:ascii="Times New Roman" w:hAnsi="Times New Roman" w:cs="Times New Roman"/>
          <w:b/>
          <w:i/>
          <w:iCs/>
          <w:color w:val="000000" w:themeColor="text1"/>
          <w:sz w:val="24"/>
          <w:szCs w:val="24"/>
        </w:rPr>
      </w:pPr>
    </w:p>
    <w:p w14:paraId="599BFBD9" w14:textId="50199769" w:rsidR="009A4B9A" w:rsidRDefault="009A4B9A" w:rsidP="006860E3">
      <w:pPr>
        <w:spacing w:line="240" w:lineRule="auto"/>
        <w:rPr>
          <w:rFonts w:ascii="Times New Roman" w:hAnsi="Times New Roman" w:cs="Times New Roman"/>
          <w:b/>
          <w:color w:val="000000" w:themeColor="text1"/>
          <w:sz w:val="24"/>
          <w:szCs w:val="24"/>
        </w:rPr>
      </w:pPr>
    </w:p>
    <w:p w14:paraId="08D50CB3" w14:textId="188470D1" w:rsidR="00B63EDF" w:rsidRPr="00B63EDF" w:rsidRDefault="00D5505E" w:rsidP="00B63EDF">
      <w:pPr>
        <w:spacing w:before="120" w:after="120" w:line="360" w:lineRule="auto"/>
        <w:jc w:val="center"/>
        <w:rPr>
          <w:rFonts w:ascii="Times New Roman" w:hAnsi="Times New Roman"/>
          <w:b/>
          <w:bCs/>
          <w:color w:val="000000"/>
          <w:sz w:val="24"/>
          <w:szCs w:val="24"/>
        </w:rPr>
      </w:pPr>
      <w:r>
        <w:rPr>
          <w:rFonts w:ascii="Times New Roman" w:hAnsi="Times New Roman"/>
          <w:b/>
          <w:bCs/>
          <w:color w:val="000000" w:themeColor="text1"/>
          <w:sz w:val="24"/>
          <w:szCs w:val="24"/>
        </w:rPr>
        <w:t>ABSTRACT</w:t>
      </w:r>
    </w:p>
    <w:p w14:paraId="62B48AF6" w14:textId="77777777" w:rsidR="003628FA" w:rsidRDefault="003628FA" w:rsidP="00B63EDF">
      <w:pPr>
        <w:spacing w:before="120" w:after="120" w:line="360" w:lineRule="auto"/>
        <w:jc w:val="both"/>
        <w:rPr>
          <w:rFonts w:ascii="Times New Roman" w:hAnsi="Times New Roman" w:cs="Times New Roman"/>
          <w:color w:val="000000" w:themeColor="text1"/>
          <w:sz w:val="24"/>
          <w:szCs w:val="24"/>
        </w:rPr>
      </w:pPr>
    </w:p>
    <w:p w14:paraId="5393F0F3" w14:textId="77777777" w:rsidR="00B066CF" w:rsidRDefault="003628FA" w:rsidP="003628FA">
      <w:pPr>
        <w:spacing w:before="120" w:after="120" w:line="48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T</w:t>
      </w:r>
      <w:r w:rsidRPr="009A4B9A">
        <w:rPr>
          <w:rFonts w:ascii="Times New Roman" w:hAnsi="Times New Roman"/>
          <w:color w:val="000000" w:themeColor="text1"/>
          <w:sz w:val="24"/>
          <w:szCs w:val="24"/>
        </w:rPr>
        <w:t xml:space="preserve">his study looks at how </w:t>
      </w:r>
      <w:r>
        <w:rPr>
          <w:rFonts w:ascii="Times New Roman" w:hAnsi="Times New Roman"/>
          <w:color w:val="000000" w:themeColor="text1"/>
          <w:sz w:val="24"/>
          <w:szCs w:val="24"/>
        </w:rPr>
        <w:t>executive compensation affects firm value</w:t>
      </w:r>
      <w:r w:rsidRPr="009A4B9A">
        <w:rPr>
          <w:rFonts w:ascii="Times New Roman" w:hAnsi="Times New Roman"/>
          <w:color w:val="000000" w:themeColor="text1"/>
          <w:sz w:val="24"/>
          <w:szCs w:val="24"/>
        </w:rPr>
        <w:t xml:space="preserve"> and the extent to which this relationship is sensitive to managerial </w:t>
      </w:r>
      <w:r>
        <w:rPr>
          <w:rFonts w:ascii="Times New Roman" w:hAnsi="Times New Roman"/>
          <w:color w:val="000000" w:themeColor="text1"/>
          <w:sz w:val="24"/>
          <w:szCs w:val="24"/>
        </w:rPr>
        <w:t>ownership and corporate governance factors</w:t>
      </w:r>
      <w:r w:rsidRPr="009A4B9A">
        <w:rPr>
          <w:rFonts w:ascii="Times New Roman" w:hAnsi="Times New Roman"/>
          <w:color w:val="000000" w:themeColor="text1"/>
          <w:sz w:val="24"/>
          <w:szCs w:val="24"/>
        </w:rPr>
        <w:t xml:space="preserve">. We use data from UK FTSE </w:t>
      </w:r>
      <w:r>
        <w:rPr>
          <w:rFonts w:ascii="Times New Roman" w:hAnsi="Times New Roman"/>
          <w:color w:val="000000" w:themeColor="text1"/>
          <w:sz w:val="24"/>
          <w:szCs w:val="24"/>
        </w:rPr>
        <w:t>10</w:t>
      </w:r>
      <w:r w:rsidRPr="009A4B9A">
        <w:rPr>
          <w:rFonts w:ascii="Times New Roman" w:hAnsi="Times New Roman"/>
          <w:color w:val="000000" w:themeColor="text1"/>
          <w:sz w:val="24"/>
          <w:szCs w:val="24"/>
        </w:rPr>
        <w:t>0 firms for the period 2007-201</w:t>
      </w:r>
      <w:r>
        <w:rPr>
          <w:rFonts w:ascii="Times New Roman" w:hAnsi="Times New Roman"/>
          <w:color w:val="000000" w:themeColor="text1"/>
          <w:sz w:val="24"/>
          <w:szCs w:val="24"/>
        </w:rPr>
        <w:t>2</w:t>
      </w:r>
      <w:r w:rsidRPr="009A4B9A">
        <w:rPr>
          <w:rFonts w:ascii="Times New Roman" w:hAnsi="Times New Roman"/>
          <w:color w:val="000000" w:themeColor="text1"/>
          <w:sz w:val="24"/>
          <w:szCs w:val="24"/>
        </w:rPr>
        <w:t xml:space="preserve">, generating a total of </w:t>
      </w:r>
      <w:r>
        <w:rPr>
          <w:rFonts w:ascii="Times New Roman" w:hAnsi="Times New Roman"/>
          <w:color w:val="000000" w:themeColor="text1"/>
          <w:sz w:val="24"/>
          <w:szCs w:val="24"/>
        </w:rPr>
        <w:t>5</w:t>
      </w:r>
      <w:r w:rsidRPr="009A4B9A">
        <w:rPr>
          <w:rFonts w:ascii="Times New Roman" w:hAnsi="Times New Roman"/>
          <w:color w:val="000000" w:themeColor="text1"/>
          <w:sz w:val="24"/>
          <w:szCs w:val="24"/>
        </w:rPr>
        <w:t xml:space="preserve">78 firm-year observations. </w:t>
      </w:r>
      <w:r>
        <w:rPr>
          <w:rFonts w:ascii="Times New Roman" w:hAnsi="Times New Roman"/>
          <w:color w:val="000000" w:themeColor="text1"/>
          <w:sz w:val="24"/>
          <w:szCs w:val="24"/>
        </w:rPr>
        <w:t>Consistent with optimal compensation theory, w</w:t>
      </w:r>
      <w:r w:rsidRPr="009A4B9A">
        <w:rPr>
          <w:rFonts w:ascii="Times New Roman" w:hAnsi="Times New Roman"/>
          <w:color w:val="000000" w:themeColor="text1"/>
          <w:sz w:val="24"/>
          <w:szCs w:val="24"/>
        </w:rPr>
        <w:t xml:space="preserve">e </w:t>
      </w:r>
      <w:r>
        <w:rPr>
          <w:rFonts w:ascii="Times New Roman" w:hAnsi="Times New Roman"/>
          <w:color w:val="000000" w:themeColor="text1"/>
          <w:sz w:val="24"/>
          <w:szCs w:val="24"/>
        </w:rPr>
        <w:t>find</w:t>
      </w:r>
      <w:r w:rsidRPr="009A4B9A">
        <w:rPr>
          <w:rFonts w:ascii="Times New Roman" w:hAnsi="Times New Roman"/>
          <w:color w:val="000000" w:themeColor="text1"/>
          <w:sz w:val="24"/>
          <w:szCs w:val="24"/>
        </w:rPr>
        <w:t xml:space="preserve"> that the </w:t>
      </w:r>
      <w:r>
        <w:rPr>
          <w:rFonts w:ascii="Times New Roman" w:hAnsi="Times New Roman"/>
          <w:color w:val="000000" w:themeColor="text1"/>
          <w:sz w:val="24"/>
          <w:szCs w:val="24"/>
        </w:rPr>
        <w:t>managerial</w:t>
      </w:r>
      <w:r w:rsidRPr="009A4B9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compensation </w:t>
      </w:r>
      <w:r w:rsidRPr="009A4B9A">
        <w:rPr>
          <w:rFonts w:ascii="Times New Roman" w:hAnsi="Times New Roman"/>
          <w:color w:val="000000" w:themeColor="text1"/>
          <w:sz w:val="24"/>
          <w:szCs w:val="24"/>
        </w:rPr>
        <w:t>–fi</w:t>
      </w:r>
      <w:r>
        <w:rPr>
          <w:rFonts w:ascii="Times New Roman" w:hAnsi="Times New Roman"/>
          <w:color w:val="000000" w:themeColor="text1"/>
          <w:sz w:val="24"/>
          <w:szCs w:val="24"/>
        </w:rPr>
        <w:t>rm value</w:t>
      </w:r>
      <w:r w:rsidRPr="009A4B9A">
        <w:rPr>
          <w:rFonts w:ascii="Times New Roman" w:hAnsi="Times New Roman"/>
          <w:color w:val="000000" w:themeColor="text1"/>
          <w:sz w:val="24"/>
          <w:szCs w:val="24"/>
        </w:rPr>
        <w:t xml:space="preserve"> is more sensitive to executive</w:t>
      </w:r>
      <w:r>
        <w:rPr>
          <w:rFonts w:ascii="Times New Roman" w:hAnsi="Times New Roman"/>
          <w:color w:val="000000" w:themeColor="text1"/>
          <w:sz w:val="24"/>
          <w:szCs w:val="24"/>
        </w:rPr>
        <w:t>s’</w:t>
      </w:r>
      <w:r w:rsidRPr="009A4B9A">
        <w:rPr>
          <w:rFonts w:ascii="Times New Roman" w:hAnsi="Times New Roman"/>
          <w:color w:val="000000" w:themeColor="text1"/>
          <w:sz w:val="24"/>
          <w:szCs w:val="24"/>
        </w:rPr>
        <w:t xml:space="preserve"> </w:t>
      </w:r>
      <w:r>
        <w:rPr>
          <w:rFonts w:ascii="Times New Roman" w:hAnsi="Times New Roman"/>
          <w:color w:val="000000" w:themeColor="text1"/>
          <w:sz w:val="24"/>
          <w:szCs w:val="24"/>
        </w:rPr>
        <w:t>ownership levels and other corporate governance indicators</w:t>
      </w:r>
      <w:r w:rsidRPr="009A4B9A">
        <w:rPr>
          <w:rFonts w:ascii="Times New Roman" w:hAnsi="Times New Roman"/>
          <w:color w:val="000000" w:themeColor="text1"/>
          <w:sz w:val="24"/>
          <w:szCs w:val="24"/>
        </w:rPr>
        <w:t xml:space="preserve">. Our results remain robust to alternative econometric models. </w:t>
      </w:r>
      <w:r>
        <w:rPr>
          <w:rFonts w:ascii="Times New Roman" w:hAnsi="Times New Roman" w:cs="Times New Roman"/>
          <w:color w:val="000000" w:themeColor="text1"/>
          <w:sz w:val="24"/>
          <w:szCs w:val="24"/>
        </w:rPr>
        <w:t>W</w:t>
      </w:r>
      <w:r w:rsidRPr="00B35761">
        <w:rPr>
          <w:rFonts w:ascii="Times New Roman" w:hAnsi="Times New Roman" w:cs="Times New Roman"/>
          <w:color w:val="000000" w:themeColor="text1"/>
          <w:sz w:val="24"/>
          <w:szCs w:val="24"/>
        </w:rPr>
        <w:t xml:space="preserve">e contribute to the literature on corporate governance and firm value (e.g., </w:t>
      </w:r>
      <w:proofErr w:type="spellStart"/>
      <w:r w:rsidRPr="00B35761">
        <w:rPr>
          <w:rFonts w:ascii="Times New Roman" w:hAnsi="Times New Roman" w:cs="Times New Roman"/>
          <w:color w:val="000000" w:themeColor="text1"/>
          <w:sz w:val="24"/>
          <w:szCs w:val="24"/>
        </w:rPr>
        <w:t>Ntim</w:t>
      </w:r>
      <w:proofErr w:type="spellEnd"/>
      <w:r w:rsidRPr="00B35761">
        <w:rPr>
          <w:rFonts w:ascii="Times New Roman" w:hAnsi="Times New Roman" w:cs="Times New Roman"/>
          <w:color w:val="000000" w:themeColor="text1"/>
          <w:sz w:val="24"/>
          <w:szCs w:val="24"/>
        </w:rPr>
        <w:t xml:space="preserve"> et al., 2019;</w:t>
      </w:r>
      <w:r>
        <w:rPr>
          <w:rFonts w:ascii="Times New Roman" w:hAnsi="Times New Roman" w:cs="Times New Roman"/>
          <w:color w:val="000000" w:themeColor="text1"/>
          <w:sz w:val="24"/>
          <w:szCs w:val="24"/>
        </w:rPr>
        <w:t xml:space="preserve"> </w:t>
      </w:r>
      <w:r w:rsidRPr="00B35761">
        <w:rPr>
          <w:rFonts w:ascii="Times New Roman" w:hAnsi="Times New Roman" w:cs="Times New Roman"/>
          <w:color w:val="000000" w:themeColor="text1"/>
          <w:sz w:val="24"/>
          <w:szCs w:val="24"/>
        </w:rPr>
        <w:t xml:space="preserve">Haque and </w:t>
      </w:r>
      <w:proofErr w:type="spellStart"/>
      <w:r w:rsidRPr="00B35761">
        <w:rPr>
          <w:rFonts w:ascii="Times New Roman" w:hAnsi="Times New Roman" w:cs="Times New Roman"/>
          <w:color w:val="000000" w:themeColor="text1"/>
          <w:sz w:val="24"/>
          <w:szCs w:val="24"/>
        </w:rPr>
        <w:t>Ntim</w:t>
      </w:r>
      <w:proofErr w:type="spellEnd"/>
      <w:r w:rsidRPr="00B35761">
        <w:rPr>
          <w:rFonts w:ascii="Times New Roman" w:hAnsi="Times New Roman" w:cs="Times New Roman"/>
          <w:color w:val="000000" w:themeColor="text1"/>
          <w:sz w:val="24"/>
          <w:szCs w:val="24"/>
        </w:rPr>
        <w:t xml:space="preserve">, 2020; Chu </w:t>
      </w:r>
      <w:r w:rsidRPr="00B35761">
        <w:rPr>
          <w:rFonts w:ascii="Times New Roman" w:hAnsi="Times New Roman" w:cs="Times New Roman"/>
          <w:i/>
          <w:color w:val="000000" w:themeColor="text1"/>
          <w:sz w:val="24"/>
          <w:szCs w:val="24"/>
        </w:rPr>
        <w:t>et al</w:t>
      </w:r>
      <w:r w:rsidRPr="00B35761">
        <w:rPr>
          <w:rFonts w:ascii="Times New Roman" w:hAnsi="Times New Roman" w:cs="Times New Roman"/>
          <w:color w:val="000000" w:themeColor="text1"/>
          <w:sz w:val="24"/>
          <w:szCs w:val="24"/>
        </w:rPr>
        <w:t xml:space="preserve">., 2020; </w:t>
      </w:r>
      <w:proofErr w:type="spellStart"/>
      <w:r w:rsidRPr="00B35761">
        <w:rPr>
          <w:rFonts w:ascii="Times New Roman" w:hAnsi="Times New Roman" w:cs="Times New Roman"/>
          <w:color w:val="000000" w:themeColor="text1"/>
          <w:sz w:val="24"/>
          <w:szCs w:val="24"/>
        </w:rPr>
        <w:t>Ozkan</w:t>
      </w:r>
      <w:proofErr w:type="spellEnd"/>
      <w:r w:rsidRPr="00B35761">
        <w:rPr>
          <w:rFonts w:ascii="Times New Roman" w:hAnsi="Times New Roman" w:cs="Times New Roman"/>
          <w:color w:val="000000" w:themeColor="text1"/>
          <w:sz w:val="24"/>
          <w:szCs w:val="24"/>
        </w:rPr>
        <w:t>, 2011;</w:t>
      </w:r>
      <w:r w:rsidRPr="00B35761">
        <w:rPr>
          <w:rFonts w:ascii="Times New Roman" w:hAnsi="Times New Roman" w:cs="Times New Roman"/>
          <w:i/>
          <w:sz w:val="24"/>
          <w:szCs w:val="24"/>
        </w:rPr>
        <w:t xml:space="preserve"> </w:t>
      </w:r>
      <w:proofErr w:type="spellStart"/>
      <w:r w:rsidRPr="00B35761">
        <w:rPr>
          <w:rFonts w:ascii="Times New Roman" w:hAnsi="Times New Roman" w:cs="Times New Roman"/>
          <w:sz w:val="24"/>
          <w:szCs w:val="24"/>
        </w:rPr>
        <w:t>Conyon</w:t>
      </w:r>
      <w:proofErr w:type="spellEnd"/>
      <w:r w:rsidRPr="00B35761">
        <w:rPr>
          <w:rFonts w:ascii="Times New Roman" w:hAnsi="Times New Roman" w:cs="Times New Roman"/>
          <w:sz w:val="24"/>
          <w:szCs w:val="24"/>
        </w:rPr>
        <w:t xml:space="preserve"> and Murphy, 2000).</w:t>
      </w:r>
      <w:r w:rsidRPr="00B35761">
        <w:rPr>
          <w:rFonts w:ascii="Times New Roman" w:hAnsi="Times New Roman" w:cs="Times New Roman"/>
          <w:color w:val="000000" w:themeColor="text1"/>
          <w:sz w:val="24"/>
          <w:szCs w:val="24"/>
        </w:rPr>
        <w:t xml:space="preserve"> While the paper builds on the executive bonus compensation literature, it also further</w:t>
      </w:r>
      <w:r>
        <w:rPr>
          <w:rFonts w:ascii="Times New Roman" w:hAnsi="Times New Roman" w:cs="Times New Roman"/>
          <w:color w:val="000000" w:themeColor="text1"/>
          <w:sz w:val="24"/>
          <w:szCs w:val="24"/>
        </w:rPr>
        <w:t>s</w:t>
      </w:r>
      <w:r w:rsidRPr="00B35761">
        <w:rPr>
          <w:rFonts w:ascii="Times New Roman" w:hAnsi="Times New Roman" w:cs="Times New Roman"/>
          <w:color w:val="000000" w:themeColor="text1"/>
          <w:sz w:val="24"/>
          <w:szCs w:val="24"/>
        </w:rPr>
        <w:t xml:space="preserve"> our understanding on the extent to </w:t>
      </w:r>
      <w:r>
        <w:rPr>
          <w:rFonts w:ascii="Times New Roman" w:hAnsi="Times New Roman" w:cs="Times New Roman"/>
          <w:color w:val="000000" w:themeColor="text1"/>
          <w:sz w:val="24"/>
          <w:szCs w:val="24"/>
        </w:rPr>
        <w:t xml:space="preserve">which </w:t>
      </w:r>
      <w:r w:rsidRPr="00B35761">
        <w:rPr>
          <w:rFonts w:ascii="Times New Roman" w:hAnsi="Times New Roman" w:cs="Times New Roman"/>
          <w:color w:val="000000" w:themeColor="text1"/>
          <w:sz w:val="24"/>
          <w:szCs w:val="24"/>
        </w:rPr>
        <w:t>managerial ownership, institutional ownership, board size and non-executive ownership matter in the executive bonus compensation – corporate value relationship with specific emphasis on UK FTSE 100 fi</w:t>
      </w:r>
      <w:r>
        <w:rPr>
          <w:rFonts w:ascii="Times New Roman" w:hAnsi="Times New Roman" w:cs="Times New Roman"/>
          <w:color w:val="000000" w:themeColor="text1"/>
          <w:sz w:val="24"/>
          <w:szCs w:val="24"/>
        </w:rPr>
        <w:t xml:space="preserve">rms. Our second contribution is </w:t>
      </w:r>
      <w:r w:rsidRPr="00B35761">
        <w:rPr>
          <w:rFonts w:ascii="Times New Roman" w:hAnsi="Times New Roman" w:cs="Times New Roman"/>
          <w:color w:val="000000" w:themeColor="text1"/>
          <w:sz w:val="24"/>
          <w:szCs w:val="24"/>
        </w:rPr>
        <w:t xml:space="preserve">related to the moderating role of managerial (executive) ownership. </w:t>
      </w:r>
      <w:r>
        <w:rPr>
          <w:rFonts w:ascii="Times New Roman" w:hAnsi="Times New Roman" w:cs="Times New Roman"/>
          <w:color w:val="000000" w:themeColor="text1"/>
          <w:sz w:val="24"/>
          <w:szCs w:val="24"/>
        </w:rPr>
        <w:t>W</w:t>
      </w:r>
      <w:r w:rsidRPr="00B35761">
        <w:rPr>
          <w:rFonts w:ascii="Times New Roman" w:hAnsi="Times New Roman" w:cs="Times New Roman"/>
          <w:color w:val="000000" w:themeColor="text1"/>
          <w:sz w:val="24"/>
          <w:szCs w:val="24"/>
        </w:rPr>
        <w:t>e show that as executives residual interest</w:t>
      </w:r>
      <w:r>
        <w:rPr>
          <w:rFonts w:ascii="Times New Roman" w:hAnsi="Times New Roman" w:cs="Times New Roman"/>
          <w:color w:val="000000" w:themeColor="text1"/>
          <w:sz w:val="24"/>
          <w:szCs w:val="24"/>
        </w:rPr>
        <w:t>s</w:t>
      </w:r>
      <w:r w:rsidRPr="00B35761">
        <w:rPr>
          <w:rFonts w:ascii="Times New Roman" w:hAnsi="Times New Roman" w:cs="Times New Roman"/>
          <w:color w:val="000000" w:themeColor="text1"/>
          <w:sz w:val="24"/>
          <w:szCs w:val="24"/>
        </w:rPr>
        <w:t xml:space="preserve"> go up, managers become more conscious of the firm’s idiosyncratic risk, and hence lessen their aggressive investment and financing strategies culminating in lower firm value.</w:t>
      </w:r>
    </w:p>
    <w:p w14:paraId="6058869D" w14:textId="77777777" w:rsidR="00B066CF" w:rsidRDefault="00B066CF" w:rsidP="003628FA">
      <w:pPr>
        <w:spacing w:before="120" w:after="120" w:line="480" w:lineRule="auto"/>
        <w:jc w:val="both"/>
        <w:rPr>
          <w:rFonts w:ascii="Times New Roman" w:hAnsi="Times New Roman" w:cs="Times New Roman"/>
          <w:color w:val="000000" w:themeColor="text1"/>
          <w:sz w:val="24"/>
          <w:szCs w:val="24"/>
        </w:rPr>
      </w:pPr>
    </w:p>
    <w:p w14:paraId="4773A371" w14:textId="1738F9C6" w:rsidR="003628FA" w:rsidRPr="003628FA" w:rsidRDefault="00B066CF" w:rsidP="003628FA">
      <w:pPr>
        <w:spacing w:before="120" w:after="120" w:line="48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Key words: managerial compensation; firm performance; ownership</w:t>
      </w:r>
    </w:p>
    <w:p w14:paraId="3F74507C" w14:textId="362A5364" w:rsidR="003628FA" w:rsidRDefault="003628FA" w:rsidP="00B63EDF">
      <w:pPr>
        <w:spacing w:before="120" w:after="120" w:line="360" w:lineRule="auto"/>
        <w:jc w:val="both"/>
        <w:rPr>
          <w:rFonts w:ascii="Times New Roman" w:hAnsi="Times New Roman" w:cs="Times New Roman"/>
          <w:color w:val="000000" w:themeColor="text1"/>
          <w:sz w:val="24"/>
          <w:szCs w:val="24"/>
        </w:rPr>
        <w:sectPr w:rsidR="003628FA">
          <w:footerReference w:type="default" r:id="rId8"/>
          <w:pgSz w:w="11906" w:h="16838"/>
          <w:pgMar w:top="1440" w:right="1440" w:bottom="1440" w:left="1440" w:header="708" w:footer="708" w:gutter="0"/>
          <w:cols w:space="708"/>
          <w:docGrid w:linePitch="360"/>
        </w:sectPr>
      </w:pPr>
    </w:p>
    <w:p w14:paraId="00D28059" w14:textId="165BEA0E" w:rsidR="009A4B9A" w:rsidRDefault="009A4B9A" w:rsidP="006860E3">
      <w:pPr>
        <w:spacing w:line="240" w:lineRule="auto"/>
        <w:rPr>
          <w:rFonts w:ascii="Times New Roman" w:hAnsi="Times New Roman" w:cs="Times New Roman"/>
          <w:b/>
          <w:color w:val="000000" w:themeColor="text1"/>
          <w:sz w:val="24"/>
          <w:szCs w:val="24"/>
        </w:rPr>
      </w:pPr>
    </w:p>
    <w:p w14:paraId="4A0375AA" w14:textId="554877EC" w:rsidR="009A4B9A" w:rsidRDefault="009A4B9A" w:rsidP="006860E3">
      <w:pPr>
        <w:spacing w:line="240" w:lineRule="auto"/>
        <w:rPr>
          <w:rFonts w:ascii="Times New Roman" w:hAnsi="Times New Roman" w:cs="Times New Roman"/>
          <w:b/>
          <w:color w:val="000000" w:themeColor="text1"/>
          <w:sz w:val="24"/>
          <w:szCs w:val="24"/>
        </w:rPr>
      </w:pPr>
    </w:p>
    <w:p w14:paraId="7932D353" w14:textId="7440C493" w:rsidR="006E40D3" w:rsidRPr="00B35761" w:rsidRDefault="00D5505E" w:rsidP="00D63E49">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INTRODUCTION</w:t>
      </w:r>
    </w:p>
    <w:p w14:paraId="13E6C7F3" w14:textId="0F3E53CB" w:rsidR="009B2AEA" w:rsidRDefault="006E40D3" w:rsidP="00D675E0">
      <w:pPr>
        <w:spacing w:before="120" w:after="120" w:line="360" w:lineRule="auto"/>
        <w:jc w:val="both"/>
        <w:rPr>
          <w:rFonts w:ascii="Times New Roman" w:hAnsi="Times New Roman" w:cs="Times New Roman"/>
          <w:color w:val="000000" w:themeColor="text1"/>
          <w:sz w:val="24"/>
          <w:szCs w:val="24"/>
        </w:rPr>
      </w:pPr>
      <w:r w:rsidRPr="00B35761">
        <w:rPr>
          <w:rFonts w:ascii="Times New Roman" w:hAnsi="Times New Roman" w:cs="Times New Roman"/>
          <w:color w:val="000000" w:themeColor="text1"/>
          <w:sz w:val="24"/>
          <w:szCs w:val="24"/>
        </w:rPr>
        <w:t xml:space="preserve">The substantial pay packages of company executives have aroused the attention of both academics and non-academics. Concerns on </w:t>
      </w:r>
      <w:r w:rsidR="00235396" w:rsidRPr="00B35761">
        <w:rPr>
          <w:rFonts w:ascii="Times New Roman" w:hAnsi="Times New Roman" w:cs="Times New Roman"/>
          <w:color w:val="000000" w:themeColor="text1"/>
          <w:sz w:val="24"/>
          <w:szCs w:val="24"/>
        </w:rPr>
        <w:t>corporate</w:t>
      </w:r>
      <w:r w:rsidRPr="00B35761">
        <w:rPr>
          <w:rFonts w:ascii="Times New Roman" w:hAnsi="Times New Roman" w:cs="Times New Roman"/>
          <w:color w:val="000000" w:themeColor="text1"/>
          <w:sz w:val="24"/>
          <w:szCs w:val="24"/>
        </w:rPr>
        <w:t xml:space="preserve"> </w:t>
      </w:r>
      <w:r w:rsidR="00973806" w:rsidRPr="00B35761">
        <w:rPr>
          <w:rFonts w:ascii="Times New Roman" w:hAnsi="Times New Roman" w:cs="Times New Roman"/>
          <w:color w:val="000000" w:themeColor="text1"/>
          <w:sz w:val="24"/>
          <w:szCs w:val="24"/>
        </w:rPr>
        <w:t>executives’</w:t>
      </w:r>
      <w:r w:rsidR="00235396" w:rsidRPr="00B35761">
        <w:rPr>
          <w:rFonts w:ascii="Times New Roman" w:hAnsi="Times New Roman" w:cs="Times New Roman"/>
          <w:color w:val="000000" w:themeColor="text1"/>
          <w:sz w:val="24"/>
          <w:szCs w:val="24"/>
        </w:rPr>
        <w:t xml:space="preserve"> </w:t>
      </w:r>
      <w:r w:rsidRPr="00B35761">
        <w:rPr>
          <w:rFonts w:ascii="Times New Roman" w:hAnsi="Times New Roman" w:cs="Times New Roman"/>
          <w:color w:val="000000" w:themeColor="text1"/>
          <w:sz w:val="24"/>
          <w:szCs w:val="24"/>
        </w:rPr>
        <w:t>compensation polic</w:t>
      </w:r>
      <w:r w:rsidR="00235396" w:rsidRPr="00B35761">
        <w:rPr>
          <w:rFonts w:ascii="Times New Roman" w:hAnsi="Times New Roman" w:cs="Times New Roman"/>
          <w:color w:val="000000" w:themeColor="text1"/>
          <w:sz w:val="24"/>
          <w:szCs w:val="24"/>
        </w:rPr>
        <w:t>y</w:t>
      </w:r>
      <w:r w:rsidRPr="00B35761">
        <w:rPr>
          <w:rFonts w:ascii="Times New Roman" w:hAnsi="Times New Roman" w:cs="Times New Roman"/>
          <w:color w:val="000000" w:themeColor="text1"/>
          <w:sz w:val="24"/>
          <w:szCs w:val="24"/>
        </w:rPr>
        <w:t xml:space="preserve">, widening pay inequality and poor corporate performances which were revealed by the 2007/2008 global financial crisis alerted shareholders </w:t>
      </w:r>
      <w:r w:rsidR="00235396" w:rsidRPr="00B35761">
        <w:rPr>
          <w:rFonts w:ascii="Times New Roman" w:hAnsi="Times New Roman" w:cs="Times New Roman"/>
          <w:color w:val="000000" w:themeColor="text1"/>
          <w:sz w:val="24"/>
          <w:szCs w:val="24"/>
        </w:rPr>
        <w:t xml:space="preserve">and regulators </w:t>
      </w:r>
      <w:r w:rsidR="00973806" w:rsidRPr="00B35761">
        <w:rPr>
          <w:rFonts w:ascii="Times New Roman" w:hAnsi="Times New Roman" w:cs="Times New Roman"/>
          <w:color w:val="000000" w:themeColor="text1"/>
          <w:sz w:val="24"/>
          <w:szCs w:val="24"/>
        </w:rPr>
        <w:t xml:space="preserve">on </w:t>
      </w:r>
      <w:r w:rsidR="00AA737C" w:rsidRPr="00B35761">
        <w:rPr>
          <w:rFonts w:ascii="Times New Roman" w:hAnsi="Times New Roman" w:cs="Times New Roman"/>
          <w:color w:val="000000" w:themeColor="text1"/>
          <w:sz w:val="24"/>
          <w:szCs w:val="24"/>
        </w:rPr>
        <w:t>how to design pay compensation to</w:t>
      </w:r>
      <w:r w:rsidR="00973806" w:rsidRPr="00B35761">
        <w:rPr>
          <w:rFonts w:ascii="Times New Roman" w:hAnsi="Times New Roman" w:cs="Times New Roman"/>
          <w:color w:val="000000" w:themeColor="text1"/>
          <w:sz w:val="24"/>
          <w:szCs w:val="24"/>
        </w:rPr>
        <w:t xml:space="preserve"> </w:t>
      </w:r>
      <w:r w:rsidR="00AA737C" w:rsidRPr="00B35761">
        <w:rPr>
          <w:rFonts w:ascii="Times New Roman" w:hAnsi="Times New Roman" w:cs="Times New Roman"/>
          <w:color w:val="000000" w:themeColor="text1"/>
          <w:sz w:val="24"/>
          <w:szCs w:val="24"/>
        </w:rPr>
        <w:t xml:space="preserve">influence managerial quality decision. </w:t>
      </w:r>
      <w:r w:rsidRPr="00B35761">
        <w:rPr>
          <w:rFonts w:ascii="Times New Roman" w:hAnsi="Times New Roman" w:cs="Times New Roman"/>
          <w:color w:val="000000" w:themeColor="text1"/>
          <w:sz w:val="24"/>
          <w:szCs w:val="24"/>
        </w:rPr>
        <w:t>It is therefore not surprising that shareholder</w:t>
      </w:r>
      <w:r w:rsidR="0071220E">
        <w:rPr>
          <w:rFonts w:ascii="Times New Roman" w:hAnsi="Times New Roman" w:cs="Times New Roman"/>
          <w:color w:val="000000" w:themeColor="text1"/>
          <w:sz w:val="24"/>
          <w:szCs w:val="24"/>
        </w:rPr>
        <w:t>s’</w:t>
      </w:r>
      <w:r w:rsidRPr="00B35761">
        <w:rPr>
          <w:rFonts w:ascii="Times New Roman" w:hAnsi="Times New Roman" w:cs="Times New Roman"/>
          <w:color w:val="000000" w:themeColor="text1"/>
          <w:sz w:val="24"/>
          <w:szCs w:val="24"/>
        </w:rPr>
        <w:t xml:space="preserve"> votes on executive compensation have been introduced in several European countries (</w:t>
      </w:r>
      <w:r w:rsidR="007859A8" w:rsidRPr="00B35761">
        <w:rPr>
          <w:rFonts w:ascii="Times New Roman" w:hAnsi="Times New Roman" w:cs="Times New Roman"/>
          <w:color w:val="000000" w:themeColor="text1"/>
          <w:sz w:val="24"/>
          <w:szCs w:val="24"/>
        </w:rPr>
        <w:t>see e.g.,</w:t>
      </w:r>
      <w:r w:rsidR="00AA737C" w:rsidRPr="00B35761">
        <w:rPr>
          <w:rFonts w:ascii="Times New Roman" w:hAnsi="Times New Roman" w:cs="Times New Roman"/>
          <w:color w:val="000000" w:themeColor="text1"/>
          <w:sz w:val="24"/>
          <w:szCs w:val="24"/>
        </w:rPr>
        <w:t xml:space="preserve"> </w:t>
      </w:r>
      <w:proofErr w:type="spellStart"/>
      <w:r w:rsidRPr="00B35761">
        <w:rPr>
          <w:rFonts w:ascii="Times New Roman" w:hAnsi="Times New Roman" w:cs="Times New Roman"/>
          <w:color w:val="000000" w:themeColor="text1"/>
          <w:sz w:val="24"/>
          <w:szCs w:val="24"/>
        </w:rPr>
        <w:t>Ferri</w:t>
      </w:r>
      <w:proofErr w:type="spellEnd"/>
      <w:r w:rsidRPr="00B35761">
        <w:rPr>
          <w:rFonts w:ascii="Times New Roman" w:hAnsi="Times New Roman" w:cs="Times New Roman"/>
          <w:color w:val="000000" w:themeColor="text1"/>
          <w:sz w:val="24"/>
          <w:szCs w:val="24"/>
        </w:rPr>
        <w:t xml:space="preserve"> and Maber, 2013). </w:t>
      </w:r>
      <w:r w:rsidR="0071220E">
        <w:rPr>
          <w:rFonts w:ascii="Times New Roman" w:hAnsi="Times New Roman" w:cs="Times New Roman"/>
          <w:color w:val="000000" w:themeColor="text1"/>
          <w:sz w:val="24"/>
          <w:szCs w:val="24"/>
        </w:rPr>
        <w:t>A</w:t>
      </w:r>
      <w:r w:rsidRPr="00B35761">
        <w:rPr>
          <w:rFonts w:ascii="Times New Roman" w:hAnsi="Times New Roman" w:cs="Times New Roman"/>
          <w:color w:val="000000" w:themeColor="text1"/>
          <w:sz w:val="24"/>
          <w:szCs w:val="24"/>
        </w:rPr>
        <w:t>cademic studies suggest that shareholders can use compensation as a tool to align their interests with corporate executives (</w:t>
      </w:r>
      <w:proofErr w:type="spellStart"/>
      <w:r w:rsidR="00054B72" w:rsidRPr="00B35761">
        <w:rPr>
          <w:rFonts w:ascii="Times New Roman" w:hAnsi="Times New Roman" w:cs="Times New Roman"/>
          <w:color w:val="000000" w:themeColor="text1"/>
          <w:sz w:val="24"/>
          <w:szCs w:val="24"/>
        </w:rPr>
        <w:t>Ntim</w:t>
      </w:r>
      <w:proofErr w:type="spellEnd"/>
      <w:r w:rsidR="00054B72" w:rsidRPr="00B35761">
        <w:rPr>
          <w:rFonts w:ascii="Times New Roman" w:hAnsi="Times New Roman" w:cs="Times New Roman"/>
          <w:color w:val="000000" w:themeColor="text1"/>
          <w:sz w:val="24"/>
          <w:szCs w:val="24"/>
        </w:rPr>
        <w:t xml:space="preserve"> et al., 2019</w:t>
      </w:r>
      <w:r w:rsidRPr="00B35761">
        <w:rPr>
          <w:rFonts w:ascii="Times New Roman" w:hAnsi="Times New Roman" w:cs="Times New Roman"/>
          <w:color w:val="000000" w:themeColor="text1"/>
          <w:sz w:val="24"/>
          <w:szCs w:val="24"/>
        </w:rPr>
        <w:t xml:space="preserve">; </w:t>
      </w:r>
      <w:proofErr w:type="spellStart"/>
      <w:r w:rsidR="007859A8" w:rsidRPr="00B35761">
        <w:rPr>
          <w:rFonts w:ascii="Times New Roman" w:hAnsi="Times New Roman" w:cs="Times New Roman"/>
          <w:color w:val="000000" w:themeColor="text1"/>
          <w:sz w:val="24"/>
          <w:szCs w:val="24"/>
        </w:rPr>
        <w:t>Ozkan</w:t>
      </w:r>
      <w:proofErr w:type="spellEnd"/>
      <w:r w:rsidR="007859A8" w:rsidRPr="00B35761">
        <w:rPr>
          <w:rFonts w:ascii="Times New Roman" w:hAnsi="Times New Roman" w:cs="Times New Roman"/>
          <w:color w:val="000000" w:themeColor="text1"/>
          <w:sz w:val="24"/>
          <w:szCs w:val="24"/>
        </w:rPr>
        <w:t xml:space="preserve">, 2011; </w:t>
      </w:r>
      <w:r w:rsidRPr="00B35761">
        <w:rPr>
          <w:rFonts w:ascii="Times New Roman" w:hAnsi="Times New Roman" w:cs="Times New Roman"/>
          <w:color w:val="000000" w:themeColor="text1"/>
          <w:sz w:val="24"/>
          <w:szCs w:val="24"/>
        </w:rPr>
        <w:t xml:space="preserve">Kaplan and </w:t>
      </w:r>
      <w:proofErr w:type="spellStart"/>
      <w:r w:rsidRPr="00B35761">
        <w:rPr>
          <w:rFonts w:ascii="Times New Roman" w:hAnsi="Times New Roman" w:cs="Times New Roman"/>
          <w:color w:val="000000" w:themeColor="text1"/>
          <w:sz w:val="24"/>
          <w:szCs w:val="24"/>
        </w:rPr>
        <w:t>Rauh</w:t>
      </w:r>
      <w:proofErr w:type="spellEnd"/>
      <w:r w:rsidRPr="00B35761">
        <w:rPr>
          <w:rFonts w:ascii="Times New Roman" w:hAnsi="Times New Roman" w:cs="Times New Roman"/>
          <w:color w:val="000000" w:themeColor="text1"/>
          <w:sz w:val="24"/>
          <w:szCs w:val="24"/>
        </w:rPr>
        <w:t xml:space="preserve">, 2010; Ortiz-Molina, 2007). Thus, efficient bonus compensation policies could induce corporate executives to employ costly effort to enhance the future growth opportunities of the firm and </w:t>
      </w:r>
      <w:r w:rsidR="0071220E">
        <w:rPr>
          <w:rFonts w:ascii="Times New Roman" w:hAnsi="Times New Roman" w:cs="Times New Roman"/>
          <w:color w:val="000000" w:themeColor="text1"/>
          <w:sz w:val="24"/>
          <w:szCs w:val="24"/>
        </w:rPr>
        <w:t>achieve</w:t>
      </w:r>
      <w:r w:rsidRPr="00B35761">
        <w:rPr>
          <w:rFonts w:ascii="Times New Roman" w:hAnsi="Times New Roman" w:cs="Times New Roman"/>
          <w:color w:val="000000" w:themeColor="text1"/>
          <w:sz w:val="24"/>
          <w:szCs w:val="24"/>
        </w:rPr>
        <w:t xml:space="preserve"> shareholder value maximization. Accordingly, the differing interests between managers and shareholders are minimized through efficient compensation design (</w:t>
      </w:r>
      <w:proofErr w:type="spellStart"/>
      <w:r w:rsidR="00054B72" w:rsidRPr="00B35761">
        <w:rPr>
          <w:rFonts w:ascii="Times New Roman" w:hAnsi="Times New Roman" w:cs="Times New Roman"/>
          <w:color w:val="000000" w:themeColor="text1"/>
          <w:sz w:val="24"/>
          <w:szCs w:val="24"/>
        </w:rPr>
        <w:t>Ntim</w:t>
      </w:r>
      <w:proofErr w:type="spellEnd"/>
      <w:r w:rsidR="00054B72" w:rsidRPr="00B35761">
        <w:rPr>
          <w:rFonts w:ascii="Times New Roman" w:hAnsi="Times New Roman" w:cs="Times New Roman"/>
          <w:color w:val="000000" w:themeColor="text1"/>
          <w:sz w:val="24"/>
          <w:szCs w:val="24"/>
        </w:rPr>
        <w:t xml:space="preserve"> et al. 2019</w:t>
      </w:r>
      <w:r w:rsidRPr="00B35761">
        <w:rPr>
          <w:rFonts w:ascii="Times New Roman" w:hAnsi="Times New Roman" w:cs="Times New Roman"/>
          <w:color w:val="000000" w:themeColor="text1"/>
          <w:sz w:val="24"/>
          <w:szCs w:val="24"/>
        </w:rPr>
        <w:t>; Ortiz-Molina, 2007). Despite th</w:t>
      </w:r>
      <w:r w:rsidR="00851CAD" w:rsidRPr="00B35761">
        <w:rPr>
          <w:rFonts w:ascii="Times New Roman" w:hAnsi="Times New Roman" w:cs="Times New Roman"/>
          <w:color w:val="000000" w:themeColor="text1"/>
          <w:sz w:val="24"/>
          <w:szCs w:val="24"/>
        </w:rPr>
        <w:t>e</w:t>
      </w:r>
      <w:r w:rsidRPr="00B35761">
        <w:rPr>
          <w:rFonts w:ascii="Times New Roman" w:hAnsi="Times New Roman" w:cs="Times New Roman"/>
          <w:color w:val="000000" w:themeColor="text1"/>
          <w:sz w:val="24"/>
          <w:szCs w:val="24"/>
        </w:rPr>
        <w:t xml:space="preserve"> growing </w:t>
      </w:r>
      <w:r w:rsidR="00851CAD" w:rsidRPr="00B35761">
        <w:rPr>
          <w:rFonts w:ascii="Times New Roman" w:hAnsi="Times New Roman" w:cs="Times New Roman"/>
          <w:color w:val="000000" w:themeColor="text1"/>
          <w:sz w:val="24"/>
          <w:szCs w:val="24"/>
        </w:rPr>
        <w:t xml:space="preserve">surge in research </w:t>
      </w:r>
      <w:r w:rsidRPr="00B35761">
        <w:rPr>
          <w:rFonts w:ascii="Times New Roman" w:hAnsi="Times New Roman" w:cs="Times New Roman"/>
          <w:color w:val="000000" w:themeColor="text1"/>
          <w:sz w:val="24"/>
          <w:szCs w:val="24"/>
        </w:rPr>
        <w:t>interest</w:t>
      </w:r>
      <w:r w:rsidR="00851CAD" w:rsidRPr="00B35761">
        <w:rPr>
          <w:rFonts w:ascii="Times New Roman" w:hAnsi="Times New Roman" w:cs="Times New Roman"/>
          <w:color w:val="000000" w:themeColor="text1"/>
          <w:sz w:val="24"/>
          <w:szCs w:val="24"/>
        </w:rPr>
        <w:t xml:space="preserve">s (both </w:t>
      </w:r>
      <w:r w:rsidR="005435DD" w:rsidRPr="00B35761">
        <w:rPr>
          <w:rFonts w:ascii="Times New Roman" w:hAnsi="Times New Roman" w:cs="Times New Roman"/>
          <w:color w:val="000000" w:themeColor="text1"/>
          <w:sz w:val="24"/>
          <w:szCs w:val="24"/>
        </w:rPr>
        <w:t>the</w:t>
      </w:r>
      <w:r w:rsidR="005435DD">
        <w:rPr>
          <w:rFonts w:ascii="Times New Roman" w:hAnsi="Times New Roman" w:cs="Times New Roman"/>
          <w:color w:val="000000" w:themeColor="text1"/>
          <w:sz w:val="24"/>
          <w:szCs w:val="24"/>
        </w:rPr>
        <w:t>ore</w:t>
      </w:r>
      <w:r w:rsidR="005435DD" w:rsidRPr="00B35761">
        <w:rPr>
          <w:rFonts w:ascii="Times New Roman" w:hAnsi="Times New Roman" w:cs="Times New Roman"/>
          <w:color w:val="000000" w:themeColor="text1"/>
          <w:sz w:val="24"/>
          <w:szCs w:val="24"/>
        </w:rPr>
        <w:t>tical</w:t>
      </w:r>
      <w:r w:rsidR="00851CAD" w:rsidRPr="00B35761">
        <w:rPr>
          <w:rFonts w:ascii="Times New Roman" w:hAnsi="Times New Roman" w:cs="Times New Roman"/>
          <w:color w:val="000000" w:themeColor="text1"/>
          <w:sz w:val="24"/>
          <w:szCs w:val="24"/>
        </w:rPr>
        <w:t xml:space="preserve"> and empirical)</w:t>
      </w:r>
      <w:r w:rsidR="0071220E">
        <w:rPr>
          <w:rFonts w:ascii="Times New Roman" w:hAnsi="Times New Roman" w:cs="Times New Roman"/>
          <w:color w:val="000000" w:themeColor="text1"/>
          <w:sz w:val="24"/>
          <w:szCs w:val="24"/>
        </w:rPr>
        <w:t xml:space="preserve"> on these subjects</w:t>
      </w:r>
      <w:r w:rsidRPr="00B35761">
        <w:rPr>
          <w:rFonts w:ascii="Times New Roman" w:hAnsi="Times New Roman" w:cs="Times New Roman"/>
          <w:color w:val="000000" w:themeColor="text1"/>
          <w:sz w:val="24"/>
          <w:szCs w:val="24"/>
        </w:rPr>
        <w:t>, our understanding of the implication</w:t>
      </w:r>
      <w:r w:rsidR="003B3803">
        <w:rPr>
          <w:rFonts w:ascii="Times New Roman" w:hAnsi="Times New Roman" w:cs="Times New Roman"/>
          <w:color w:val="000000" w:themeColor="text1"/>
          <w:sz w:val="24"/>
          <w:szCs w:val="24"/>
        </w:rPr>
        <w:t>s</w:t>
      </w:r>
      <w:r w:rsidRPr="00B35761">
        <w:rPr>
          <w:rFonts w:ascii="Times New Roman" w:hAnsi="Times New Roman" w:cs="Times New Roman"/>
          <w:color w:val="000000" w:themeColor="text1"/>
          <w:sz w:val="24"/>
          <w:szCs w:val="24"/>
        </w:rPr>
        <w:t xml:space="preserve"> of executive bonus compensation on firm value is </w:t>
      </w:r>
      <w:r w:rsidR="00054B72" w:rsidRPr="00B35761">
        <w:rPr>
          <w:rFonts w:ascii="Times New Roman" w:hAnsi="Times New Roman" w:cs="Times New Roman"/>
          <w:color w:val="000000" w:themeColor="text1"/>
          <w:sz w:val="24"/>
          <w:szCs w:val="24"/>
        </w:rPr>
        <w:t xml:space="preserve">still </w:t>
      </w:r>
      <w:r w:rsidRPr="00B35761">
        <w:rPr>
          <w:rFonts w:ascii="Times New Roman" w:hAnsi="Times New Roman" w:cs="Times New Roman"/>
          <w:color w:val="000000" w:themeColor="text1"/>
          <w:sz w:val="24"/>
          <w:szCs w:val="24"/>
        </w:rPr>
        <w:t xml:space="preserve">far from complete. </w:t>
      </w:r>
    </w:p>
    <w:p w14:paraId="0C2BA7D5" w14:textId="77777777" w:rsidR="009B2AEA" w:rsidRDefault="009B2AEA" w:rsidP="0071220E">
      <w:pPr>
        <w:spacing w:before="120" w:after="120" w:line="360" w:lineRule="auto"/>
        <w:jc w:val="both"/>
        <w:rPr>
          <w:rFonts w:ascii="Times New Roman" w:hAnsi="Times New Roman" w:cs="Times New Roman"/>
          <w:color w:val="000000" w:themeColor="text1"/>
          <w:sz w:val="24"/>
          <w:szCs w:val="24"/>
        </w:rPr>
      </w:pPr>
    </w:p>
    <w:p w14:paraId="056D43E5" w14:textId="70FBF341" w:rsidR="00DF006D" w:rsidRDefault="006E40D3" w:rsidP="00DF006D">
      <w:pPr>
        <w:spacing w:before="120" w:after="120" w:line="360" w:lineRule="auto"/>
        <w:jc w:val="both"/>
        <w:rPr>
          <w:rFonts w:ascii="Times New Roman" w:hAnsi="Times New Roman" w:cs="Times New Roman"/>
          <w:iCs/>
          <w:sz w:val="24"/>
          <w:szCs w:val="24"/>
        </w:rPr>
      </w:pPr>
      <w:r w:rsidRPr="00B35761">
        <w:rPr>
          <w:rFonts w:ascii="Times New Roman" w:hAnsi="Times New Roman" w:cs="Times New Roman"/>
          <w:color w:val="000000" w:themeColor="text1"/>
          <w:sz w:val="24"/>
          <w:szCs w:val="24"/>
        </w:rPr>
        <w:t>Evidence from prior studies have been mixed (</w:t>
      </w:r>
      <w:proofErr w:type="spellStart"/>
      <w:r w:rsidR="003D3B72" w:rsidRPr="00B35761">
        <w:rPr>
          <w:rFonts w:asciiTheme="majorBidi" w:eastAsia="Calibri" w:hAnsiTheme="majorBidi" w:cstheme="majorBidi"/>
          <w:sz w:val="24"/>
          <w:szCs w:val="24"/>
          <w:lang w:val="en-US"/>
        </w:rPr>
        <w:t>Malmendier</w:t>
      </w:r>
      <w:proofErr w:type="spellEnd"/>
      <w:r w:rsidR="003D3B72" w:rsidRPr="00B35761">
        <w:rPr>
          <w:rFonts w:asciiTheme="majorBidi" w:eastAsia="Calibri" w:hAnsiTheme="majorBidi" w:cstheme="majorBidi"/>
          <w:sz w:val="24"/>
          <w:szCs w:val="24"/>
          <w:lang w:val="en-US"/>
        </w:rPr>
        <w:t xml:space="preserve"> &amp; Tate, 2009; </w:t>
      </w:r>
      <w:r w:rsidR="00741D4D" w:rsidRPr="00B35761">
        <w:rPr>
          <w:rFonts w:ascii="Times New Roman" w:hAnsi="Times New Roman" w:cs="Times New Roman"/>
          <w:color w:val="000000" w:themeColor="text1"/>
          <w:sz w:val="24"/>
          <w:szCs w:val="24"/>
        </w:rPr>
        <w:t xml:space="preserve">Cooper et al., 2013; </w:t>
      </w:r>
      <w:proofErr w:type="spellStart"/>
      <w:r w:rsidR="00741D4D" w:rsidRPr="00B35761">
        <w:rPr>
          <w:rFonts w:ascii="Times New Roman" w:hAnsi="Times New Roman" w:cs="Times New Roman"/>
          <w:color w:val="000000" w:themeColor="text1"/>
          <w:sz w:val="24"/>
          <w:szCs w:val="24"/>
        </w:rPr>
        <w:t>Balafas</w:t>
      </w:r>
      <w:proofErr w:type="spellEnd"/>
      <w:r w:rsidR="00741D4D" w:rsidRPr="00B35761">
        <w:rPr>
          <w:rFonts w:ascii="Times New Roman" w:hAnsi="Times New Roman" w:cs="Times New Roman"/>
          <w:color w:val="000000" w:themeColor="text1"/>
          <w:sz w:val="24"/>
          <w:szCs w:val="24"/>
        </w:rPr>
        <w:t xml:space="preserve"> &amp; </w:t>
      </w:r>
      <w:proofErr w:type="spellStart"/>
      <w:r w:rsidR="00741D4D" w:rsidRPr="00B35761">
        <w:rPr>
          <w:rFonts w:ascii="Times New Roman" w:hAnsi="Times New Roman" w:cs="Times New Roman"/>
          <w:color w:val="000000" w:themeColor="text1"/>
          <w:sz w:val="24"/>
          <w:szCs w:val="24"/>
        </w:rPr>
        <w:t>Florackis</w:t>
      </w:r>
      <w:proofErr w:type="spellEnd"/>
      <w:r w:rsidR="00741D4D" w:rsidRPr="00B35761">
        <w:rPr>
          <w:rFonts w:ascii="Times New Roman" w:hAnsi="Times New Roman" w:cs="Times New Roman"/>
          <w:color w:val="000000" w:themeColor="text1"/>
          <w:sz w:val="24"/>
          <w:szCs w:val="24"/>
        </w:rPr>
        <w:t xml:space="preserve">, 2014; </w:t>
      </w:r>
      <w:proofErr w:type="spellStart"/>
      <w:r w:rsidR="00741D4D" w:rsidRPr="00B35761">
        <w:rPr>
          <w:rFonts w:ascii="Times New Roman" w:hAnsi="Times New Roman" w:cs="Times New Roman"/>
          <w:color w:val="000000" w:themeColor="text1"/>
          <w:sz w:val="24"/>
          <w:szCs w:val="24"/>
        </w:rPr>
        <w:t>Ntim</w:t>
      </w:r>
      <w:proofErr w:type="spellEnd"/>
      <w:r w:rsidR="00741D4D" w:rsidRPr="00B35761">
        <w:rPr>
          <w:rFonts w:ascii="Times New Roman" w:hAnsi="Times New Roman" w:cs="Times New Roman"/>
          <w:color w:val="000000" w:themeColor="text1"/>
          <w:sz w:val="24"/>
          <w:szCs w:val="24"/>
        </w:rPr>
        <w:t xml:space="preserve"> et al., 2019</w:t>
      </w:r>
      <w:r w:rsidRPr="00B35761">
        <w:rPr>
          <w:rFonts w:ascii="Times New Roman" w:hAnsi="Times New Roman" w:cs="Times New Roman"/>
          <w:color w:val="000000" w:themeColor="text1"/>
          <w:sz w:val="24"/>
          <w:szCs w:val="24"/>
        </w:rPr>
        <w:t xml:space="preserve">). </w:t>
      </w:r>
      <w:r w:rsidR="00DF006D">
        <w:rPr>
          <w:rFonts w:ascii="Times New Roman" w:hAnsi="Times New Roman" w:cs="Times New Roman"/>
          <w:color w:val="000000" w:themeColor="text1"/>
          <w:sz w:val="24"/>
          <w:szCs w:val="24"/>
        </w:rPr>
        <w:t>Most p</w:t>
      </w:r>
      <w:r w:rsidR="00741D4D" w:rsidRPr="00B35761">
        <w:rPr>
          <w:rFonts w:ascii="Times New Roman" w:hAnsi="Times New Roman" w:cs="Times New Roman"/>
          <w:color w:val="000000" w:themeColor="text1"/>
          <w:sz w:val="24"/>
          <w:szCs w:val="24"/>
        </w:rPr>
        <w:t xml:space="preserve">rior studies have employed panel data regression framework and found evidence of </w:t>
      </w:r>
      <w:r w:rsidR="004C4677" w:rsidRPr="00B35761">
        <w:rPr>
          <w:rFonts w:ascii="Times New Roman" w:hAnsi="Times New Roman" w:cs="Times New Roman"/>
          <w:color w:val="000000" w:themeColor="text1"/>
          <w:sz w:val="24"/>
          <w:szCs w:val="24"/>
        </w:rPr>
        <w:t xml:space="preserve">a decreasing relationship </w:t>
      </w:r>
      <w:r w:rsidR="009B2AEA">
        <w:rPr>
          <w:rFonts w:ascii="Times New Roman" w:hAnsi="Times New Roman" w:cs="Times New Roman"/>
          <w:color w:val="000000" w:themeColor="text1"/>
          <w:sz w:val="24"/>
          <w:szCs w:val="24"/>
        </w:rPr>
        <w:t>between</w:t>
      </w:r>
      <w:r w:rsidR="004C4677" w:rsidRPr="00B35761">
        <w:rPr>
          <w:rFonts w:ascii="Times New Roman" w:hAnsi="Times New Roman" w:cs="Times New Roman"/>
          <w:color w:val="000000" w:themeColor="text1"/>
          <w:sz w:val="24"/>
          <w:szCs w:val="24"/>
        </w:rPr>
        <w:t xml:space="preserve"> executive compensation</w:t>
      </w:r>
      <w:r w:rsidR="009B2AEA">
        <w:rPr>
          <w:rFonts w:ascii="Times New Roman" w:hAnsi="Times New Roman" w:cs="Times New Roman"/>
          <w:color w:val="000000" w:themeColor="text1"/>
          <w:sz w:val="24"/>
          <w:szCs w:val="24"/>
        </w:rPr>
        <w:t xml:space="preserve"> and firm</w:t>
      </w:r>
      <w:r w:rsidR="004C4677" w:rsidRPr="00B35761">
        <w:rPr>
          <w:rFonts w:ascii="Times New Roman" w:hAnsi="Times New Roman" w:cs="Times New Roman"/>
          <w:color w:val="000000" w:themeColor="text1"/>
          <w:sz w:val="24"/>
          <w:szCs w:val="24"/>
        </w:rPr>
        <w:t xml:space="preserve"> value. </w:t>
      </w:r>
      <w:r w:rsidR="00C930B6" w:rsidRPr="00B35761">
        <w:rPr>
          <w:rFonts w:ascii="Times New Roman" w:hAnsi="Times New Roman" w:cs="Times New Roman"/>
          <w:color w:val="000000" w:themeColor="text1"/>
          <w:sz w:val="24"/>
          <w:szCs w:val="24"/>
        </w:rPr>
        <w:t xml:space="preserve">However, </w:t>
      </w:r>
      <w:proofErr w:type="spellStart"/>
      <w:r w:rsidR="00C930B6" w:rsidRPr="00B35761">
        <w:rPr>
          <w:rFonts w:ascii="Times New Roman" w:hAnsi="Times New Roman" w:cs="Times New Roman"/>
          <w:color w:val="000000" w:themeColor="text1"/>
          <w:sz w:val="24"/>
          <w:szCs w:val="24"/>
        </w:rPr>
        <w:t>Ntim</w:t>
      </w:r>
      <w:proofErr w:type="spellEnd"/>
      <w:r w:rsidR="00C930B6" w:rsidRPr="00B35761">
        <w:rPr>
          <w:rFonts w:ascii="Times New Roman" w:hAnsi="Times New Roman" w:cs="Times New Roman"/>
          <w:color w:val="000000" w:themeColor="text1"/>
          <w:sz w:val="24"/>
          <w:szCs w:val="24"/>
        </w:rPr>
        <w:t xml:space="preserve"> et al. (2019) employed a robust technique (i.e., systems of equation</w:t>
      </w:r>
      <w:r w:rsidR="000D229D" w:rsidRPr="00B35761">
        <w:rPr>
          <w:rFonts w:ascii="Times New Roman" w:hAnsi="Times New Roman" w:cs="Times New Roman"/>
          <w:color w:val="000000" w:themeColor="text1"/>
          <w:sz w:val="24"/>
          <w:szCs w:val="24"/>
        </w:rPr>
        <w:t>s</w:t>
      </w:r>
      <w:r w:rsidR="00C930B6" w:rsidRPr="00B35761">
        <w:rPr>
          <w:rFonts w:ascii="Times New Roman" w:hAnsi="Times New Roman" w:cs="Times New Roman"/>
          <w:color w:val="000000" w:themeColor="text1"/>
          <w:sz w:val="24"/>
          <w:szCs w:val="24"/>
        </w:rPr>
        <w:t xml:space="preserve"> modelling) </w:t>
      </w:r>
      <w:r w:rsidR="003B3803">
        <w:rPr>
          <w:rFonts w:ascii="Times New Roman" w:hAnsi="Times New Roman" w:cs="Times New Roman"/>
          <w:color w:val="000000" w:themeColor="text1"/>
          <w:sz w:val="24"/>
          <w:szCs w:val="24"/>
        </w:rPr>
        <w:t>on</w:t>
      </w:r>
      <w:r w:rsidR="00C930B6" w:rsidRPr="00B35761">
        <w:rPr>
          <w:rFonts w:ascii="Times New Roman" w:hAnsi="Times New Roman" w:cs="Times New Roman"/>
          <w:color w:val="000000" w:themeColor="text1"/>
          <w:sz w:val="24"/>
          <w:szCs w:val="24"/>
        </w:rPr>
        <w:t xml:space="preserve"> South Africa</w:t>
      </w:r>
      <w:r w:rsidR="000D229D" w:rsidRPr="00B35761">
        <w:rPr>
          <w:rFonts w:ascii="Times New Roman" w:hAnsi="Times New Roman" w:cs="Times New Roman"/>
          <w:color w:val="000000" w:themeColor="text1"/>
          <w:sz w:val="24"/>
          <w:szCs w:val="24"/>
        </w:rPr>
        <w:t>n</w:t>
      </w:r>
      <w:r w:rsidR="00C930B6" w:rsidRPr="00B35761">
        <w:rPr>
          <w:rFonts w:ascii="Times New Roman" w:hAnsi="Times New Roman" w:cs="Times New Roman"/>
          <w:color w:val="000000" w:themeColor="text1"/>
          <w:sz w:val="24"/>
          <w:szCs w:val="24"/>
        </w:rPr>
        <w:t xml:space="preserve"> dataset</w:t>
      </w:r>
      <w:r w:rsidR="000D229D" w:rsidRPr="00B35761">
        <w:rPr>
          <w:rFonts w:ascii="Times New Roman" w:hAnsi="Times New Roman" w:cs="Times New Roman"/>
          <w:color w:val="000000" w:themeColor="text1"/>
          <w:sz w:val="24"/>
          <w:szCs w:val="24"/>
        </w:rPr>
        <w:t>s</w:t>
      </w:r>
      <w:r w:rsidR="00C930B6" w:rsidRPr="00B35761">
        <w:rPr>
          <w:rFonts w:ascii="Times New Roman" w:hAnsi="Times New Roman" w:cs="Times New Roman"/>
          <w:color w:val="000000" w:themeColor="text1"/>
          <w:sz w:val="24"/>
          <w:szCs w:val="24"/>
        </w:rPr>
        <w:t xml:space="preserve"> and reported positive relation</w:t>
      </w:r>
      <w:r w:rsidR="009B2AEA">
        <w:rPr>
          <w:rFonts w:ascii="Times New Roman" w:hAnsi="Times New Roman" w:cs="Times New Roman"/>
          <w:color w:val="000000" w:themeColor="text1"/>
          <w:sz w:val="24"/>
          <w:szCs w:val="24"/>
        </w:rPr>
        <w:t>ship between them</w:t>
      </w:r>
      <w:r w:rsidR="00C930B6" w:rsidRPr="00B35761">
        <w:rPr>
          <w:rFonts w:ascii="Times New Roman" w:hAnsi="Times New Roman" w:cs="Times New Roman"/>
          <w:color w:val="000000" w:themeColor="text1"/>
          <w:sz w:val="24"/>
          <w:szCs w:val="24"/>
        </w:rPr>
        <w:t xml:space="preserve">. </w:t>
      </w:r>
      <w:r w:rsidR="00D675E0">
        <w:rPr>
          <w:rFonts w:ascii="Times New Roman" w:hAnsi="Times New Roman" w:cs="Times New Roman"/>
          <w:color w:val="000000" w:themeColor="text1"/>
          <w:sz w:val="24"/>
          <w:szCs w:val="24"/>
        </w:rPr>
        <w:t>W</w:t>
      </w:r>
      <w:r w:rsidR="000D229D" w:rsidRPr="00B35761">
        <w:rPr>
          <w:rFonts w:ascii="Times New Roman" w:hAnsi="Times New Roman" w:cs="Times New Roman"/>
          <w:color w:val="000000" w:themeColor="text1"/>
          <w:sz w:val="24"/>
          <w:szCs w:val="24"/>
        </w:rPr>
        <w:t xml:space="preserve">e adopt </w:t>
      </w:r>
      <w:r w:rsidR="00D675E0">
        <w:rPr>
          <w:rFonts w:ascii="Times New Roman" w:hAnsi="Times New Roman" w:cs="Times New Roman"/>
          <w:color w:val="000000" w:themeColor="text1"/>
          <w:sz w:val="24"/>
          <w:szCs w:val="24"/>
        </w:rPr>
        <w:t xml:space="preserve">a </w:t>
      </w:r>
      <w:r w:rsidR="000D229D" w:rsidRPr="00B35761">
        <w:rPr>
          <w:rFonts w:ascii="Times New Roman" w:hAnsi="Times New Roman" w:cs="Times New Roman"/>
          <w:color w:val="000000" w:themeColor="text1"/>
          <w:sz w:val="24"/>
          <w:szCs w:val="24"/>
        </w:rPr>
        <w:t xml:space="preserve">similar technique </w:t>
      </w:r>
      <w:r w:rsidR="003B3803">
        <w:rPr>
          <w:rFonts w:ascii="Times New Roman" w:hAnsi="Times New Roman" w:cs="Times New Roman"/>
          <w:color w:val="000000" w:themeColor="text1"/>
          <w:sz w:val="24"/>
          <w:szCs w:val="24"/>
        </w:rPr>
        <w:t>on</w:t>
      </w:r>
      <w:r w:rsidR="000D229D" w:rsidRPr="00B35761">
        <w:rPr>
          <w:rFonts w:ascii="Times New Roman" w:hAnsi="Times New Roman" w:cs="Times New Roman"/>
          <w:color w:val="000000" w:themeColor="text1"/>
          <w:sz w:val="24"/>
          <w:szCs w:val="24"/>
        </w:rPr>
        <w:t xml:space="preserve"> our panel data of 575 firm-year observation of UK FTSE 100 firms for the period 2007-2012 </w:t>
      </w:r>
      <w:r w:rsidR="00591AE4" w:rsidRPr="00B35761">
        <w:rPr>
          <w:rFonts w:ascii="Times New Roman" w:hAnsi="Times New Roman" w:cs="Times New Roman"/>
          <w:color w:val="000000" w:themeColor="text1"/>
          <w:sz w:val="24"/>
          <w:szCs w:val="24"/>
        </w:rPr>
        <w:t>to</w:t>
      </w:r>
      <w:r w:rsidRPr="00B35761">
        <w:rPr>
          <w:rFonts w:ascii="Times New Roman" w:hAnsi="Times New Roman" w:cs="Times New Roman"/>
          <w:color w:val="000000" w:themeColor="text1"/>
          <w:sz w:val="24"/>
          <w:szCs w:val="24"/>
        </w:rPr>
        <w:t xml:space="preserve"> </w:t>
      </w:r>
      <w:r w:rsidR="00591AE4" w:rsidRPr="00B35761">
        <w:rPr>
          <w:rFonts w:ascii="Times New Roman" w:hAnsi="Times New Roman" w:cs="Times New Roman"/>
          <w:color w:val="000000" w:themeColor="text1"/>
          <w:sz w:val="24"/>
          <w:szCs w:val="24"/>
        </w:rPr>
        <w:t>analyse</w:t>
      </w:r>
      <w:r w:rsidRPr="00B35761">
        <w:rPr>
          <w:rFonts w:ascii="Times New Roman" w:hAnsi="Times New Roman" w:cs="Times New Roman"/>
          <w:color w:val="000000" w:themeColor="text1"/>
          <w:sz w:val="24"/>
          <w:szCs w:val="24"/>
        </w:rPr>
        <w:t xml:space="preserve"> the influence of executive bonus compensation on </w:t>
      </w:r>
      <w:r w:rsidR="00DF006D">
        <w:rPr>
          <w:rFonts w:ascii="Times New Roman" w:hAnsi="Times New Roman" w:cs="Times New Roman"/>
          <w:color w:val="000000" w:themeColor="text1"/>
          <w:sz w:val="24"/>
          <w:szCs w:val="24"/>
        </w:rPr>
        <w:t>firm value</w:t>
      </w:r>
      <w:r w:rsidR="00591AE4" w:rsidRPr="00B35761">
        <w:rPr>
          <w:rFonts w:ascii="Times New Roman" w:hAnsi="Times New Roman" w:cs="Times New Roman"/>
          <w:color w:val="000000" w:themeColor="text1"/>
          <w:sz w:val="24"/>
          <w:szCs w:val="24"/>
        </w:rPr>
        <w:t>.</w:t>
      </w:r>
      <w:r w:rsidRPr="00B35761">
        <w:rPr>
          <w:rFonts w:ascii="Times New Roman" w:hAnsi="Times New Roman" w:cs="Times New Roman"/>
          <w:color w:val="000000" w:themeColor="text1"/>
          <w:sz w:val="24"/>
          <w:szCs w:val="24"/>
        </w:rPr>
        <w:t xml:space="preserve"> This examination is important because it provides an insight into how top management incentives induce corporate value post 2008 financial crisis</w:t>
      </w:r>
      <w:r w:rsidR="009B2AEA">
        <w:rPr>
          <w:rFonts w:ascii="Times New Roman" w:hAnsi="Times New Roman" w:cs="Times New Roman"/>
          <w:color w:val="000000" w:themeColor="text1"/>
          <w:sz w:val="24"/>
          <w:szCs w:val="24"/>
        </w:rPr>
        <w:t>.</w:t>
      </w:r>
      <w:r w:rsidR="00765D9D" w:rsidRPr="00B35761">
        <w:rPr>
          <w:rFonts w:ascii="Times New Roman" w:hAnsi="Times New Roman" w:cs="Times New Roman"/>
          <w:color w:val="000000" w:themeColor="text1"/>
          <w:sz w:val="24"/>
          <w:szCs w:val="24"/>
        </w:rPr>
        <w:t xml:space="preserve"> </w:t>
      </w:r>
      <w:r w:rsidR="009B2AEA">
        <w:rPr>
          <w:rFonts w:ascii="Times New Roman" w:hAnsi="Times New Roman" w:cs="Times New Roman"/>
          <w:color w:val="000000" w:themeColor="text1"/>
          <w:sz w:val="24"/>
          <w:szCs w:val="24"/>
        </w:rPr>
        <w:t xml:space="preserve">Most prior studies on this issue </w:t>
      </w:r>
      <w:r w:rsidRPr="00B35761">
        <w:rPr>
          <w:rFonts w:ascii="Times New Roman" w:hAnsi="Times New Roman" w:cs="Times New Roman"/>
          <w:color w:val="000000" w:themeColor="text1"/>
          <w:sz w:val="24"/>
          <w:szCs w:val="24"/>
        </w:rPr>
        <w:t xml:space="preserve">(e.g., </w:t>
      </w:r>
      <w:proofErr w:type="spellStart"/>
      <w:r w:rsidRPr="00B35761">
        <w:rPr>
          <w:rFonts w:ascii="Times New Roman" w:hAnsi="Times New Roman" w:cs="Times New Roman"/>
          <w:sz w:val="24"/>
          <w:szCs w:val="24"/>
        </w:rPr>
        <w:t>Conyon</w:t>
      </w:r>
      <w:proofErr w:type="spellEnd"/>
      <w:r w:rsidRPr="00B35761">
        <w:rPr>
          <w:rFonts w:ascii="Times New Roman" w:hAnsi="Times New Roman" w:cs="Times New Roman"/>
          <w:sz w:val="24"/>
          <w:szCs w:val="24"/>
        </w:rPr>
        <w:t xml:space="preserve"> </w:t>
      </w:r>
      <w:r w:rsidRPr="00B35761">
        <w:rPr>
          <w:rFonts w:ascii="Times New Roman" w:hAnsi="Times New Roman" w:cs="Times New Roman"/>
          <w:i/>
          <w:sz w:val="24"/>
          <w:szCs w:val="24"/>
        </w:rPr>
        <w:t>et al.,</w:t>
      </w:r>
      <w:r w:rsidRPr="00B35761">
        <w:rPr>
          <w:rFonts w:ascii="Times New Roman" w:hAnsi="Times New Roman" w:cs="Times New Roman"/>
          <w:sz w:val="24"/>
          <w:szCs w:val="24"/>
        </w:rPr>
        <w:t xml:space="preserve"> 1995; Core </w:t>
      </w:r>
      <w:r w:rsidRPr="00B35761">
        <w:rPr>
          <w:rFonts w:ascii="Times New Roman" w:hAnsi="Times New Roman" w:cs="Times New Roman"/>
          <w:i/>
          <w:sz w:val="24"/>
          <w:szCs w:val="24"/>
        </w:rPr>
        <w:t xml:space="preserve">et al., 1999; </w:t>
      </w:r>
      <w:proofErr w:type="spellStart"/>
      <w:r w:rsidRPr="00B35761">
        <w:rPr>
          <w:rFonts w:ascii="Times New Roman" w:hAnsi="Times New Roman" w:cs="Times New Roman"/>
          <w:sz w:val="24"/>
          <w:szCs w:val="24"/>
        </w:rPr>
        <w:t>Conyon</w:t>
      </w:r>
      <w:proofErr w:type="spellEnd"/>
      <w:r w:rsidRPr="00B35761">
        <w:rPr>
          <w:rFonts w:ascii="Times New Roman" w:hAnsi="Times New Roman" w:cs="Times New Roman"/>
          <w:sz w:val="24"/>
          <w:szCs w:val="24"/>
        </w:rPr>
        <w:t xml:space="preserve"> and Murphy, 2000) were conducted before the crisis</w:t>
      </w:r>
      <w:r w:rsidR="00DF006D">
        <w:rPr>
          <w:rFonts w:ascii="Times New Roman" w:hAnsi="Times New Roman" w:cs="Times New Roman"/>
          <w:sz w:val="24"/>
          <w:szCs w:val="24"/>
        </w:rPr>
        <w:t>,</w:t>
      </w:r>
      <w:r w:rsidR="000A31A6">
        <w:rPr>
          <w:rFonts w:ascii="Times New Roman" w:hAnsi="Times New Roman" w:cs="Times New Roman"/>
          <w:i/>
          <w:sz w:val="24"/>
          <w:szCs w:val="24"/>
        </w:rPr>
        <w:t xml:space="preserve"> </w:t>
      </w:r>
      <w:r w:rsidR="00586790" w:rsidRPr="000B1951">
        <w:rPr>
          <w:rFonts w:ascii="Times New Roman" w:hAnsi="Times New Roman" w:cs="Times New Roman"/>
          <w:iCs/>
          <w:sz w:val="24"/>
          <w:szCs w:val="24"/>
        </w:rPr>
        <w:t>leaving an</w:t>
      </w:r>
      <w:r w:rsidR="009B2AEA">
        <w:rPr>
          <w:rFonts w:ascii="Times New Roman" w:hAnsi="Times New Roman" w:cs="Times New Roman"/>
          <w:iCs/>
          <w:sz w:val="24"/>
          <w:szCs w:val="24"/>
        </w:rPr>
        <w:t xml:space="preserve"> obvious</w:t>
      </w:r>
      <w:r w:rsidR="009B2AEA" w:rsidRPr="000B1951">
        <w:rPr>
          <w:rFonts w:ascii="Times New Roman" w:hAnsi="Times New Roman" w:cs="Times New Roman"/>
          <w:iCs/>
          <w:sz w:val="24"/>
          <w:szCs w:val="24"/>
        </w:rPr>
        <w:t xml:space="preserve"> gap in the literature on the impacts of the financial crisis on the </w:t>
      </w:r>
      <w:r w:rsidR="00DF006D">
        <w:rPr>
          <w:rFonts w:ascii="Times New Roman" w:hAnsi="Times New Roman" w:cs="Times New Roman"/>
          <w:iCs/>
          <w:sz w:val="24"/>
          <w:szCs w:val="24"/>
        </w:rPr>
        <w:t>‘</w:t>
      </w:r>
      <w:r w:rsidR="009B2AEA" w:rsidRPr="000B1951">
        <w:rPr>
          <w:rFonts w:ascii="Times New Roman" w:hAnsi="Times New Roman" w:cs="Times New Roman"/>
          <w:iCs/>
          <w:sz w:val="24"/>
          <w:szCs w:val="24"/>
        </w:rPr>
        <w:t>compensation-firm value</w:t>
      </w:r>
      <w:r w:rsidR="00DF006D">
        <w:rPr>
          <w:rFonts w:ascii="Times New Roman" w:hAnsi="Times New Roman" w:cs="Times New Roman"/>
          <w:iCs/>
          <w:sz w:val="24"/>
          <w:szCs w:val="24"/>
        </w:rPr>
        <w:t>’</w:t>
      </w:r>
      <w:r w:rsidR="009B2AEA" w:rsidRPr="000B1951">
        <w:rPr>
          <w:rFonts w:ascii="Times New Roman" w:hAnsi="Times New Roman" w:cs="Times New Roman"/>
          <w:iCs/>
          <w:sz w:val="24"/>
          <w:szCs w:val="24"/>
        </w:rPr>
        <w:t xml:space="preserve"> </w:t>
      </w:r>
      <w:r w:rsidR="00DF006D">
        <w:rPr>
          <w:rFonts w:ascii="Times New Roman" w:hAnsi="Times New Roman" w:cs="Times New Roman"/>
          <w:iCs/>
          <w:sz w:val="24"/>
          <w:szCs w:val="24"/>
        </w:rPr>
        <w:t>debate</w:t>
      </w:r>
      <w:r w:rsidR="009B2AEA">
        <w:rPr>
          <w:rFonts w:ascii="Times New Roman" w:hAnsi="Times New Roman" w:cs="Times New Roman"/>
          <w:i/>
          <w:sz w:val="24"/>
          <w:szCs w:val="24"/>
        </w:rPr>
        <w:t xml:space="preserve">. </w:t>
      </w:r>
      <w:r w:rsidR="00591AE4" w:rsidRPr="00B35761">
        <w:rPr>
          <w:rFonts w:ascii="Times New Roman" w:hAnsi="Times New Roman" w:cs="Times New Roman"/>
          <w:iCs/>
          <w:sz w:val="24"/>
          <w:szCs w:val="24"/>
        </w:rPr>
        <w:t xml:space="preserve"> </w:t>
      </w:r>
      <w:r w:rsidR="000A31A6">
        <w:rPr>
          <w:rFonts w:ascii="Times New Roman" w:hAnsi="Times New Roman" w:cs="Times New Roman"/>
          <w:iCs/>
          <w:sz w:val="24"/>
          <w:szCs w:val="24"/>
        </w:rPr>
        <w:t>Furthermore, p</w:t>
      </w:r>
      <w:r w:rsidR="00591AE4" w:rsidRPr="00B35761">
        <w:rPr>
          <w:rFonts w:ascii="Times New Roman" w:hAnsi="Times New Roman" w:cs="Times New Roman"/>
          <w:iCs/>
          <w:sz w:val="24"/>
          <w:szCs w:val="24"/>
        </w:rPr>
        <w:t>revious British studies</w:t>
      </w:r>
      <w:r w:rsidR="0099369B">
        <w:rPr>
          <w:rFonts w:ascii="Times New Roman" w:hAnsi="Times New Roman" w:cs="Times New Roman"/>
          <w:iCs/>
          <w:sz w:val="24"/>
          <w:szCs w:val="24"/>
        </w:rPr>
        <w:t xml:space="preserve"> (</w:t>
      </w:r>
      <w:r w:rsidR="001C3750">
        <w:rPr>
          <w:rFonts w:ascii="Times New Roman" w:hAnsi="Times New Roman" w:cs="Times New Roman"/>
          <w:iCs/>
          <w:sz w:val="24"/>
          <w:szCs w:val="24"/>
        </w:rPr>
        <w:t xml:space="preserve">e.g., </w:t>
      </w:r>
      <w:proofErr w:type="spellStart"/>
      <w:r w:rsidR="00423679">
        <w:rPr>
          <w:rFonts w:ascii="Times New Roman" w:hAnsi="Times New Roman" w:cs="Times New Roman"/>
          <w:iCs/>
          <w:sz w:val="24"/>
          <w:szCs w:val="24"/>
        </w:rPr>
        <w:t>Conyon</w:t>
      </w:r>
      <w:proofErr w:type="spellEnd"/>
      <w:r w:rsidR="00423679">
        <w:rPr>
          <w:rFonts w:ascii="Times New Roman" w:hAnsi="Times New Roman" w:cs="Times New Roman"/>
          <w:iCs/>
          <w:sz w:val="24"/>
          <w:szCs w:val="24"/>
        </w:rPr>
        <w:t xml:space="preserve"> and Murphy, 2000</w:t>
      </w:r>
      <w:r w:rsidR="0099369B">
        <w:rPr>
          <w:rFonts w:ascii="Times New Roman" w:hAnsi="Times New Roman" w:cs="Times New Roman"/>
          <w:iCs/>
          <w:sz w:val="24"/>
          <w:szCs w:val="24"/>
        </w:rPr>
        <w:t>)</w:t>
      </w:r>
      <w:r w:rsidR="00591AE4" w:rsidRPr="00B35761">
        <w:rPr>
          <w:rFonts w:ascii="Times New Roman" w:hAnsi="Times New Roman" w:cs="Times New Roman"/>
          <w:iCs/>
          <w:sz w:val="24"/>
          <w:szCs w:val="24"/>
        </w:rPr>
        <w:t xml:space="preserve"> </w:t>
      </w:r>
      <w:r w:rsidR="00EF429E">
        <w:rPr>
          <w:rFonts w:ascii="Times New Roman" w:hAnsi="Times New Roman" w:cs="Times New Roman"/>
          <w:iCs/>
          <w:sz w:val="24"/>
          <w:szCs w:val="24"/>
        </w:rPr>
        <w:t>on thi</w:t>
      </w:r>
      <w:r w:rsidR="000A31A6">
        <w:rPr>
          <w:rFonts w:ascii="Times New Roman" w:hAnsi="Times New Roman" w:cs="Times New Roman"/>
          <w:iCs/>
          <w:sz w:val="24"/>
          <w:szCs w:val="24"/>
        </w:rPr>
        <w:t>s topic</w:t>
      </w:r>
      <w:r w:rsidR="00EF429E">
        <w:rPr>
          <w:rFonts w:ascii="Times New Roman" w:hAnsi="Times New Roman" w:cs="Times New Roman"/>
          <w:iCs/>
          <w:sz w:val="24"/>
          <w:szCs w:val="24"/>
        </w:rPr>
        <w:t xml:space="preserve"> </w:t>
      </w:r>
      <w:r w:rsidR="00591AE4" w:rsidRPr="00B35761">
        <w:rPr>
          <w:rFonts w:ascii="Times New Roman" w:hAnsi="Times New Roman" w:cs="Times New Roman"/>
          <w:iCs/>
          <w:sz w:val="24"/>
          <w:szCs w:val="24"/>
        </w:rPr>
        <w:t xml:space="preserve">used lagged values to deal with endogeneity </w:t>
      </w:r>
      <w:r w:rsidR="000A31A6">
        <w:rPr>
          <w:rFonts w:ascii="Times New Roman" w:hAnsi="Times New Roman" w:cs="Times New Roman"/>
          <w:iCs/>
          <w:sz w:val="24"/>
          <w:szCs w:val="24"/>
        </w:rPr>
        <w:lastRenderedPageBreak/>
        <w:t>concerns</w:t>
      </w:r>
      <w:r w:rsidR="00591AE4" w:rsidRPr="00B35761">
        <w:rPr>
          <w:rFonts w:ascii="Times New Roman" w:hAnsi="Times New Roman" w:cs="Times New Roman"/>
          <w:iCs/>
          <w:sz w:val="24"/>
          <w:szCs w:val="24"/>
        </w:rPr>
        <w:t xml:space="preserve">, </w:t>
      </w:r>
      <w:r w:rsidR="000A31A6">
        <w:rPr>
          <w:rFonts w:ascii="Times New Roman" w:hAnsi="Times New Roman" w:cs="Times New Roman"/>
          <w:iCs/>
          <w:sz w:val="24"/>
          <w:szCs w:val="24"/>
        </w:rPr>
        <w:t>we bolstered our empirical findings with a more sophisticated techniques in dealing with endogeneity by using</w:t>
      </w:r>
      <w:r w:rsidR="00591AE4" w:rsidRPr="00B35761">
        <w:rPr>
          <w:rFonts w:ascii="Times New Roman" w:hAnsi="Times New Roman" w:cs="Times New Roman"/>
          <w:iCs/>
          <w:sz w:val="24"/>
          <w:szCs w:val="24"/>
        </w:rPr>
        <w:t xml:space="preserve"> a </w:t>
      </w:r>
      <w:r w:rsidR="009A2D83" w:rsidRPr="00B35761">
        <w:rPr>
          <w:rFonts w:ascii="Times New Roman" w:hAnsi="Times New Roman" w:cs="Times New Roman"/>
          <w:iCs/>
          <w:sz w:val="24"/>
          <w:szCs w:val="24"/>
        </w:rPr>
        <w:t xml:space="preserve">three-stage least squares technique </w:t>
      </w:r>
      <w:r w:rsidR="000A31A6">
        <w:rPr>
          <w:rFonts w:ascii="Times New Roman" w:hAnsi="Times New Roman" w:cs="Times New Roman"/>
          <w:iCs/>
          <w:sz w:val="24"/>
          <w:szCs w:val="24"/>
        </w:rPr>
        <w:t>in a</w:t>
      </w:r>
      <w:r w:rsidR="009A2D83" w:rsidRPr="00B35761">
        <w:rPr>
          <w:rFonts w:ascii="Times New Roman" w:hAnsi="Times New Roman" w:cs="Times New Roman"/>
          <w:iCs/>
          <w:sz w:val="24"/>
          <w:szCs w:val="24"/>
        </w:rPr>
        <w:t xml:space="preserve"> simultaneous equation model</w:t>
      </w:r>
      <w:r w:rsidR="000A31A6">
        <w:rPr>
          <w:rFonts w:ascii="Times New Roman" w:hAnsi="Times New Roman" w:cs="Times New Roman"/>
          <w:iCs/>
          <w:sz w:val="24"/>
          <w:szCs w:val="24"/>
        </w:rPr>
        <w:t xml:space="preserve">ling framework.  </w:t>
      </w:r>
    </w:p>
    <w:p w14:paraId="2DE1FEA1" w14:textId="094F183F" w:rsidR="006E40D3" w:rsidRDefault="00042A0F" w:rsidP="0099369B">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Although </w:t>
      </w:r>
      <w:r w:rsidRPr="00B35761">
        <w:rPr>
          <w:rFonts w:ascii="Times New Roman" w:hAnsi="Times New Roman" w:cs="Times New Roman"/>
          <w:color w:val="000000" w:themeColor="text1"/>
          <w:sz w:val="24"/>
          <w:szCs w:val="24"/>
        </w:rPr>
        <w:t>the</w:t>
      </w:r>
      <w:r w:rsidR="006E40D3" w:rsidRPr="00B35761">
        <w:rPr>
          <w:rFonts w:ascii="Times New Roman" w:hAnsi="Times New Roman" w:cs="Times New Roman"/>
          <w:color w:val="000000" w:themeColor="text1"/>
          <w:sz w:val="24"/>
          <w:szCs w:val="24"/>
        </w:rPr>
        <w:t xml:space="preserve"> UK has made a series of corporate governance reforms </w:t>
      </w:r>
      <w:r w:rsidR="00E81612">
        <w:rPr>
          <w:rFonts w:ascii="Times New Roman" w:hAnsi="Times New Roman" w:cs="Times New Roman"/>
          <w:color w:val="000000" w:themeColor="text1"/>
          <w:sz w:val="24"/>
          <w:szCs w:val="24"/>
        </w:rPr>
        <w:t xml:space="preserve">pre-financial crisis </w:t>
      </w:r>
      <w:r w:rsidR="006E40D3" w:rsidRPr="00B35761">
        <w:rPr>
          <w:rFonts w:ascii="Times New Roman" w:hAnsi="Times New Roman" w:cs="Times New Roman"/>
          <w:color w:val="000000" w:themeColor="text1"/>
          <w:sz w:val="24"/>
          <w:szCs w:val="24"/>
        </w:rPr>
        <w:t xml:space="preserve">to curb the lofty executive bonus pay (Cho </w:t>
      </w:r>
      <w:r w:rsidR="006E40D3" w:rsidRPr="00B35761">
        <w:rPr>
          <w:rFonts w:ascii="Times New Roman" w:hAnsi="Times New Roman" w:cs="Times New Roman"/>
          <w:i/>
          <w:color w:val="000000" w:themeColor="text1"/>
          <w:sz w:val="24"/>
          <w:szCs w:val="24"/>
        </w:rPr>
        <w:t>et al</w:t>
      </w:r>
      <w:r w:rsidR="006E40D3" w:rsidRPr="00B35761">
        <w:rPr>
          <w:rFonts w:ascii="Times New Roman" w:hAnsi="Times New Roman" w:cs="Times New Roman"/>
          <w:color w:val="000000" w:themeColor="text1"/>
          <w:sz w:val="24"/>
          <w:szCs w:val="24"/>
        </w:rPr>
        <w:t xml:space="preserve">., 2019; </w:t>
      </w:r>
      <w:proofErr w:type="spellStart"/>
      <w:r w:rsidR="006E40D3" w:rsidRPr="00B35761">
        <w:rPr>
          <w:rFonts w:ascii="Times New Roman" w:hAnsi="Times New Roman" w:cs="Times New Roman"/>
          <w:color w:val="000000" w:themeColor="text1"/>
          <w:sz w:val="24"/>
          <w:szCs w:val="24"/>
        </w:rPr>
        <w:t>Conyon</w:t>
      </w:r>
      <w:proofErr w:type="spellEnd"/>
      <w:r w:rsidR="006E40D3" w:rsidRPr="00B35761">
        <w:rPr>
          <w:rFonts w:ascii="Times New Roman" w:hAnsi="Times New Roman" w:cs="Times New Roman"/>
          <w:color w:val="000000" w:themeColor="text1"/>
          <w:sz w:val="24"/>
          <w:szCs w:val="24"/>
        </w:rPr>
        <w:t xml:space="preserve"> </w:t>
      </w:r>
      <w:r w:rsidR="006E40D3" w:rsidRPr="00B35761">
        <w:rPr>
          <w:rFonts w:ascii="Times New Roman" w:hAnsi="Times New Roman" w:cs="Times New Roman"/>
          <w:i/>
          <w:color w:val="000000" w:themeColor="text1"/>
          <w:sz w:val="24"/>
          <w:szCs w:val="24"/>
        </w:rPr>
        <w:t>et al</w:t>
      </w:r>
      <w:r w:rsidR="006E40D3" w:rsidRPr="00B35761">
        <w:rPr>
          <w:rFonts w:ascii="Times New Roman" w:hAnsi="Times New Roman" w:cs="Times New Roman"/>
          <w:color w:val="000000" w:themeColor="text1"/>
          <w:sz w:val="24"/>
          <w:szCs w:val="24"/>
        </w:rPr>
        <w:t xml:space="preserve">., 2001; </w:t>
      </w:r>
      <w:proofErr w:type="spellStart"/>
      <w:r w:rsidR="006E40D3" w:rsidRPr="00B35761">
        <w:rPr>
          <w:rFonts w:ascii="Times New Roman" w:hAnsi="Times New Roman" w:cs="Times New Roman"/>
          <w:color w:val="000000" w:themeColor="text1"/>
          <w:sz w:val="24"/>
          <w:szCs w:val="24"/>
        </w:rPr>
        <w:t>Greenbury</w:t>
      </w:r>
      <w:proofErr w:type="spellEnd"/>
      <w:r w:rsidR="006E40D3" w:rsidRPr="00B35761">
        <w:rPr>
          <w:rFonts w:ascii="Times New Roman" w:hAnsi="Times New Roman" w:cs="Times New Roman"/>
          <w:color w:val="000000" w:themeColor="text1"/>
          <w:sz w:val="24"/>
          <w:szCs w:val="24"/>
        </w:rPr>
        <w:t xml:space="preserve"> Report, 1995)</w:t>
      </w:r>
      <w:r w:rsidR="001465CA">
        <w:rPr>
          <w:rFonts w:ascii="Times New Roman" w:hAnsi="Times New Roman" w:cs="Times New Roman"/>
          <w:color w:val="000000" w:themeColor="text1"/>
          <w:sz w:val="24"/>
          <w:szCs w:val="24"/>
        </w:rPr>
        <w:t>,</w:t>
      </w:r>
      <w:r w:rsidR="006E40D3" w:rsidRPr="00B35761">
        <w:rPr>
          <w:rFonts w:ascii="Times New Roman" w:hAnsi="Times New Roman" w:cs="Times New Roman"/>
          <w:color w:val="000000" w:themeColor="text1"/>
          <w:sz w:val="24"/>
          <w:szCs w:val="24"/>
        </w:rPr>
        <w:t xml:space="preserve"> recent research shows that excessive executive bonus </w:t>
      </w:r>
      <w:r w:rsidR="00AC7CBF" w:rsidRPr="00B35761">
        <w:rPr>
          <w:rFonts w:ascii="Times New Roman" w:hAnsi="Times New Roman" w:cs="Times New Roman"/>
          <w:color w:val="000000" w:themeColor="text1"/>
          <w:sz w:val="24"/>
          <w:szCs w:val="24"/>
        </w:rPr>
        <w:t xml:space="preserve">pay </w:t>
      </w:r>
      <w:r w:rsidR="006E40D3" w:rsidRPr="00B35761">
        <w:rPr>
          <w:rFonts w:ascii="Times New Roman" w:hAnsi="Times New Roman" w:cs="Times New Roman"/>
          <w:color w:val="000000" w:themeColor="text1"/>
          <w:sz w:val="24"/>
          <w:szCs w:val="24"/>
        </w:rPr>
        <w:t>is regarded as one of the key factors that led to the collapse of many UK institutions during the 2007-2008 financial crisis (</w:t>
      </w:r>
      <w:r w:rsidR="009A2D83" w:rsidRPr="00B35761">
        <w:rPr>
          <w:rFonts w:ascii="Times New Roman" w:hAnsi="Times New Roman" w:cs="Times New Roman"/>
          <w:color w:val="000000" w:themeColor="text1"/>
          <w:sz w:val="24"/>
          <w:szCs w:val="24"/>
        </w:rPr>
        <w:t xml:space="preserve">see </w:t>
      </w:r>
      <w:r w:rsidR="006E40D3" w:rsidRPr="00B35761">
        <w:rPr>
          <w:rFonts w:ascii="Times New Roman" w:eastAsia="SimSun" w:hAnsi="Times New Roman" w:cs="Times New Roman"/>
          <w:color w:val="000000" w:themeColor="text1"/>
          <w:kern w:val="3"/>
          <w:sz w:val="24"/>
          <w:szCs w:val="24"/>
          <w:lang w:eastAsia="en-US"/>
        </w:rPr>
        <w:t xml:space="preserve">von Ehrlich and </w:t>
      </w:r>
      <w:proofErr w:type="spellStart"/>
      <w:r w:rsidR="006E40D3" w:rsidRPr="00B35761">
        <w:rPr>
          <w:rFonts w:ascii="Times New Roman" w:eastAsia="SimSun" w:hAnsi="Times New Roman" w:cs="Times New Roman"/>
          <w:color w:val="000000" w:themeColor="text1"/>
          <w:kern w:val="3"/>
          <w:sz w:val="24"/>
          <w:szCs w:val="24"/>
          <w:lang w:eastAsia="en-US"/>
        </w:rPr>
        <w:t>Radulescu</w:t>
      </w:r>
      <w:proofErr w:type="spellEnd"/>
      <w:r w:rsidR="006E40D3" w:rsidRPr="00B35761">
        <w:rPr>
          <w:rFonts w:ascii="Times New Roman" w:eastAsia="SimSun" w:hAnsi="Times New Roman" w:cs="Times New Roman"/>
          <w:color w:val="000000" w:themeColor="text1"/>
          <w:kern w:val="3"/>
          <w:sz w:val="24"/>
          <w:szCs w:val="24"/>
          <w:lang w:eastAsia="en-US"/>
        </w:rPr>
        <w:t>, 2017).</w:t>
      </w:r>
      <w:r w:rsidR="001465CA">
        <w:rPr>
          <w:rFonts w:ascii="Times New Roman" w:eastAsia="SimSun" w:hAnsi="Times New Roman" w:cs="Times New Roman"/>
          <w:color w:val="000000" w:themeColor="text1"/>
          <w:kern w:val="3"/>
          <w:sz w:val="24"/>
          <w:szCs w:val="24"/>
          <w:lang w:eastAsia="en-US"/>
        </w:rPr>
        <w:t xml:space="preserve"> To the end, we seek to understand the extent to which the ‘compensation- firm value’</w:t>
      </w:r>
      <w:r w:rsidR="0099369B">
        <w:rPr>
          <w:rFonts w:ascii="Times New Roman" w:eastAsia="SimSun" w:hAnsi="Times New Roman" w:cs="Times New Roman"/>
          <w:color w:val="000000" w:themeColor="text1"/>
          <w:kern w:val="3"/>
          <w:sz w:val="24"/>
          <w:szCs w:val="24"/>
          <w:lang w:eastAsia="en-US"/>
        </w:rPr>
        <w:t xml:space="preserve"> debate has been</w:t>
      </w:r>
      <w:r w:rsidR="001465CA">
        <w:rPr>
          <w:rFonts w:ascii="Times New Roman" w:eastAsia="SimSun" w:hAnsi="Times New Roman" w:cs="Times New Roman"/>
          <w:color w:val="000000" w:themeColor="text1"/>
          <w:kern w:val="3"/>
          <w:sz w:val="24"/>
          <w:szCs w:val="24"/>
          <w:lang w:eastAsia="en-US"/>
        </w:rPr>
        <w:t xml:space="preserve"> influenced by corporate governance mechanisms such as </w:t>
      </w:r>
      <w:r w:rsidR="001465CA" w:rsidRPr="00B35761">
        <w:rPr>
          <w:rFonts w:ascii="Times New Roman" w:hAnsi="Times New Roman" w:cs="Times New Roman"/>
          <w:color w:val="000000" w:themeColor="text1"/>
          <w:sz w:val="24"/>
          <w:szCs w:val="24"/>
        </w:rPr>
        <w:t>managerial stock ownership, institutional ownership, board size and non-executive ownership</w:t>
      </w:r>
      <w:r w:rsidR="001465CA">
        <w:rPr>
          <w:rFonts w:ascii="Times New Roman" w:eastAsia="SimSun" w:hAnsi="Times New Roman" w:cs="Times New Roman"/>
          <w:color w:val="000000" w:themeColor="text1"/>
          <w:kern w:val="3"/>
          <w:sz w:val="24"/>
          <w:szCs w:val="24"/>
          <w:lang w:eastAsia="en-US"/>
        </w:rPr>
        <w:t xml:space="preserve"> in the UK. </w:t>
      </w:r>
      <w:r w:rsidR="006E40D3" w:rsidRPr="00B35761">
        <w:rPr>
          <w:rFonts w:ascii="Times New Roman" w:eastAsia="SimSun" w:hAnsi="Times New Roman" w:cs="Times New Roman"/>
          <w:color w:val="000000" w:themeColor="text1"/>
          <w:kern w:val="3"/>
          <w:sz w:val="24"/>
          <w:szCs w:val="24"/>
          <w:lang w:eastAsia="en-US"/>
        </w:rPr>
        <w:t xml:space="preserve"> </w:t>
      </w:r>
      <w:r w:rsidR="00E81612">
        <w:rPr>
          <w:rFonts w:ascii="Times New Roman" w:eastAsia="SimSun" w:hAnsi="Times New Roman" w:cs="Times New Roman"/>
          <w:color w:val="000000" w:themeColor="text1"/>
          <w:kern w:val="3"/>
          <w:sz w:val="24"/>
          <w:szCs w:val="24"/>
          <w:lang w:eastAsia="en-US"/>
        </w:rPr>
        <w:t>R</w:t>
      </w:r>
      <w:r w:rsidR="00AC7CBF" w:rsidRPr="00B35761">
        <w:rPr>
          <w:rFonts w:ascii="Times New Roman" w:eastAsia="SimSun" w:hAnsi="Times New Roman" w:cs="Times New Roman"/>
          <w:color w:val="000000" w:themeColor="text1"/>
          <w:kern w:val="3"/>
          <w:sz w:val="24"/>
          <w:szCs w:val="24"/>
          <w:lang w:eastAsia="en-US"/>
        </w:rPr>
        <w:t xml:space="preserve">ecent </w:t>
      </w:r>
      <w:r w:rsidR="00AC7CBF" w:rsidRPr="00B35761">
        <w:rPr>
          <w:rFonts w:ascii="Times New Roman" w:hAnsi="Times New Roman" w:cs="Times New Roman"/>
          <w:sz w:val="24"/>
          <w:szCs w:val="24"/>
        </w:rPr>
        <w:t xml:space="preserve">findings from the High Pay Commission (HPC, 2012) </w:t>
      </w:r>
      <w:r w:rsidR="00DF006D">
        <w:rPr>
          <w:rFonts w:ascii="Times New Roman" w:hAnsi="Times New Roman" w:cs="Times New Roman"/>
          <w:sz w:val="24"/>
          <w:szCs w:val="24"/>
        </w:rPr>
        <w:t xml:space="preserve">also </w:t>
      </w:r>
      <w:r w:rsidR="00AC7CBF" w:rsidRPr="00B35761">
        <w:rPr>
          <w:rFonts w:ascii="Times New Roman" w:hAnsi="Times New Roman" w:cs="Times New Roman"/>
          <w:sz w:val="24"/>
          <w:szCs w:val="24"/>
        </w:rPr>
        <w:t>indicates that the remuneration of some top British executives has increased by more than 3000% in the last 30 years</w:t>
      </w:r>
      <w:r w:rsidR="00AC7CBF" w:rsidRPr="00B35761">
        <w:rPr>
          <w:rFonts w:ascii="Times New Roman" w:hAnsi="Times New Roman" w:cs="Times New Roman"/>
          <w:sz w:val="24"/>
          <w:szCs w:val="24"/>
          <w:vertAlign w:val="superscript"/>
        </w:rPr>
        <w:footnoteReference w:id="1"/>
      </w:r>
      <w:r w:rsidR="00AC7CBF" w:rsidRPr="00B35761">
        <w:rPr>
          <w:rFonts w:ascii="Times New Roman" w:hAnsi="Times New Roman" w:cs="Times New Roman"/>
          <w:sz w:val="24"/>
          <w:szCs w:val="24"/>
        </w:rPr>
        <w:t>.</w:t>
      </w:r>
      <w:r w:rsidR="001A04E8" w:rsidRPr="00B35761">
        <w:rPr>
          <w:rFonts w:ascii="Times New Roman" w:eastAsia="SimSun" w:hAnsi="Times New Roman" w:cs="Times New Roman"/>
          <w:color w:val="000000" w:themeColor="text1"/>
          <w:kern w:val="3"/>
          <w:sz w:val="24"/>
          <w:szCs w:val="24"/>
          <w:lang w:eastAsia="en-US"/>
        </w:rPr>
        <w:t xml:space="preserve"> </w:t>
      </w:r>
      <w:r w:rsidR="006E40D3" w:rsidRPr="00B35761">
        <w:rPr>
          <w:rFonts w:ascii="Times New Roman" w:hAnsi="Times New Roman" w:cs="Times New Roman"/>
          <w:color w:val="000000" w:themeColor="text1"/>
          <w:sz w:val="24"/>
          <w:szCs w:val="24"/>
        </w:rPr>
        <w:t xml:space="preserve">This makes the UK a preferred market to conduct our litmus test on how executive bonus compensation </w:t>
      </w:r>
      <w:r w:rsidRPr="00B35761">
        <w:rPr>
          <w:rFonts w:ascii="Times New Roman" w:hAnsi="Times New Roman" w:cs="Times New Roman"/>
          <w:color w:val="000000" w:themeColor="text1"/>
          <w:sz w:val="24"/>
          <w:szCs w:val="24"/>
        </w:rPr>
        <w:t>drives firm</w:t>
      </w:r>
      <w:r w:rsidR="006E40D3" w:rsidRPr="00B35761">
        <w:rPr>
          <w:rFonts w:ascii="Times New Roman" w:hAnsi="Times New Roman" w:cs="Times New Roman"/>
          <w:color w:val="000000" w:themeColor="text1"/>
          <w:sz w:val="24"/>
          <w:szCs w:val="24"/>
        </w:rPr>
        <w:t xml:space="preserve"> value. </w:t>
      </w:r>
    </w:p>
    <w:p w14:paraId="315A1523" w14:textId="77777777" w:rsidR="00E81612" w:rsidRPr="00B35761" w:rsidRDefault="00E81612" w:rsidP="00E81612">
      <w:pPr>
        <w:spacing w:before="120" w:after="120" w:line="360" w:lineRule="auto"/>
        <w:jc w:val="both"/>
        <w:rPr>
          <w:rFonts w:ascii="Times New Roman" w:eastAsia="SimSun" w:hAnsi="Times New Roman" w:cs="Times New Roman"/>
          <w:color w:val="000000" w:themeColor="text1"/>
          <w:kern w:val="3"/>
          <w:sz w:val="24"/>
          <w:szCs w:val="24"/>
          <w:lang w:eastAsia="en-US"/>
        </w:rPr>
      </w:pPr>
    </w:p>
    <w:p w14:paraId="51F23A7B" w14:textId="27BB8C3F" w:rsidR="006E40D3" w:rsidRPr="00B35761" w:rsidRDefault="006E40D3" w:rsidP="00DF006D">
      <w:pPr>
        <w:spacing w:before="120" w:after="120" w:line="360" w:lineRule="auto"/>
        <w:jc w:val="both"/>
        <w:rPr>
          <w:rFonts w:ascii="Times New Roman" w:hAnsi="Times New Roman" w:cs="Times New Roman"/>
          <w:color w:val="000000" w:themeColor="text1"/>
          <w:sz w:val="24"/>
          <w:szCs w:val="24"/>
        </w:rPr>
      </w:pPr>
      <w:r w:rsidRPr="00B35761">
        <w:rPr>
          <w:rFonts w:ascii="Times New Roman" w:hAnsi="Times New Roman" w:cs="Times New Roman"/>
          <w:color w:val="000000" w:themeColor="text1"/>
          <w:sz w:val="24"/>
          <w:szCs w:val="24"/>
        </w:rPr>
        <w:t>By way of preview, the evidence obtained in this study shows that executive bonus compensation positively affects firm value. This suggests that executives adopt appropriate policies to increase firm value as their incentives in the form of bonuses go up. Thus, through optimal compensation</w:t>
      </w:r>
      <w:r w:rsidR="000B7EE6">
        <w:rPr>
          <w:rFonts w:ascii="Times New Roman" w:hAnsi="Times New Roman" w:cs="Times New Roman"/>
          <w:color w:val="000000" w:themeColor="text1"/>
          <w:sz w:val="24"/>
          <w:szCs w:val="24"/>
        </w:rPr>
        <w:t>,</w:t>
      </w:r>
      <w:r w:rsidRPr="00B35761">
        <w:rPr>
          <w:rFonts w:ascii="Times New Roman" w:hAnsi="Times New Roman" w:cs="Times New Roman"/>
          <w:color w:val="000000" w:themeColor="text1"/>
          <w:sz w:val="24"/>
          <w:szCs w:val="24"/>
        </w:rPr>
        <w:t xml:space="preserve"> risk-averse executives are motivated to embark on appropriate investment and financing policies t</w:t>
      </w:r>
      <w:r w:rsidR="001A04E8" w:rsidRPr="00B35761">
        <w:rPr>
          <w:rFonts w:ascii="Times New Roman" w:hAnsi="Times New Roman" w:cs="Times New Roman"/>
          <w:color w:val="000000" w:themeColor="text1"/>
          <w:sz w:val="24"/>
          <w:szCs w:val="24"/>
        </w:rPr>
        <w:t>o</w:t>
      </w:r>
      <w:r w:rsidRPr="00B35761">
        <w:rPr>
          <w:rFonts w:ascii="Times New Roman" w:hAnsi="Times New Roman" w:cs="Times New Roman"/>
          <w:color w:val="000000" w:themeColor="text1"/>
          <w:sz w:val="24"/>
          <w:szCs w:val="24"/>
        </w:rPr>
        <w:t xml:space="preserve"> enhance corporate value. We also find that firms with higher executive or managerial ownership stakes experience lower firm value as executives’ </w:t>
      </w:r>
      <w:r w:rsidR="001A04E8" w:rsidRPr="00B35761">
        <w:rPr>
          <w:rFonts w:ascii="Times New Roman" w:hAnsi="Times New Roman" w:cs="Times New Roman"/>
          <w:color w:val="000000" w:themeColor="text1"/>
          <w:sz w:val="24"/>
          <w:szCs w:val="24"/>
        </w:rPr>
        <w:t xml:space="preserve">bonus </w:t>
      </w:r>
      <w:r w:rsidRPr="00B35761">
        <w:rPr>
          <w:rFonts w:ascii="Times New Roman" w:hAnsi="Times New Roman" w:cs="Times New Roman"/>
          <w:color w:val="000000" w:themeColor="text1"/>
          <w:sz w:val="24"/>
          <w:szCs w:val="24"/>
        </w:rPr>
        <w:t>compensation increases</w:t>
      </w:r>
      <w:r w:rsidR="001A04E8" w:rsidRPr="00B35761">
        <w:rPr>
          <w:rFonts w:ascii="Times New Roman" w:hAnsi="Times New Roman" w:cs="Times New Roman"/>
          <w:color w:val="000000" w:themeColor="text1"/>
          <w:sz w:val="24"/>
          <w:szCs w:val="24"/>
        </w:rPr>
        <w:t>. This</w:t>
      </w:r>
      <w:r w:rsidRPr="00B35761">
        <w:rPr>
          <w:rFonts w:ascii="Times New Roman" w:hAnsi="Times New Roman" w:cs="Times New Roman"/>
          <w:color w:val="000000" w:themeColor="text1"/>
          <w:sz w:val="24"/>
          <w:szCs w:val="24"/>
        </w:rPr>
        <w:t xml:space="preserve"> signall</w:t>
      </w:r>
      <w:r w:rsidR="001A04E8" w:rsidRPr="00B35761">
        <w:rPr>
          <w:rFonts w:ascii="Times New Roman" w:hAnsi="Times New Roman" w:cs="Times New Roman"/>
          <w:color w:val="000000" w:themeColor="text1"/>
          <w:sz w:val="24"/>
          <w:szCs w:val="24"/>
        </w:rPr>
        <w:t>ed</w:t>
      </w:r>
      <w:r w:rsidRPr="00B35761">
        <w:rPr>
          <w:rFonts w:ascii="Times New Roman" w:hAnsi="Times New Roman" w:cs="Times New Roman"/>
          <w:color w:val="000000" w:themeColor="text1"/>
          <w:sz w:val="24"/>
          <w:szCs w:val="24"/>
        </w:rPr>
        <w:t xml:space="preserve"> managerial entrenchment effect (</w:t>
      </w:r>
      <w:proofErr w:type="spellStart"/>
      <w:r w:rsidRPr="00B35761">
        <w:rPr>
          <w:rFonts w:ascii="Times New Roman" w:hAnsi="Times New Roman" w:cs="Times New Roman"/>
          <w:color w:val="000000" w:themeColor="text1"/>
          <w:sz w:val="24"/>
          <w:szCs w:val="24"/>
        </w:rPr>
        <w:t>Wei</w:t>
      </w:r>
      <w:r w:rsidR="001A04E8" w:rsidRPr="00B35761">
        <w:rPr>
          <w:rFonts w:ascii="Times New Roman" w:hAnsi="Times New Roman" w:cs="Times New Roman"/>
          <w:color w:val="000000" w:themeColor="text1"/>
          <w:sz w:val="24"/>
          <w:szCs w:val="24"/>
        </w:rPr>
        <w:t>s</w:t>
      </w:r>
      <w:r w:rsidRPr="00B35761">
        <w:rPr>
          <w:rFonts w:ascii="Times New Roman" w:hAnsi="Times New Roman" w:cs="Times New Roman"/>
          <w:color w:val="000000" w:themeColor="text1"/>
          <w:sz w:val="24"/>
          <w:szCs w:val="24"/>
        </w:rPr>
        <w:t>bach</w:t>
      </w:r>
      <w:proofErr w:type="spellEnd"/>
      <w:r w:rsidRPr="00B35761">
        <w:rPr>
          <w:rFonts w:ascii="Times New Roman" w:hAnsi="Times New Roman" w:cs="Times New Roman"/>
          <w:color w:val="000000" w:themeColor="text1"/>
          <w:sz w:val="24"/>
          <w:szCs w:val="24"/>
        </w:rPr>
        <w:t>, 2007</w:t>
      </w:r>
      <w:r w:rsidR="00724741" w:rsidRPr="00B35761">
        <w:rPr>
          <w:rFonts w:ascii="Times New Roman" w:hAnsi="Times New Roman" w:cs="Times New Roman"/>
          <w:color w:val="000000" w:themeColor="text1"/>
          <w:sz w:val="24"/>
          <w:szCs w:val="24"/>
        </w:rPr>
        <w:t xml:space="preserve">; </w:t>
      </w:r>
      <w:proofErr w:type="spellStart"/>
      <w:r w:rsidR="00724741" w:rsidRPr="00B35761">
        <w:rPr>
          <w:rFonts w:ascii="Times New Roman" w:hAnsi="Times New Roman" w:cs="Times New Roman"/>
          <w:color w:val="000000" w:themeColor="text1"/>
          <w:sz w:val="24"/>
          <w:szCs w:val="24"/>
        </w:rPr>
        <w:t>Bebchuk</w:t>
      </w:r>
      <w:proofErr w:type="spellEnd"/>
      <w:r w:rsidR="00724741" w:rsidRPr="00B35761">
        <w:rPr>
          <w:rFonts w:ascii="Times New Roman" w:hAnsi="Times New Roman" w:cs="Times New Roman"/>
          <w:color w:val="000000" w:themeColor="text1"/>
          <w:sz w:val="24"/>
          <w:szCs w:val="24"/>
        </w:rPr>
        <w:t xml:space="preserve"> &amp; Fried, 2003</w:t>
      </w:r>
      <w:r w:rsidRPr="00B35761">
        <w:rPr>
          <w:rFonts w:ascii="Times New Roman" w:hAnsi="Times New Roman" w:cs="Times New Roman"/>
          <w:color w:val="000000" w:themeColor="text1"/>
          <w:sz w:val="24"/>
          <w:szCs w:val="24"/>
        </w:rPr>
        <w:t xml:space="preserve">) where executives become more risk averse to undertake risky investment and financing policies which </w:t>
      </w:r>
      <w:r w:rsidR="00106D28" w:rsidRPr="00B35761">
        <w:rPr>
          <w:rFonts w:ascii="Times New Roman" w:hAnsi="Times New Roman" w:cs="Times New Roman"/>
          <w:color w:val="000000" w:themeColor="text1"/>
          <w:sz w:val="24"/>
          <w:szCs w:val="24"/>
        </w:rPr>
        <w:t>ultimately determine</w:t>
      </w:r>
      <w:r w:rsidRPr="00B35761">
        <w:rPr>
          <w:rFonts w:ascii="Times New Roman" w:hAnsi="Times New Roman" w:cs="Times New Roman"/>
          <w:color w:val="000000" w:themeColor="text1"/>
          <w:sz w:val="24"/>
          <w:szCs w:val="24"/>
        </w:rPr>
        <w:t xml:space="preserve"> corporate value. That is, </w:t>
      </w:r>
      <w:r w:rsidR="00421AF5" w:rsidRPr="00B35761">
        <w:rPr>
          <w:rFonts w:ascii="Times New Roman" w:hAnsi="Times New Roman" w:cs="Times New Roman"/>
          <w:color w:val="000000" w:themeColor="text1"/>
          <w:sz w:val="24"/>
          <w:szCs w:val="24"/>
        </w:rPr>
        <w:t xml:space="preserve">as </w:t>
      </w:r>
      <w:r w:rsidR="005170CE" w:rsidRPr="00B35761">
        <w:rPr>
          <w:rFonts w:ascii="Times New Roman" w:hAnsi="Times New Roman" w:cs="Times New Roman"/>
          <w:color w:val="000000" w:themeColor="text1"/>
          <w:sz w:val="24"/>
          <w:szCs w:val="24"/>
        </w:rPr>
        <w:t>executives’</w:t>
      </w:r>
      <w:r w:rsidR="00106D28" w:rsidRPr="00B35761">
        <w:rPr>
          <w:rFonts w:ascii="Times New Roman" w:hAnsi="Times New Roman" w:cs="Times New Roman"/>
          <w:color w:val="000000" w:themeColor="text1"/>
          <w:sz w:val="24"/>
          <w:szCs w:val="24"/>
        </w:rPr>
        <w:t xml:space="preserve"> </w:t>
      </w:r>
      <w:r w:rsidR="00421AF5" w:rsidRPr="00B35761">
        <w:rPr>
          <w:rFonts w:ascii="Times New Roman" w:hAnsi="Times New Roman" w:cs="Times New Roman"/>
          <w:color w:val="000000" w:themeColor="text1"/>
          <w:sz w:val="24"/>
          <w:szCs w:val="24"/>
        </w:rPr>
        <w:t xml:space="preserve">ownership </w:t>
      </w:r>
      <w:r w:rsidR="00DC614F" w:rsidRPr="00B35761">
        <w:rPr>
          <w:rFonts w:ascii="Times New Roman" w:hAnsi="Times New Roman" w:cs="Times New Roman"/>
          <w:color w:val="000000" w:themeColor="text1"/>
          <w:sz w:val="24"/>
          <w:szCs w:val="24"/>
        </w:rPr>
        <w:t>increases,</w:t>
      </w:r>
      <w:r w:rsidR="000371ED" w:rsidRPr="00B35761">
        <w:rPr>
          <w:rFonts w:ascii="Times New Roman" w:hAnsi="Times New Roman" w:cs="Times New Roman"/>
          <w:color w:val="000000" w:themeColor="text1"/>
          <w:sz w:val="24"/>
          <w:szCs w:val="24"/>
        </w:rPr>
        <w:t xml:space="preserve"> they</w:t>
      </w:r>
      <w:r w:rsidRPr="00B35761">
        <w:rPr>
          <w:rFonts w:ascii="Times New Roman" w:hAnsi="Times New Roman" w:cs="Times New Roman"/>
          <w:color w:val="000000" w:themeColor="text1"/>
          <w:sz w:val="24"/>
          <w:szCs w:val="24"/>
        </w:rPr>
        <w:t xml:space="preserve"> become less motivated to </w:t>
      </w:r>
      <w:r w:rsidR="005170CE" w:rsidRPr="00B35761">
        <w:rPr>
          <w:rFonts w:ascii="Times New Roman" w:hAnsi="Times New Roman" w:cs="Times New Roman"/>
          <w:color w:val="000000" w:themeColor="text1"/>
          <w:sz w:val="24"/>
          <w:szCs w:val="24"/>
        </w:rPr>
        <w:t xml:space="preserve">borrow </w:t>
      </w:r>
      <w:r w:rsidR="000371ED" w:rsidRPr="00B35761">
        <w:rPr>
          <w:rFonts w:ascii="Times New Roman" w:hAnsi="Times New Roman" w:cs="Times New Roman"/>
          <w:color w:val="000000" w:themeColor="text1"/>
          <w:sz w:val="24"/>
          <w:szCs w:val="24"/>
        </w:rPr>
        <w:t xml:space="preserve">to finance </w:t>
      </w:r>
      <w:r w:rsidRPr="00B35761">
        <w:rPr>
          <w:rFonts w:ascii="Times New Roman" w:hAnsi="Times New Roman" w:cs="Times New Roman"/>
          <w:color w:val="000000" w:themeColor="text1"/>
          <w:sz w:val="24"/>
          <w:szCs w:val="24"/>
        </w:rPr>
        <w:t xml:space="preserve">investment </w:t>
      </w:r>
      <w:r w:rsidR="000371ED" w:rsidRPr="00B35761">
        <w:rPr>
          <w:rFonts w:ascii="Times New Roman" w:hAnsi="Times New Roman" w:cs="Times New Roman"/>
          <w:color w:val="000000" w:themeColor="text1"/>
          <w:sz w:val="24"/>
          <w:szCs w:val="24"/>
        </w:rPr>
        <w:t xml:space="preserve">projects </w:t>
      </w:r>
      <w:r w:rsidR="005170CE" w:rsidRPr="00B35761">
        <w:rPr>
          <w:rFonts w:ascii="Times New Roman" w:hAnsi="Times New Roman" w:cs="Times New Roman"/>
          <w:color w:val="000000" w:themeColor="text1"/>
          <w:sz w:val="24"/>
          <w:szCs w:val="24"/>
        </w:rPr>
        <w:t>because such project failure may affect their</w:t>
      </w:r>
      <w:r w:rsidRPr="00B35761">
        <w:rPr>
          <w:rFonts w:ascii="Times New Roman" w:hAnsi="Times New Roman" w:cs="Times New Roman"/>
          <w:color w:val="000000" w:themeColor="text1"/>
          <w:sz w:val="24"/>
          <w:szCs w:val="24"/>
        </w:rPr>
        <w:t xml:space="preserve"> personal and economic </w:t>
      </w:r>
      <w:r w:rsidR="005170CE" w:rsidRPr="00B35761">
        <w:rPr>
          <w:rFonts w:ascii="Times New Roman" w:hAnsi="Times New Roman" w:cs="Times New Roman"/>
          <w:color w:val="000000" w:themeColor="text1"/>
          <w:sz w:val="24"/>
          <w:szCs w:val="24"/>
        </w:rPr>
        <w:t>benefits</w:t>
      </w:r>
      <w:r w:rsidRPr="00B35761">
        <w:rPr>
          <w:rFonts w:ascii="Times New Roman" w:hAnsi="Times New Roman" w:cs="Times New Roman"/>
          <w:color w:val="000000" w:themeColor="text1"/>
          <w:sz w:val="24"/>
          <w:szCs w:val="24"/>
        </w:rPr>
        <w:t xml:space="preserve"> (Grossman and Hart, 1982; Brailsford </w:t>
      </w:r>
      <w:r w:rsidRPr="00B35761">
        <w:rPr>
          <w:rFonts w:ascii="Times New Roman" w:hAnsi="Times New Roman" w:cs="Times New Roman"/>
          <w:i/>
          <w:color w:val="000000" w:themeColor="text1"/>
          <w:sz w:val="24"/>
          <w:szCs w:val="24"/>
        </w:rPr>
        <w:t>et al</w:t>
      </w:r>
      <w:r w:rsidRPr="00B35761">
        <w:rPr>
          <w:rFonts w:ascii="Times New Roman" w:hAnsi="Times New Roman" w:cs="Times New Roman"/>
          <w:color w:val="000000" w:themeColor="text1"/>
          <w:sz w:val="24"/>
          <w:szCs w:val="24"/>
        </w:rPr>
        <w:t xml:space="preserve">., 2002). Further, we observe that </w:t>
      </w:r>
      <w:r w:rsidR="000B7EE6">
        <w:rPr>
          <w:rFonts w:ascii="Times New Roman" w:hAnsi="Times New Roman" w:cs="Times New Roman"/>
          <w:color w:val="000000" w:themeColor="text1"/>
          <w:sz w:val="24"/>
          <w:szCs w:val="24"/>
        </w:rPr>
        <w:t>board size matters in the ‘compensation-firm value’ debate. Ex</w:t>
      </w:r>
      <w:r w:rsidR="000B7EE6" w:rsidRPr="00B35761">
        <w:rPr>
          <w:rFonts w:ascii="Times New Roman" w:hAnsi="Times New Roman" w:cs="Times New Roman"/>
          <w:color w:val="000000" w:themeColor="text1"/>
          <w:sz w:val="24"/>
          <w:szCs w:val="24"/>
        </w:rPr>
        <w:t>ecutives</w:t>
      </w:r>
      <w:r w:rsidRPr="00B35761">
        <w:rPr>
          <w:rFonts w:ascii="Times New Roman" w:hAnsi="Times New Roman" w:cs="Times New Roman"/>
          <w:color w:val="000000" w:themeColor="text1"/>
          <w:sz w:val="24"/>
          <w:szCs w:val="24"/>
        </w:rPr>
        <w:t xml:space="preserve"> in </w:t>
      </w:r>
      <w:r w:rsidR="000B7EE6">
        <w:rPr>
          <w:rFonts w:ascii="Times New Roman" w:hAnsi="Times New Roman" w:cs="Times New Roman"/>
          <w:color w:val="000000" w:themeColor="text1"/>
          <w:sz w:val="24"/>
          <w:szCs w:val="24"/>
        </w:rPr>
        <w:t xml:space="preserve">firms with </w:t>
      </w:r>
      <w:r w:rsidRPr="00B35761">
        <w:rPr>
          <w:rFonts w:ascii="Times New Roman" w:hAnsi="Times New Roman" w:cs="Times New Roman"/>
          <w:color w:val="000000" w:themeColor="text1"/>
          <w:sz w:val="24"/>
          <w:szCs w:val="24"/>
        </w:rPr>
        <w:t>small board size tend to experience lower corporate value as their bonus pay increases but those in larg</w:t>
      </w:r>
      <w:r w:rsidR="00DC614F" w:rsidRPr="00B35761">
        <w:rPr>
          <w:rFonts w:ascii="Times New Roman" w:hAnsi="Times New Roman" w:cs="Times New Roman"/>
          <w:color w:val="000000" w:themeColor="text1"/>
          <w:sz w:val="24"/>
          <w:szCs w:val="24"/>
        </w:rPr>
        <w:t>e</w:t>
      </w:r>
      <w:r w:rsidRPr="00B35761">
        <w:rPr>
          <w:rFonts w:ascii="Times New Roman" w:hAnsi="Times New Roman" w:cs="Times New Roman"/>
          <w:color w:val="000000" w:themeColor="text1"/>
          <w:sz w:val="24"/>
          <w:szCs w:val="24"/>
        </w:rPr>
        <w:t xml:space="preserve"> board size firms tend to increase firm value. This finding supports the monitoring role of larg</w:t>
      </w:r>
      <w:r w:rsidR="00DC614F" w:rsidRPr="00B35761">
        <w:rPr>
          <w:rFonts w:ascii="Times New Roman" w:hAnsi="Times New Roman" w:cs="Times New Roman"/>
          <w:color w:val="000000" w:themeColor="text1"/>
          <w:sz w:val="24"/>
          <w:szCs w:val="24"/>
        </w:rPr>
        <w:t>e</w:t>
      </w:r>
      <w:r w:rsidRPr="00B35761">
        <w:rPr>
          <w:rFonts w:ascii="Times New Roman" w:hAnsi="Times New Roman" w:cs="Times New Roman"/>
          <w:color w:val="000000" w:themeColor="text1"/>
          <w:sz w:val="24"/>
          <w:szCs w:val="24"/>
        </w:rPr>
        <w:t xml:space="preserve"> boards (</w:t>
      </w:r>
      <w:r w:rsidR="00DC614F" w:rsidRPr="00B35761">
        <w:rPr>
          <w:rFonts w:ascii="Times New Roman" w:hAnsi="Times New Roman" w:cs="Times New Roman"/>
          <w:color w:val="000000" w:themeColor="text1"/>
          <w:sz w:val="24"/>
          <w:szCs w:val="24"/>
        </w:rPr>
        <w:t xml:space="preserve">e.g., </w:t>
      </w:r>
      <w:proofErr w:type="spellStart"/>
      <w:r w:rsidR="00724741" w:rsidRPr="00B35761">
        <w:rPr>
          <w:rFonts w:ascii="Times New Roman" w:hAnsi="Times New Roman" w:cs="Times New Roman"/>
          <w:color w:val="000000" w:themeColor="text1"/>
          <w:sz w:val="24"/>
          <w:szCs w:val="24"/>
        </w:rPr>
        <w:t>Ntim</w:t>
      </w:r>
      <w:proofErr w:type="spellEnd"/>
      <w:r w:rsidR="00724741" w:rsidRPr="00B35761">
        <w:rPr>
          <w:rFonts w:ascii="Times New Roman" w:hAnsi="Times New Roman" w:cs="Times New Roman"/>
          <w:color w:val="000000" w:themeColor="text1"/>
          <w:sz w:val="24"/>
          <w:szCs w:val="24"/>
        </w:rPr>
        <w:t xml:space="preserve"> et al., 2019</w:t>
      </w:r>
      <w:r w:rsidRPr="00B35761">
        <w:rPr>
          <w:rFonts w:ascii="Times New Roman" w:hAnsi="Times New Roman" w:cs="Times New Roman"/>
          <w:color w:val="000000" w:themeColor="text1"/>
          <w:sz w:val="24"/>
          <w:szCs w:val="24"/>
        </w:rPr>
        <w:t xml:space="preserve">). </w:t>
      </w:r>
      <w:r w:rsidR="000B7EE6">
        <w:rPr>
          <w:rFonts w:ascii="Times New Roman" w:hAnsi="Times New Roman" w:cs="Times New Roman"/>
          <w:color w:val="000000" w:themeColor="text1"/>
          <w:sz w:val="24"/>
          <w:szCs w:val="24"/>
        </w:rPr>
        <w:t xml:space="preserve">Finally, </w:t>
      </w:r>
      <w:r w:rsidRPr="00B35761">
        <w:rPr>
          <w:rFonts w:ascii="Times New Roman" w:hAnsi="Times New Roman" w:cs="Times New Roman"/>
          <w:color w:val="000000" w:themeColor="text1"/>
          <w:sz w:val="24"/>
          <w:szCs w:val="24"/>
        </w:rPr>
        <w:t xml:space="preserve">we find that </w:t>
      </w:r>
      <w:r w:rsidR="00DF006D">
        <w:rPr>
          <w:rFonts w:ascii="Times New Roman" w:hAnsi="Times New Roman" w:cs="Times New Roman"/>
          <w:color w:val="000000" w:themeColor="text1"/>
          <w:sz w:val="24"/>
          <w:szCs w:val="24"/>
        </w:rPr>
        <w:t xml:space="preserve">low </w:t>
      </w:r>
      <w:r w:rsidRPr="00B35761">
        <w:rPr>
          <w:rFonts w:ascii="Times New Roman" w:hAnsi="Times New Roman" w:cs="Times New Roman"/>
          <w:color w:val="000000" w:themeColor="text1"/>
          <w:sz w:val="24"/>
          <w:szCs w:val="24"/>
        </w:rPr>
        <w:t xml:space="preserve">non-executives ownership is </w:t>
      </w:r>
      <w:r w:rsidR="00DF006D">
        <w:rPr>
          <w:rFonts w:ascii="Times New Roman" w:hAnsi="Times New Roman" w:cs="Times New Roman"/>
          <w:color w:val="000000" w:themeColor="text1"/>
          <w:sz w:val="24"/>
          <w:szCs w:val="24"/>
        </w:rPr>
        <w:t xml:space="preserve">associated with low corporate value </w:t>
      </w:r>
      <w:proofErr w:type="gramStart"/>
      <w:r w:rsidR="00DF006D">
        <w:rPr>
          <w:rFonts w:ascii="Times New Roman" w:hAnsi="Times New Roman" w:cs="Times New Roman"/>
          <w:color w:val="000000" w:themeColor="text1"/>
          <w:sz w:val="24"/>
          <w:szCs w:val="24"/>
        </w:rPr>
        <w:t xml:space="preserve">given </w:t>
      </w:r>
      <w:r w:rsidRPr="00B35761">
        <w:rPr>
          <w:rFonts w:ascii="Times New Roman" w:hAnsi="Times New Roman" w:cs="Times New Roman"/>
          <w:color w:val="000000" w:themeColor="text1"/>
          <w:sz w:val="24"/>
          <w:szCs w:val="24"/>
        </w:rPr>
        <w:t xml:space="preserve"> executive</w:t>
      </w:r>
      <w:proofErr w:type="gramEnd"/>
      <w:r w:rsidRPr="00B35761">
        <w:rPr>
          <w:rFonts w:ascii="Times New Roman" w:hAnsi="Times New Roman" w:cs="Times New Roman"/>
          <w:color w:val="000000" w:themeColor="text1"/>
          <w:sz w:val="24"/>
          <w:szCs w:val="24"/>
        </w:rPr>
        <w:t xml:space="preserve"> bonus compensation. </w:t>
      </w:r>
    </w:p>
    <w:p w14:paraId="18C09685" w14:textId="3EEA88FE" w:rsidR="00F432B9" w:rsidRPr="00B35761" w:rsidRDefault="006E40D3" w:rsidP="006E40D3">
      <w:pPr>
        <w:spacing w:before="120" w:after="120" w:line="360" w:lineRule="auto"/>
        <w:jc w:val="both"/>
        <w:rPr>
          <w:rFonts w:ascii="Times New Roman" w:hAnsi="Times New Roman" w:cs="Times New Roman"/>
          <w:color w:val="000000" w:themeColor="text1"/>
          <w:sz w:val="24"/>
          <w:szCs w:val="24"/>
        </w:rPr>
      </w:pPr>
      <w:r w:rsidRPr="00B35761">
        <w:rPr>
          <w:rFonts w:ascii="Times New Roman" w:hAnsi="Times New Roman" w:cs="Times New Roman"/>
          <w:color w:val="000000" w:themeColor="text1"/>
          <w:sz w:val="24"/>
          <w:szCs w:val="24"/>
        </w:rPr>
        <w:t>We conduct further tests to ascertain the robustness of our results. First, we measure our dependent variable by using alternative proxy (Tobin’s Q). Second, in addition to OLS estimation</w:t>
      </w:r>
      <w:r w:rsidR="0099369B">
        <w:rPr>
          <w:rFonts w:ascii="Times New Roman" w:hAnsi="Times New Roman" w:cs="Times New Roman"/>
          <w:color w:val="000000" w:themeColor="text1"/>
          <w:sz w:val="24"/>
          <w:szCs w:val="24"/>
        </w:rPr>
        <w:t>s</w:t>
      </w:r>
      <w:r w:rsidRPr="00B35761">
        <w:rPr>
          <w:rFonts w:ascii="Times New Roman" w:hAnsi="Times New Roman" w:cs="Times New Roman"/>
          <w:color w:val="000000" w:themeColor="text1"/>
          <w:sz w:val="24"/>
          <w:szCs w:val="24"/>
        </w:rPr>
        <w:t>, we use the fixed effects model to deal with firm fixed effect and time-invariant covariates. Finally, we address the issue of endogeneity and reverse causality by e</w:t>
      </w:r>
      <w:r w:rsidR="00DC614F" w:rsidRPr="00B35761">
        <w:rPr>
          <w:rFonts w:ascii="Times New Roman" w:hAnsi="Times New Roman" w:cs="Times New Roman"/>
          <w:color w:val="000000" w:themeColor="text1"/>
          <w:sz w:val="24"/>
          <w:szCs w:val="24"/>
        </w:rPr>
        <w:t xml:space="preserve">stimating </w:t>
      </w:r>
      <w:r w:rsidRPr="00B35761">
        <w:rPr>
          <w:rFonts w:ascii="Times New Roman" w:hAnsi="Times New Roman" w:cs="Times New Roman"/>
          <w:color w:val="000000" w:themeColor="text1"/>
          <w:sz w:val="24"/>
          <w:szCs w:val="24"/>
        </w:rPr>
        <w:t xml:space="preserve">simultaneous equation model </w:t>
      </w:r>
      <w:r w:rsidR="00DC614F" w:rsidRPr="00B35761">
        <w:rPr>
          <w:rFonts w:ascii="Times New Roman" w:hAnsi="Times New Roman" w:cs="Times New Roman"/>
          <w:color w:val="000000" w:themeColor="text1"/>
          <w:sz w:val="24"/>
          <w:szCs w:val="24"/>
        </w:rPr>
        <w:t>using</w:t>
      </w:r>
      <w:r w:rsidRPr="00B35761">
        <w:rPr>
          <w:rFonts w:ascii="Times New Roman" w:hAnsi="Times New Roman" w:cs="Times New Roman"/>
          <w:color w:val="000000" w:themeColor="text1"/>
          <w:sz w:val="24"/>
          <w:szCs w:val="24"/>
        </w:rPr>
        <w:t xml:space="preserve"> </w:t>
      </w:r>
      <w:r w:rsidR="00DC614F" w:rsidRPr="00B35761">
        <w:rPr>
          <w:rFonts w:ascii="Times New Roman" w:hAnsi="Times New Roman" w:cs="Times New Roman"/>
          <w:color w:val="000000" w:themeColor="text1"/>
          <w:sz w:val="24"/>
          <w:szCs w:val="24"/>
        </w:rPr>
        <w:t xml:space="preserve">a </w:t>
      </w:r>
      <w:r w:rsidRPr="00B35761">
        <w:rPr>
          <w:rFonts w:ascii="Times New Roman" w:hAnsi="Times New Roman" w:cs="Times New Roman"/>
          <w:color w:val="000000" w:themeColor="text1"/>
          <w:sz w:val="24"/>
          <w:szCs w:val="24"/>
        </w:rPr>
        <w:t xml:space="preserve">three-stage least squares (3SLS) estimator. Consistently, our results remain robust to all these analyses. </w:t>
      </w:r>
    </w:p>
    <w:p w14:paraId="0FBECF5C" w14:textId="214C9FCA" w:rsidR="006E40D3" w:rsidRDefault="0099369B" w:rsidP="006E40D3">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6E40D3" w:rsidRPr="00B35761">
        <w:rPr>
          <w:rFonts w:ascii="Times New Roman" w:hAnsi="Times New Roman" w:cs="Times New Roman"/>
          <w:color w:val="000000" w:themeColor="text1"/>
          <w:sz w:val="24"/>
          <w:szCs w:val="24"/>
        </w:rPr>
        <w:t xml:space="preserve">e make contributions to the literature in the following ways. First, we contribute to the literature on </w:t>
      </w:r>
      <w:r w:rsidR="00F27B79" w:rsidRPr="00B35761">
        <w:rPr>
          <w:rFonts w:ascii="Times New Roman" w:hAnsi="Times New Roman" w:cs="Times New Roman"/>
          <w:color w:val="000000" w:themeColor="text1"/>
          <w:sz w:val="24"/>
          <w:szCs w:val="24"/>
        </w:rPr>
        <w:t>corporate governance and firm</w:t>
      </w:r>
      <w:r w:rsidR="006E40D3" w:rsidRPr="00B35761">
        <w:rPr>
          <w:rFonts w:ascii="Times New Roman" w:hAnsi="Times New Roman" w:cs="Times New Roman"/>
          <w:color w:val="000000" w:themeColor="text1"/>
          <w:sz w:val="24"/>
          <w:szCs w:val="24"/>
        </w:rPr>
        <w:t xml:space="preserve"> value (e.g., </w:t>
      </w:r>
      <w:proofErr w:type="spellStart"/>
      <w:r w:rsidR="00724741" w:rsidRPr="00B35761">
        <w:rPr>
          <w:rFonts w:ascii="Times New Roman" w:hAnsi="Times New Roman" w:cs="Times New Roman"/>
          <w:color w:val="000000" w:themeColor="text1"/>
          <w:sz w:val="24"/>
          <w:szCs w:val="24"/>
        </w:rPr>
        <w:t>Ntim</w:t>
      </w:r>
      <w:proofErr w:type="spellEnd"/>
      <w:r w:rsidR="00724741" w:rsidRPr="00B35761">
        <w:rPr>
          <w:rFonts w:ascii="Times New Roman" w:hAnsi="Times New Roman" w:cs="Times New Roman"/>
          <w:color w:val="000000" w:themeColor="text1"/>
          <w:sz w:val="24"/>
          <w:szCs w:val="24"/>
        </w:rPr>
        <w:t xml:space="preserve"> et al., 2019; </w:t>
      </w:r>
      <w:r w:rsidR="006E40D3" w:rsidRPr="00B35761">
        <w:rPr>
          <w:rFonts w:ascii="Times New Roman" w:hAnsi="Times New Roman" w:cs="Times New Roman"/>
          <w:color w:val="000000" w:themeColor="text1"/>
          <w:sz w:val="24"/>
          <w:szCs w:val="24"/>
        </w:rPr>
        <w:t xml:space="preserve">Haque and </w:t>
      </w:r>
      <w:proofErr w:type="spellStart"/>
      <w:r w:rsidR="006E40D3" w:rsidRPr="00B35761">
        <w:rPr>
          <w:rFonts w:ascii="Times New Roman" w:hAnsi="Times New Roman" w:cs="Times New Roman"/>
          <w:color w:val="000000" w:themeColor="text1"/>
          <w:sz w:val="24"/>
          <w:szCs w:val="24"/>
        </w:rPr>
        <w:t>Ntim</w:t>
      </w:r>
      <w:proofErr w:type="spellEnd"/>
      <w:r w:rsidR="006E40D3" w:rsidRPr="00B35761">
        <w:rPr>
          <w:rFonts w:ascii="Times New Roman" w:hAnsi="Times New Roman" w:cs="Times New Roman"/>
          <w:color w:val="000000" w:themeColor="text1"/>
          <w:sz w:val="24"/>
          <w:szCs w:val="24"/>
        </w:rPr>
        <w:t xml:space="preserve">, 2020; Chu </w:t>
      </w:r>
      <w:r w:rsidR="006E40D3" w:rsidRPr="00B35761">
        <w:rPr>
          <w:rFonts w:ascii="Times New Roman" w:hAnsi="Times New Roman" w:cs="Times New Roman"/>
          <w:i/>
          <w:color w:val="000000" w:themeColor="text1"/>
          <w:sz w:val="24"/>
          <w:szCs w:val="24"/>
        </w:rPr>
        <w:t>et al</w:t>
      </w:r>
      <w:r w:rsidR="006E40D3" w:rsidRPr="00B35761">
        <w:rPr>
          <w:rFonts w:ascii="Times New Roman" w:hAnsi="Times New Roman" w:cs="Times New Roman"/>
          <w:color w:val="000000" w:themeColor="text1"/>
          <w:sz w:val="24"/>
          <w:szCs w:val="24"/>
        </w:rPr>
        <w:t xml:space="preserve">., 2020; </w:t>
      </w:r>
      <w:proofErr w:type="spellStart"/>
      <w:r w:rsidR="006E40D3" w:rsidRPr="00B35761">
        <w:rPr>
          <w:rFonts w:ascii="Times New Roman" w:hAnsi="Times New Roman" w:cs="Times New Roman"/>
          <w:color w:val="000000" w:themeColor="text1"/>
          <w:sz w:val="24"/>
          <w:szCs w:val="24"/>
        </w:rPr>
        <w:t>Ozkan</w:t>
      </w:r>
      <w:proofErr w:type="spellEnd"/>
      <w:r w:rsidR="006E40D3" w:rsidRPr="00B35761">
        <w:rPr>
          <w:rFonts w:ascii="Times New Roman" w:hAnsi="Times New Roman" w:cs="Times New Roman"/>
          <w:color w:val="000000" w:themeColor="text1"/>
          <w:sz w:val="24"/>
          <w:szCs w:val="24"/>
        </w:rPr>
        <w:t>, 20</w:t>
      </w:r>
      <w:r w:rsidR="00F27B79" w:rsidRPr="00B35761">
        <w:rPr>
          <w:rFonts w:ascii="Times New Roman" w:hAnsi="Times New Roman" w:cs="Times New Roman"/>
          <w:color w:val="000000" w:themeColor="text1"/>
          <w:sz w:val="24"/>
          <w:szCs w:val="24"/>
        </w:rPr>
        <w:t>11</w:t>
      </w:r>
      <w:r w:rsidR="006E40D3" w:rsidRPr="00B35761">
        <w:rPr>
          <w:rFonts w:ascii="Times New Roman" w:hAnsi="Times New Roman" w:cs="Times New Roman"/>
          <w:color w:val="000000" w:themeColor="text1"/>
          <w:sz w:val="24"/>
          <w:szCs w:val="24"/>
        </w:rPr>
        <w:t>;</w:t>
      </w:r>
      <w:r w:rsidR="006E40D3" w:rsidRPr="00B35761">
        <w:rPr>
          <w:rFonts w:ascii="Times New Roman" w:hAnsi="Times New Roman" w:cs="Times New Roman"/>
          <w:i/>
          <w:sz w:val="24"/>
          <w:szCs w:val="24"/>
        </w:rPr>
        <w:t xml:space="preserve"> </w:t>
      </w:r>
      <w:proofErr w:type="spellStart"/>
      <w:r w:rsidR="006E40D3" w:rsidRPr="00B35761">
        <w:rPr>
          <w:rFonts w:ascii="Times New Roman" w:hAnsi="Times New Roman" w:cs="Times New Roman"/>
          <w:sz w:val="24"/>
          <w:szCs w:val="24"/>
        </w:rPr>
        <w:t>Conyon</w:t>
      </w:r>
      <w:proofErr w:type="spellEnd"/>
      <w:r w:rsidR="006E40D3" w:rsidRPr="00B35761">
        <w:rPr>
          <w:rFonts w:ascii="Times New Roman" w:hAnsi="Times New Roman" w:cs="Times New Roman"/>
          <w:sz w:val="24"/>
          <w:szCs w:val="24"/>
        </w:rPr>
        <w:t xml:space="preserve"> and Murphy, 2000).</w:t>
      </w:r>
      <w:r w:rsidR="006E40D3" w:rsidRPr="00B35761">
        <w:rPr>
          <w:rFonts w:ascii="Times New Roman" w:hAnsi="Times New Roman" w:cs="Times New Roman"/>
          <w:color w:val="000000" w:themeColor="text1"/>
          <w:sz w:val="24"/>
          <w:szCs w:val="24"/>
        </w:rPr>
        <w:t xml:space="preserve"> While the paper builds on the executive bonus compensation literature, it</w:t>
      </w:r>
      <w:r w:rsidR="00F27B79" w:rsidRPr="00B35761">
        <w:rPr>
          <w:rFonts w:ascii="Times New Roman" w:hAnsi="Times New Roman" w:cs="Times New Roman"/>
          <w:color w:val="000000" w:themeColor="text1"/>
          <w:sz w:val="24"/>
          <w:szCs w:val="24"/>
        </w:rPr>
        <w:t xml:space="preserve"> also</w:t>
      </w:r>
      <w:r w:rsidR="006E40D3" w:rsidRPr="00B35761">
        <w:rPr>
          <w:rFonts w:ascii="Times New Roman" w:hAnsi="Times New Roman" w:cs="Times New Roman"/>
          <w:color w:val="000000" w:themeColor="text1"/>
          <w:sz w:val="24"/>
          <w:szCs w:val="24"/>
        </w:rPr>
        <w:t xml:space="preserve"> further</w:t>
      </w:r>
      <w:r w:rsidR="003B3803">
        <w:rPr>
          <w:rFonts w:ascii="Times New Roman" w:hAnsi="Times New Roman" w:cs="Times New Roman"/>
          <w:color w:val="000000" w:themeColor="text1"/>
          <w:sz w:val="24"/>
          <w:szCs w:val="24"/>
        </w:rPr>
        <w:t>s</w:t>
      </w:r>
      <w:r w:rsidR="006E40D3" w:rsidRPr="00B35761">
        <w:rPr>
          <w:rFonts w:ascii="Times New Roman" w:hAnsi="Times New Roman" w:cs="Times New Roman"/>
          <w:color w:val="000000" w:themeColor="text1"/>
          <w:sz w:val="24"/>
          <w:szCs w:val="24"/>
        </w:rPr>
        <w:t xml:space="preserve"> our understanding on the extent to </w:t>
      </w:r>
      <w:r w:rsidR="003B3803">
        <w:rPr>
          <w:rFonts w:ascii="Times New Roman" w:hAnsi="Times New Roman" w:cs="Times New Roman"/>
          <w:color w:val="000000" w:themeColor="text1"/>
          <w:sz w:val="24"/>
          <w:szCs w:val="24"/>
        </w:rPr>
        <w:t xml:space="preserve">which </w:t>
      </w:r>
      <w:r w:rsidR="006E40D3" w:rsidRPr="00B35761">
        <w:rPr>
          <w:rFonts w:ascii="Times New Roman" w:hAnsi="Times New Roman" w:cs="Times New Roman"/>
          <w:color w:val="000000" w:themeColor="text1"/>
          <w:sz w:val="24"/>
          <w:szCs w:val="24"/>
        </w:rPr>
        <w:t xml:space="preserve">managerial ownership, institutional ownership, board size and non-executive ownership matter in the executive bonus compensation – corporate value relationship with specific emphasis on UK FTSE 100 firms. Our second contribution is related to the moderating role of managerial (executive) ownership. Here, we demonstrate the significant role of managerial ownership in the </w:t>
      </w:r>
      <w:r w:rsidR="00B9404F" w:rsidRPr="00B35761">
        <w:rPr>
          <w:rFonts w:ascii="Times New Roman" w:hAnsi="Times New Roman" w:cs="Times New Roman"/>
          <w:color w:val="000000" w:themeColor="text1"/>
          <w:sz w:val="24"/>
          <w:szCs w:val="24"/>
        </w:rPr>
        <w:t xml:space="preserve">executive </w:t>
      </w:r>
      <w:r w:rsidR="006E40D3" w:rsidRPr="00B35761">
        <w:rPr>
          <w:rFonts w:ascii="Times New Roman" w:hAnsi="Times New Roman" w:cs="Times New Roman"/>
          <w:color w:val="000000" w:themeColor="text1"/>
          <w:sz w:val="24"/>
          <w:szCs w:val="24"/>
        </w:rPr>
        <w:t xml:space="preserve">bonus compensation-firm value relationship. Thus, </w:t>
      </w:r>
      <w:proofErr w:type="gramStart"/>
      <w:r w:rsidR="006E40D3" w:rsidRPr="00B35761">
        <w:rPr>
          <w:rFonts w:ascii="Times New Roman" w:hAnsi="Times New Roman" w:cs="Times New Roman"/>
          <w:color w:val="000000" w:themeColor="text1"/>
          <w:sz w:val="24"/>
          <w:szCs w:val="24"/>
        </w:rPr>
        <w:t>we  show</w:t>
      </w:r>
      <w:proofErr w:type="gramEnd"/>
      <w:r w:rsidR="006E40D3" w:rsidRPr="00B35761">
        <w:rPr>
          <w:rFonts w:ascii="Times New Roman" w:hAnsi="Times New Roman" w:cs="Times New Roman"/>
          <w:color w:val="000000" w:themeColor="text1"/>
          <w:sz w:val="24"/>
          <w:szCs w:val="24"/>
        </w:rPr>
        <w:t xml:space="preserve"> that as executives residual interest</w:t>
      </w:r>
      <w:r w:rsidR="003B3803">
        <w:rPr>
          <w:rFonts w:ascii="Times New Roman" w:hAnsi="Times New Roman" w:cs="Times New Roman"/>
          <w:color w:val="000000" w:themeColor="text1"/>
          <w:sz w:val="24"/>
          <w:szCs w:val="24"/>
        </w:rPr>
        <w:t>s</w:t>
      </w:r>
      <w:r w:rsidR="006E40D3" w:rsidRPr="00B35761">
        <w:rPr>
          <w:rFonts w:ascii="Times New Roman" w:hAnsi="Times New Roman" w:cs="Times New Roman"/>
          <w:color w:val="000000" w:themeColor="text1"/>
          <w:sz w:val="24"/>
          <w:szCs w:val="24"/>
        </w:rPr>
        <w:t xml:space="preserve"> go up, managers become more conscious of the firm’s idiosyncratic risk, and hence lessen their aggressive investment and financing strategies culminating in lower firm value. Our third contribution is linked to the monitoring role of board size. </w:t>
      </w:r>
      <w:r w:rsidR="00F432B9">
        <w:rPr>
          <w:rFonts w:ascii="Times New Roman" w:hAnsi="Times New Roman" w:cs="Times New Roman"/>
          <w:color w:val="000000" w:themeColor="text1"/>
          <w:sz w:val="24"/>
          <w:szCs w:val="24"/>
        </w:rPr>
        <w:t>W</w:t>
      </w:r>
      <w:r w:rsidR="006E40D3" w:rsidRPr="00B35761">
        <w:rPr>
          <w:rFonts w:ascii="Times New Roman" w:hAnsi="Times New Roman" w:cs="Times New Roman"/>
          <w:color w:val="000000" w:themeColor="text1"/>
          <w:sz w:val="24"/>
          <w:szCs w:val="24"/>
        </w:rPr>
        <w:t xml:space="preserve">e demonstrate that board size is crucial in achieving shareholder value maximization policy. </w:t>
      </w:r>
    </w:p>
    <w:p w14:paraId="1CD490C5" w14:textId="77777777" w:rsidR="00F432B9" w:rsidRPr="00B35761" w:rsidRDefault="00F432B9" w:rsidP="006E40D3">
      <w:pPr>
        <w:spacing w:before="120" w:after="120" w:line="360" w:lineRule="auto"/>
        <w:jc w:val="both"/>
        <w:rPr>
          <w:rFonts w:ascii="Times New Roman" w:hAnsi="Times New Roman" w:cs="Times New Roman"/>
          <w:color w:val="000000" w:themeColor="text1"/>
          <w:sz w:val="24"/>
          <w:szCs w:val="24"/>
        </w:rPr>
      </w:pPr>
    </w:p>
    <w:p w14:paraId="492E8A26" w14:textId="6A9F07F5" w:rsidR="005A5A79" w:rsidRPr="00B35761" w:rsidRDefault="006E40D3" w:rsidP="00BE34BF">
      <w:pPr>
        <w:spacing w:before="120" w:after="120" w:line="360" w:lineRule="auto"/>
        <w:jc w:val="both"/>
        <w:rPr>
          <w:rFonts w:ascii="Times New Roman" w:hAnsi="Times New Roman" w:cs="Times New Roman"/>
          <w:color w:val="000000" w:themeColor="text1"/>
          <w:sz w:val="24"/>
          <w:szCs w:val="24"/>
        </w:rPr>
      </w:pPr>
      <w:r w:rsidRPr="00B35761">
        <w:rPr>
          <w:rFonts w:ascii="Times New Roman" w:hAnsi="Times New Roman" w:cs="Times New Roman"/>
          <w:color w:val="000000" w:themeColor="text1"/>
          <w:sz w:val="24"/>
          <w:szCs w:val="24"/>
        </w:rPr>
        <w:t xml:space="preserve">The remainder of the article is structured along these lines: section 2 reviews </w:t>
      </w:r>
      <w:r w:rsidR="003D3B72" w:rsidRPr="00B35761">
        <w:rPr>
          <w:rFonts w:ascii="Times New Roman" w:hAnsi="Times New Roman" w:cs="Times New Roman"/>
          <w:color w:val="000000" w:themeColor="text1"/>
          <w:sz w:val="24"/>
          <w:szCs w:val="24"/>
        </w:rPr>
        <w:t xml:space="preserve">related </w:t>
      </w:r>
      <w:r w:rsidRPr="00B35761">
        <w:rPr>
          <w:rFonts w:ascii="Times New Roman" w:hAnsi="Times New Roman" w:cs="Times New Roman"/>
          <w:color w:val="000000" w:themeColor="text1"/>
          <w:sz w:val="24"/>
          <w:szCs w:val="24"/>
        </w:rPr>
        <w:t>literature and develop testable hypothesis. Section 3 considers data and empirical methods. Section 4 presents and discusses results, and, finally, section 5 concludes.</w:t>
      </w:r>
    </w:p>
    <w:p w14:paraId="26BE06A9" w14:textId="77777777" w:rsidR="005A5A79" w:rsidRPr="00B35761" w:rsidRDefault="005A5A79" w:rsidP="001E0DEF">
      <w:pPr>
        <w:adjustRightInd w:val="0"/>
        <w:snapToGrid w:val="0"/>
        <w:spacing w:line="240" w:lineRule="auto"/>
        <w:jc w:val="both"/>
        <w:rPr>
          <w:rFonts w:asciiTheme="majorBidi" w:hAnsiTheme="majorBidi" w:cstheme="majorBidi"/>
          <w:b/>
          <w:sz w:val="24"/>
          <w:szCs w:val="24"/>
        </w:rPr>
      </w:pPr>
    </w:p>
    <w:p w14:paraId="36B54630" w14:textId="2DFA7449" w:rsidR="001E0DEF" w:rsidRDefault="00F54586" w:rsidP="00D63E49">
      <w:pPr>
        <w:adjustRightInd w:val="0"/>
        <w:snapToGrid w:val="0"/>
        <w:spacing w:line="240" w:lineRule="auto"/>
        <w:jc w:val="center"/>
        <w:rPr>
          <w:rFonts w:asciiTheme="majorBidi" w:hAnsiTheme="majorBidi" w:cstheme="majorBidi"/>
          <w:b/>
          <w:sz w:val="24"/>
          <w:szCs w:val="24"/>
        </w:rPr>
      </w:pPr>
      <w:r w:rsidRPr="00B35761">
        <w:rPr>
          <w:rFonts w:asciiTheme="majorBidi" w:hAnsiTheme="majorBidi" w:cstheme="majorBidi"/>
          <w:b/>
          <w:sz w:val="24"/>
          <w:szCs w:val="24"/>
        </w:rPr>
        <w:t>2.</w:t>
      </w:r>
      <w:r w:rsidR="00D63E49">
        <w:rPr>
          <w:rFonts w:asciiTheme="majorBidi" w:hAnsiTheme="majorBidi" w:cstheme="majorBidi"/>
          <w:b/>
          <w:sz w:val="24"/>
          <w:szCs w:val="24"/>
        </w:rPr>
        <w:t xml:space="preserve"> </w:t>
      </w:r>
      <w:r w:rsidR="00D5505E">
        <w:rPr>
          <w:rFonts w:asciiTheme="majorBidi" w:hAnsiTheme="majorBidi" w:cstheme="majorBidi"/>
          <w:b/>
          <w:sz w:val="24"/>
          <w:szCs w:val="24"/>
        </w:rPr>
        <w:t>LITERATURE REVIEW AND HYPOTHESES</w:t>
      </w:r>
    </w:p>
    <w:p w14:paraId="38DCFB88" w14:textId="77777777" w:rsidR="00D63E49" w:rsidRPr="00B35761" w:rsidRDefault="00D63E49" w:rsidP="00D63E49">
      <w:pPr>
        <w:adjustRightInd w:val="0"/>
        <w:snapToGrid w:val="0"/>
        <w:spacing w:line="240" w:lineRule="auto"/>
        <w:jc w:val="center"/>
        <w:rPr>
          <w:rFonts w:asciiTheme="majorBidi" w:hAnsiTheme="majorBidi" w:cstheme="majorBidi"/>
          <w:b/>
          <w:sz w:val="24"/>
          <w:szCs w:val="24"/>
        </w:rPr>
      </w:pPr>
    </w:p>
    <w:p w14:paraId="00ADC68B" w14:textId="22E8B6DA" w:rsidR="00627EA2" w:rsidRPr="00B35761" w:rsidRDefault="00627EA2" w:rsidP="00627EA2">
      <w:pPr>
        <w:adjustRightInd w:val="0"/>
        <w:snapToGrid w:val="0"/>
        <w:spacing w:line="240" w:lineRule="auto"/>
        <w:jc w:val="both"/>
        <w:rPr>
          <w:rFonts w:asciiTheme="majorBidi" w:hAnsiTheme="majorBidi" w:cstheme="majorBidi"/>
          <w:b/>
          <w:i/>
          <w:iCs/>
          <w:sz w:val="24"/>
          <w:szCs w:val="24"/>
        </w:rPr>
      </w:pPr>
      <w:r w:rsidRPr="00B35761">
        <w:rPr>
          <w:rFonts w:asciiTheme="majorBidi" w:hAnsiTheme="majorBidi" w:cstheme="majorBidi"/>
          <w:b/>
          <w:i/>
          <w:iCs/>
          <w:sz w:val="24"/>
          <w:szCs w:val="24"/>
        </w:rPr>
        <w:t xml:space="preserve">2.1 Managerial compensation and performance </w:t>
      </w:r>
    </w:p>
    <w:p w14:paraId="706EEBE6" w14:textId="723D5830" w:rsidR="00F432B9" w:rsidRDefault="001E0DEF">
      <w:pPr>
        <w:adjustRightInd w:val="0"/>
        <w:snapToGrid w:val="0"/>
        <w:spacing w:line="360" w:lineRule="auto"/>
        <w:jc w:val="both"/>
        <w:rPr>
          <w:rFonts w:asciiTheme="majorBidi" w:hAnsiTheme="majorBidi" w:cstheme="majorBidi"/>
          <w:color w:val="000000" w:themeColor="text1"/>
          <w:sz w:val="24"/>
          <w:szCs w:val="24"/>
        </w:rPr>
      </w:pPr>
      <w:r w:rsidRPr="00B35761">
        <w:rPr>
          <w:rFonts w:asciiTheme="majorBidi" w:eastAsia="Calibri" w:hAnsiTheme="majorBidi" w:cstheme="majorBidi"/>
          <w:sz w:val="24"/>
          <w:szCs w:val="24"/>
          <w:lang w:val="en-US"/>
        </w:rPr>
        <w:t>In modern establishment</w:t>
      </w:r>
      <w:r w:rsidR="00F432B9">
        <w:rPr>
          <w:rFonts w:asciiTheme="majorBidi" w:eastAsia="Calibri" w:hAnsiTheme="majorBidi" w:cstheme="majorBidi"/>
          <w:sz w:val="24"/>
          <w:szCs w:val="24"/>
          <w:lang w:val="en-US"/>
        </w:rPr>
        <w:t>s</w:t>
      </w:r>
      <w:r w:rsidRPr="00B35761">
        <w:rPr>
          <w:rFonts w:asciiTheme="majorBidi" w:eastAsia="Calibri" w:hAnsiTheme="majorBidi" w:cstheme="majorBidi"/>
          <w:sz w:val="24"/>
          <w:szCs w:val="24"/>
          <w:lang w:val="en-US"/>
        </w:rPr>
        <w:t xml:space="preserve">, board of directors (on behalf of shareholders) appoint top managers to oversee the day-to-day activities of the firm. One of the main fiduciary responsibilities of the executives is to make risky corporate decisions relating to investment and financing which ultimately determine the firm value. However, because managers </w:t>
      </w:r>
      <w:r w:rsidRPr="00B35761">
        <w:rPr>
          <w:rFonts w:asciiTheme="majorBidi" w:hAnsiTheme="majorBidi" w:cstheme="majorBidi"/>
          <w:color w:val="000000" w:themeColor="text1"/>
          <w:sz w:val="24"/>
          <w:szCs w:val="24"/>
        </w:rPr>
        <w:t xml:space="preserve">are known to be self-interested and </w:t>
      </w:r>
      <w:r w:rsidR="00586790" w:rsidRPr="00B35761">
        <w:rPr>
          <w:rFonts w:asciiTheme="majorBidi" w:hAnsiTheme="majorBidi" w:cstheme="majorBidi"/>
          <w:color w:val="000000" w:themeColor="text1"/>
          <w:sz w:val="24"/>
          <w:szCs w:val="24"/>
        </w:rPr>
        <w:t>risk averse</w:t>
      </w:r>
      <w:r w:rsidR="00F432B9">
        <w:rPr>
          <w:rFonts w:asciiTheme="majorBidi" w:hAnsiTheme="majorBidi" w:cstheme="majorBidi"/>
          <w:color w:val="000000" w:themeColor="text1"/>
          <w:sz w:val="24"/>
          <w:szCs w:val="24"/>
        </w:rPr>
        <w:t xml:space="preserve"> (</w:t>
      </w:r>
      <w:proofErr w:type="spellStart"/>
      <w:r w:rsidR="0065546F">
        <w:rPr>
          <w:rFonts w:asciiTheme="majorBidi" w:hAnsiTheme="majorBidi" w:cstheme="majorBidi"/>
          <w:color w:val="000000" w:themeColor="text1"/>
          <w:sz w:val="24"/>
          <w:szCs w:val="24"/>
        </w:rPr>
        <w:t>Fama</w:t>
      </w:r>
      <w:proofErr w:type="spellEnd"/>
      <w:r w:rsidR="0065546F">
        <w:rPr>
          <w:rFonts w:asciiTheme="majorBidi" w:hAnsiTheme="majorBidi" w:cstheme="majorBidi"/>
          <w:color w:val="000000" w:themeColor="text1"/>
          <w:sz w:val="24"/>
          <w:szCs w:val="24"/>
        </w:rPr>
        <w:t>, 1980</w:t>
      </w:r>
      <w:r w:rsidR="00F432B9">
        <w:rPr>
          <w:rFonts w:asciiTheme="majorBidi" w:hAnsiTheme="majorBidi" w:cstheme="majorBidi"/>
          <w:color w:val="000000" w:themeColor="text1"/>
          <w:sz w:val="24"/>
          <w:szCs w:val="24"/>
        </w:rPr>
        <w:t>)</w:t>
      </w:r>
      <w:r w:rsidRPr="00B35761">
        <w:rPr>
          <w:rFonts w:asciiTheme="majorBidi" w:hAnsiTheme="majorBidi" w:cstheme="majorBidi"/>
          <w:color w:val="000000" w:themeColor="text1"/>
          <w:sz w:val="24"/>
          <w:szCs w:val="24"/>
        </w:rPr>
        <w:t xml:space="preserve">, they may prefer to adopt policies that suit their interests to the detriment of the </w:t>
      </w:r>
      <w:r w:rsidR="00F54586" w:rsidRPr="00B35761">
        <w:rPr>
          <w:rFonts w:asciiTheme="majorBidi" w:hAnsiTheme="majorBidi" w:cstheme="majorBidi"/>
          <w:color w:val="000000" w:themeColor="text1"/>
          <w:sz w:val="24"/>
          <w:szCs w:val="24"/>
        </w:rPr>
        <w:t>shareholders’</w:t>
      </w:r>
      <w:r w:rsidRPr="00B35761">
        <w:rPr>
          <w:rFonts w:asciiTheme="majorBidi" w:hAnsiTheme="majorBidi" w:cstheme="majorBidi"/>
          <w:color w:val="000000" w:themeColor="text1"/>
          <w:sz w:val="24"/>
          <w:szCs w:val="24"/>
        </w:rPr>
        <w:t xml:space="preserve"> value aspiration. </w:t>
      </w:r>
      <w:r w:rsidR="00B76440" w:rsidRPr="00B35761">
        <w:rPr>
          <w:rFonts w:asciiTheme="majorBidi" w:hAnsiTheme="majorBidi" w:cstheme="majorBidi"/>
          <w:color w:val="000000" w:themeColor="text1"/>
          <w:sz w:val="24"/>
          <w:szCs w:val="24"/>
        </w:rPr>
        <w:t xml:space="preserve">A </w:t>
      </w:r>
      <w:r w:rsidR="008468CA" w:rsidRPr="00B35761">
        <w:rPr>
          <w:rFonts w:asciiTheme="majorBidi" w:hAnsiTheme="majorBidi" w:cstheme="majorBidi"/>
          <w:color w:val="000000" w:themeColor="text1"/>
          <w:sz w:val="24"/>
          <w:szCs w:val="24"/>
        </w:rPr>
        <w:t>classic a</w:t>
      </w:r>
      <w:r w:rsidR="007F38DB" w:rsidRPr="00B35761">
        <w:rPr>
          <w:rFonts w:asciiTheme="majorBidi" w:hAnsiTheme="majorBidi" w:cstheme="majorBidi"/>
          <w:color w:val="000000" w:themeColor="text1"/>
          <w:sz w:val="24"/>
          <w:szCs w:val="24"/>
        </w:rPr>
        <w:t xml:space="preserve">gency </w:t>
      </w:r>
      <w:r w:rsidR="007D282E" w:rsidRPr="00B35761">
        <w:rPr>
          <w:rFonts w:asciiTheme="majorBidi" w:hAnsiTheme="majorBidi" w:cstheme="majorBidi"/>
          <w:color w:val="000000" w:themeColor="text1"/>
          <w:sz w:val="24"/>
          <w:szCs w:val="24"/>
        </w:rPr>
        <w:t>conflict</w:t>
      </w:r>
      <w:r w:rsidR="008E495A" w:rsidRPr="00B35761">
        <w:rPr>
          <w:rFonts w:asciiTheme="majorBidi" w:hAnsiTheme="majorBidi" w:cstheme="majorBidi"/>
          <w:color w:val="000000" w:themeColor="text1"/>
          <w:sz w:val="24"/>
          <w:szCs w:val="24"/>
        </w:rPr>
        <w:t xml:space="preserve"> </w:t>
      </w:r>
      <w:r w:rsidR="008468CA" w:rsidRPr="00B35761">
        <w:rPr>
          <w:rFonts w:asciiTheme="majorBidi" w:hAnsiTheme="majorBidi" w:cstheme="majorBidi"/>
          <w:color w:val="000000" w:themeColor="text1"/>
          <w:sz w:val="24"/>
          <w:szCs w:val="24"/>
        </w:rPr>
        <w:t>explains th</w:t>
      </w:r>
      <w:r w:rsidR="007D282E" w:rsidRPr="00B35761">
        <w:rPr>
          <w:rFonts w:asciiTheme="majorBidi" w:hAnsiTheme="majorBidi" w:cstheme="majorBidi"/>
          <w:color w:val="000000" w:themeColor="text1"/>
          <w:sz w:val="24"/>
          <w:szCs w:val="24"/>
        </w:rPr>
        <w:t>e</w:t>
      </w:r>
      <w:r w:rsidR="008468CA" w:rsidRPr="00B35761">
        <w:rPr>
          <w:rFonts w:asciiTheme="majorBidi" w:hAnsiTheme="majorBidi" w:cstheme="majorBidi"/>
          <w:color w:val="000000" w:themeColor="text1"/>
          <w:sz w:val="24"/>
          <w:szCs w:val="24"/>
        </w:rPr>
        <w:t xml:space="preserve"> </w:t>
      </w:r>
      <w:r w:rsidR="007D282E" w:rsidRPr="00B35761">
        <w:rPr>
          <w:rFonts w:asciiTheme="majorBidi" w:hAnsiTheme="majorBidi" w:cstheme="majorBidi"/>
          <w:color w:val="000000" w:themeColor="text1"/>
          <w:sz w:val="24"/>
          <w:szCs w:val="24"/>
        </w:rPr>
        <w:t>relationship</w:t>
      </w:r>
      <w:r w:rsidR="008468CA" w:rsidRPr="00B35761">
        <w:rPr>
          <w:rFonts w:asciiTheme="majorBidi" w:hAnsiTheme="majorBidi" w:cstheme="majorBidi"/>
          <w:color w:val="000000" w:themeColor="text1"/>
          <w:sz w:val="24"/>
          <w:szCs w:val="24"/>
        </w:rPr>
        <w:t xml:space="preserve"> where opportunistic managers are assumed to have a </w:t>
      </w:r>
      <w:r w:rsidR="00401B49" w:rsidRPr="00B35761">
        <w:rPr>
          <w:rFonts w:asciiTheme="majorBidi" w:hAnsiTheme="majorBidi" w:cstheme="majorBidi"/>
          <w:color w:val="000000" w:themeColor="text1"/>
          <w:sz w:val="24"/>
          <w:szCs w:val="24"/>
        </w:rPr>
        <w:t>higher tendency to operate against shareholders’ interests</w:t>
      </w:r>
      <w:r w:rsidR="008468CA" w:rsidRPr="00B35761">
        <w:rPr>
          <w:rFonts w:asciiTheme="majorBidi" w:hAnsiTheme="majorBidi" w:cstheme="majorBidi"/>
          <w:color w:val="000000" w:themeColor="text1"/>
          <w:sz w:val="24"/>
          <w:szCs w:val="24"/>
        </w:rPr>
        <w:t xml:space="preserve"> </w:t>
      </w:r>
      <w:r w:rsidR="008E495A" w:rsidRPr="00B35761">
        <w:rPr>
          <w:rFonts w:asciiTheme="majorBidi" w:hAnsiTheme="majorBidi" w:cstheme="majorBidi"/>
          <w:color w:val="000000" w:themeColor="text1"/>
          <w:sz w:val="24"/>
          <w:szCs w:val="24"/>
        </w:rPr>
        <w:t xml:space="preserve">(see </w:t>
      </w:r>
      <w:r w:rsidR="00F70959" w:rsidRPr="00B35761">
        <w:rPr>
          <w:rFonts w:ascii="Times New Roman" w:eastAsia="Calibri" w:hAnsi="Times New Roman" w:cs="Times New Roman"/>
          <w:sz w:val="24"/>
          <w:szCs w:val="24"/>
          <w:lang w:val="en-US"/>
        </w:rPr>
        <w:t xml:space="preserve">Jensen and </w:t>
      </w:r>
      <w:proofErr w:type="spellStart"/>
      <w:r w:rsidR="00F70959" w:rsidRPr="00B35761">
        <w:rPr>
          <w:rFonts w:ascii="Times New Roman" w:eastAsia="Calibri" w:hAnsi="Times New Roman" w:cs="Times New Roman"/>
          <w:sz w:val="24"/>
          <w:szCs w:val="24"/>
          <w:lang w:val="en-US"/>
        </w:rPr>
        <w:t>Meckling</w:t>
      </w:r>
      <w:proofErr w:type="spellEnd"/>
      <w:r w:rsidR="00F70959" w:rsidRPr="00B35761">
        <w:rPr>
          <w:rFonts w:ascii="Times New Roman" w:eastAsia="Calibri" w:hAnsi="Times New Roman" w:cs="Times New Roman"/>
          <w:sz w:val="24"/>
          <w:szCs w:val="24"/>
          <w:lang w:val="en-US"/>
        </w:rPr>
        <w:t xml:space="preserve">, 1976; </w:t>
      </w:r>
      <w:proofErr w:type="spellStart"/>
      <w:r w:rsidR="00F70959" w:rsidRPr="00B35761">
        <w:rPr>
          <w:rFonts w:ascii="Times New Roman" w:eastAsia="Calibri" w:hAnsi="Times New Roman" w:cs="Times New Roman"/>
          <w:sz w:val="24"/>
          <w:szCs w:val="24"/>
          <w:lang w:val="en-US"/>
        </w:rPr>
        <w:t>Fama</w:t>
      </w:r>
      <w:proofErr w:type="spellEnd"/>
      <w:r w:rsidR="00F70959" w:rsidRPr="00B35761">
        <w:rPr>
          <w:rFonts w:ascii="Times New Roman" w:eastAsia="Calibri" w:hAnsi="Times New Roman" w:cs="Times New Roman"/>
          <w:sz w:val="24"/>
          <w:szCs w:val="24"/>
          <w:lang w:val="en-US"/>
        </w:rPr>
        <w:t xml:space="preserve"> 1980; </w:t>
      </w:r>
      <w:r w:rsidR="009556DD" w:rsidRPr="00B35761">
        <w:rPr>
          <w:rFonts w:ascii="Times New Roman" w:eastAsia="Calibri" w:hAnsi="Times New Roman" w:cs="Times New Roman"/>
          <w:sz w:val="24"/>
          <w:szCs w:val="24"/>
          <w:lang w:val="en-US"/>
        </w:rPr>
        <w:t xml:space="preserve">Jensen and Murphy, 1990; </w:t>
      </w:r>
      <w:r w:rsidR="00F70959" w:rsidRPr="00B35761">
        <w:rPr>
          <w:rFonts w:ascii="Times New Roman" w:eastAsia="Calibri" w:hAnsi="Times New Roman" w:cs="Times New Roman"/>
          <w:sz w:val="24"/>
          <w:szCs w:val="24"/>
          <w:lang w:val="en-US"/>
        </w:rPr>
        <w:t xml:space="preserve">Core </w:t>
      </w:r>
      <w:r w:rsidR="00F70959" w:rsidRPr="00B35761">
        <w:rPr>
          <w:rFonts w:ascii="Times New Roman" w:eastAsia="Calibri" w:hAnsi="Times New Roman" w:cs="Times New Roman"/>
          <w:i/>
          <w:sz w:val="24"/>
          <w:szCs w:val="24"/>
          <w:lang w:val="en-US"/>
        </w:rPr>
        <w:t>et al.</w:t>
      </w:r>
      <w:r w:rsidR="00F70959" w:rsidRPr="00B35761">
        <w:rPr>
          <w:rFonts w:ascii="Times New Roman" w:eastAsia="Calibri" w:hAnsi="Times New Roman" w:cs="Times New Roman"/>
          <w:sz w:val="24"/>
          <w:szCs w:val="24"/>
          <w:lang w:val="en-US"/>
        </w:rPr>
        <w:t xml:space="preserve"> 19</w:t>
      </w:r>
      <w:r w:rsidR="00401B49" w:rsidRPr="00B35761">
        <w:rPr>
          <w:rFonts w:ascii="Times New Roman" w:eastAsia="Calibri" w:hAnsi="Times New Roman" w:cs="Times New Roman"/>
          <w:sz w:val="24"/>
          <w:szCs w:val="24"/>
          <w:lang w:val="en-US"/>
        </w:rPr>
        <w:t>99</w:t>
      </w:r>
      <w:r w:rsidR="008E495A" w:rsidRPr="00B35761">
        <w:rPr>
          <w:rFonts w:asciiTheme="majorBidi" w:hAnsiTheme="majorBidi" w:cstheme="majorBidi"/>
          <w:color w:val="000000" w:themeColor="text1"/>
          <w:sz w:val="24"/>
          <w:szCs w:val="24"/>
        </w:rPr>
        <w:t xml:space="preserve">). </w:t>
      </w:r>
      <w:r w:rsidRPr="00B35761">
        <w:rPr>
          <w:rFonts w:asciiTheme="majorBidi" w:hAnsiTheme="majorBidi" w:cstheme="majorBidi"/>
          <w:color w:val="000000" w:themeColor="text1"/>
          <w:sz w:val="24"/>
          <w:szCs w:val="24"/>
        </w:rPr>
        <w:t xml:space="preserve">That is, the resulting risk-incentive problem of executives may have valued implications for optimal corporate decisions and </w:t>
      </w:r>
      <w:r w:rsidR="00F432B9">
        <w:rPr>
          <w:rFonts w:asciiTheme="majorBidi" w:hAnsiTheme="majorBidi" w:cstheme="majorBidi"/>
          <w:color w:val="000000" w:themeColor="text1"/>
          <w:sz w:val="24"/>
          <w:szCs w:val="24"/>
        </w:rPr>
        <w:t>firm</w:t>
      </w:r>
      <w:r w:rsidRPr="00B35761">
        <w:rPr>
          <w:rFonts w:asciiTheme="majorBidi" w:hAnsiTheme="majorBidi" w:cstheme="majorBidi"/>
          <w:color w:val="000000" w:themeColor="text1"/>
          <w:sz w:val="24"/>
          <w:szCs w:val="24"/>
        </w:rPr>
        <w:t xml:space="preserve"> value. For example, risk-averse and utility maximizing executives may forgo investing in risky but positive net present value (NPV) projects because such projects may exacerbate the firm’s idiosyncratic risk as well as their personal and economic risk exposures (</w:t>
      </w:r>
      <w:r w:rsidRPr="00B35761">
        <w:rPr>
          <w:rFonts w:asciiTheme="majorBidi" w:eastAsia="SimSun" w:hAnsiTheme="majorBidi" w:cstheme="majorBidi"/>
          <w:kern w:val="3"/>
          <w:sz w:val="24"/>
          <w:szCs w:val="24"/>
        </w:rPr>
        <w:t>Holmstrom, 1989</w:t>
      </w:r>
      <w:r w:rsidRPr="00B35761">
        <w:rPr>
          <w:rFonts w:asciiTheme="majorBidi" w:hAnsiTheme="majorBidi" w:cstheme="majorBidi"/>
          <w:color w:val="000000" w:themeColor="text1"/>
          <w:sz w:val="24"/>
          <w:szCs w:val="24"/>
        </w:rPr>
        <w:t>).</w:t>
      </w:r>
      <w:r w:rsidR="00DD2340" w:rsidRPr="00B35761">
        <w:rPr>
          <w:rFonts w:asciiTheme="majorBidi" w:hAnsiTheme="majorBidi" w:cstheme="majorBidi"/>
          <w:color w:val="000000" w:themeColor="text1"/>
          <w:sz w:val="24"/>
          <w:szCs w:val="24"/>
        </w:rPr>
        <w:t xml:space="preserve"> </w:t>
      </w:r>
    </w:p>
    <w:p w14:paraId="06969E94" w14:textId="77777777" w:rsidR="00F432B9" w:rsidRDefault="00F432B9">
      <w:pPr>
        <w:adjustRightInd w:val="0"/>
        <w:snapToGrid w:val="0"/>
        <w:spacing w:line="360" w:lineRule="auto"/>
        <w:jc w:val="both"/>
        <w:rPr>
          <w:rFonts w:asciiTheme="majorBidi" w:hAnsiTheme="majorBidi" w:cstheme="majorBidi"/>
          <w:color w:val="000000" w:themeColor="text1"/>
          <w:sz w:val="24"/>
          <w:szCs w:val="24"/>
        </w:rPr>
      </w:pPr>
    </w:p>
    <w:p w14:paraId="4CC56A6A" w14:textId="173FC116" w:rsidR="00F432B9" w:rsidRDefault="00C66155">
      <w:pPr>
        <w:adjustRightInd w:val="0"/>
        <w:snapToGrid w:val="0"/>
        <w:spacing w:line="360" w:lineRule="auto"/>
        <w:jc w:val="both"/>
        <w:rPr>
          <w:rFonts w:asciiTheme="majorBidi" w:hAnsiTheme="majorBidi" w:cstheme="majorBidi"/>
          <w:color w:val="000000" w:themeColor="text1"/>
          <w:sz w:val="24"/>
          <w:szCs w:val="24"/>
        </w:rPr>
      </w:pPr>
      <w:r w:rsidRPr="00B35761">
        <w:rPr>
          <w:rFonts w:asciiTheme="majorBidi" w:hAnsiTheme="majorBidi" w:cstheme="majorBidi"/>
          <w:color w:val="000000" w:themeColor="text1"/>
          <w:sz w:val="24"/>
          <w:szCs w:val="24"/>
        </w:rPr>
        <w:t>In</w:t>
      </w:r>
      <w:r w:rsidR="001E0DEF" w:rsidRPr="00B35761">
        <w:rPr>
          <w:rFonts w:asciiTheme="majorBidi" w:hAnsiTheme="majorBidi" w:cstheme="majorBidi"/>
          <w:color w:val="000000" w:themeColor="text1"/>
          <w:sz w:val="24"/>
          <w:szCs w:val="24"/>
        </w:rPr>
        <w:t xml:space="preserve"> minimiz</w:t>
      </w:r>
      <w:r w:rsidRPr="00B35761">
        <w:rPr>
          <w:rFonts w:asciiTheme="majorBidi" w:hAnsiTheme="majorBidi" w:cstheme="majorBidi"/>
          <w:color w:val="000000" w:themeColor="text1"/>
          <w:sz w:val="24"/>
          <w:szCs w:val="24"/>
        </w:rPr>
        <w:t>ing</w:t>
      </w:r>
      <w:r w:rsidR="001E0DEF" w:rsidRPr="00B35761">
        <w:rPr>
          <w:rFonts w:asciiTheme="majorBidi" w:hAnsiTheme="majorBidi" w:cstheme="majorBidi"/>
          <w:color w:val="000000" w:themeColor="text1"/>
          <w:sz w:val="24"/>
          <w:szCs w:val="24"/>
        </w:rPr>
        <w:t xml:space="preserve"> this,</w:t>
      </w:r>
      <w:r w:rsidR="00DD2340" w:rsidRPr="00B35761">
        <w:rPr>
          <w:rFonts w:asciiTheme="majorBidi" w:hAnsiTheme="majorBidi" w:cstheme="majorBidi"/>
          <w:color w:val="000000" w:themeColor="text1"/>
          <w:sz w:val="24"/>
          <w:szCs w:val="24"/>
        </w:rPr>
        <w:t xml:space="preserve"> different </w:t>
      </w:r>
      <w:r w:rsidR="008F5984" w:rsidRPr="00B35761">
        <w:rPr>
          <w:rFonts w:asciiTheme="majorBidi" w:hAnsiTheme="majorBidi" w:cstheme="majorBidi"/>
          <w:color w:val="000000" w:themeColor="text1"/>
          <w:sz w:val="24"/>
          <w:szCs w:val="24"/>
        </w:rPr>
        <w:t>views</w:t>
      </w:r>
      <w:r w:rsidR="00DD2340" w:rsidRPr="00B35761">
        <w:rPr>
          <w:rFonts w:asciiTheme="majorBidi" w:hAnsiTheme="majorBidi" w:cstheme="majorBidi"/>
          <w:color w:val="000000" w:themeColor="text1"/>
          <w:sz w:val="24"/>
          <w:szCs w:val="24"/>
        </w:rPr>
        <w:t xml:space="preserve"> have been offered </w:t>
      </w:r>
      <w:r w:rsidR="002D3CFE" w:rsidRPr="00B35761">
        <w:rPr>
          <w:rFonts w:asciiTheme="majorBidi" w:hAnsiTheme="majorBidi" w:cstheme="majorBidi"/>
          <w:color w:val="000000" w:themeColor="text1"/>
          <w:sz w:val="24"/>
          <w:szCs w:val="24"/>
        </w:rPr>
        <w:t xml:space="preserve">by the literature </w:t>
      </w:r>
      <w:r w:rsidR="00DD2340" w:rsidRPr="00B35761">
        <w:rPr>
          <w:rFonts w:asciiTheme="majorBidi" w:hAnsiTheme="majorBidi" w:cstheme="majorBidi"/>
          <w:color w:val="000000" w:themeColor="text1"/>
          <w:sz w:val="24"/>
          <w:szCs w:val="24"/>
        </w:rPr>
        <w:t>i</w:t>
      </w:r>
      <w:r w:rsidR="007D282E" w:rsidRPr="00B35761">
        <w:rPr>
          <w:rFonts w:asciiTheme="majorBidi" w:hAnsiTheme="majorBidi" w:cstheme="majorBidi"/>
          <w:color w:val="000000" w:themeColor="text1"/>
          <w:sz w:val="24"/>
          <w:szCs w:val="24"/>
        </w:rPr>
        <w:t>ncluding</w:t>
      </w:r>
      <w:r w:rsidR="00DD2340" w:rsidRPr="00B35761">
        <w:rPr>
          <w:rFonts w:asciiTheme="majorBidi" w:hAnsiTheme="majorBidi" w:cstheme="majorBidi"/>
          <w:color w:val="000000" w:themeColor="text1"/>
          <w:sz w:val="24"/>
          <w:szCs w:val="24"/>
        </w:rPr>
        <w:t xml:space="preserve"> incentive </w:t>
      </w:r>
      <w:r w:rsidR="005C76CE" w:rsidRPr="00B35761">
        <w:rPr>
          <w:rFonts w:asciiTheme="majorBidi" w:hAnsiTheme="majorBidi" w:cstheme="majorBidi"/>
          <w:color w:val="000000" w:themeColor="text1"/>
          <w:sz w:val="24"/>
          <w:szCs w:val="24"/>
        </w:rPr>
        <w:t xml:space="preserve">pay </w:t>
      </w:r>
      <w:r w:rsidR="00DD2340" w:rsidRPr="00B35761">
        <w:rPr>
          <w:rFonts w:asciiTheme="majorBidi" w:hAnsiTheme="majorBidi" w:cstheme="majorBidi"/>
          <w:color w:val="000000" w:themeColor="text1"/>
          <w:sz w:val="24"/>
          <w:szCs w:val="24"/>
        </w:rPr>
        <w:t>alignment and monitoring mechanisms</w:t>
      </w:r>
      <w:r w:rsidR="007D282E" w:rsidRPr="00B35761">
        <w:rPr>
          <w:rFonts w:asciiTheme="majorBidi" w:hAnsiTheme="majorBidi" w:cstheme="majorBidi"/>
          <w:color w:val="000000" w:themeColor="text1"/>
          <w:sz w:val="24"/>
          <w:szCs w:val="24"/>
        </w:rPr>
        <w:t xml:space="preserve"> </w:t>
      </w:r>
      <w:r w:rsidR="003632AD" w:rsidRPr="00B35761">
        <w:rPr>
          <w:rFonts w:asciiTheme="majorBidi" w:hAnsiTheme="majorBidi" w:cstheme="majorBidi"/>
          <w:color w:val="000000" w:themeColor="text1"/>
          <w:sz w:val="24"/>
          <w:szCs w:val="24"/>
        </w:rPr>
        <w:t>(</w:t>
      </w:r>
      <w:proofErr w:type="spellStart"/>
      <w:r w:rsidR="009556DD" w:rsidRPr="00B35761">
        <w:rPr>
          <w:rFonts w:asciiTheme="majorBidi" w:hAnsiTheme="majorBidi" w:cstheme="majorBidi"/>
          <w:color w:val="000000" w:themeColor="text1"/>
          <w:sz w:val="24"/>
          <w:szCs w:val="24"/>
        </w:rPr>
        <w:t>Ntim</w:t>
      </w:r>
      <w:proofErr w:type="spellEnd"/>
      <w:r w:rsidR="009556DD" w:rsidRPr="00B35761">
        <w:rPr>
          <w:rFonts w:asciiTheme="majorBidi" w:hAnsiTheme="majorBidi" w:cstheme="majorBidi"/>
          <w:color w:val="000000" w:themeColor="text1"/>
          <w:sz w:val="24"/>
          <w:szCs w:val="24"/>
        </w:rPr>
        <w:t xml:space="preserve"> et al., 2019; </w:t>
      </w:r>
      <w:r w:rsidR="003632AD" w:rsidRPr="00B35761">
        <w:rPr>
          <w:rFonts w:asciiTheme="majorBidi" w:hAnsiTheme="majorBidi" w:cstheme="majorBidi"/>
          <w:color w:val="000000" w:themeColor="text1"/>
          <w:sz w:val="24"/>
          <w:szCs w:val="24"/>
        </w:rPr>
        <w:t>Morse et al., 2011; Pepper et al., 2013</w:t>
      </w:r>
      <w:r w:rsidR="008E603E" w:rsidRPr="00B35761">
        <w:rPr>
          <w:rFonts w:asciiTheme="majorBidi" w:hAnsiTheme="majorBidi" w:cstheme="majorBidi"/>
          <w:color w:val="000000" w:themeColor="text1"/>
          <w:sz w:val="24"/>
          <w:szCs w:val="24"/>
        </w:rPr>
        <w:t>; Cadbury, 1992</w:t>
      </w:r>
      <w:r w:rsidR="00C84CB1" w:rsidRPr="00B35761">
        <w:rPr>
          <w:rFonts w:asciiTheme="majorBidi" w:hAnsiTheme="majorBidi" w:cstheme="majorBidi"/>
          <w:color w:val="000000" w:themeColor="text1"/>
          <w:sz w:val="24"/>
          <w:szCs w:val="24"/>
        </w:rPr>
        <w:t xml:space="preserve">; Jensen and </w:t>
      </w:r>
      <w:proofErr w:type="spellStart"/>
      <w:r w:rsidR="00C84CB1" w:rsidRPr="00B35761">
        <w:rPr>
          <w:rFonts w:asciiTheme="majorBidi" w:hAnsiTheme="majorBidi" w:cstheme="majorBidi"/>
          <w:color w:val="000000" w:themeColor="text1"/>
          <w:sz w:val="24"/>
          <w:szCs w:val="24"/>
        </w:rPr>
        <w:t>Meckling</w:t>
      </w:r>
      <w:proofErr w:type="spellEnd"/>
      <w:r w:rsidR="00C84CB1" w:rsidRPr="00B35761">
        <w:rPr>
          <w:rFonts w:asciiTheme="majorBidi" w:hAnsiTheme="majorBidi" w:cstheme="majorBidi"/>
          <w:color w:val="000000" w:themeColor="text1"/>
          <w:sz w:val="24"/>
          <w:szCs w:val="24"/>
        </w:rPr>
        <w:t>, 1976</w:t>
      </w:r>
      <w:r w:rsidR="003632AD" w:rsidRPr="00B35761">
        <w:rPr>
          <w:rFonts w:asciiTheme="majorBidi" w:hAnsiTheme="majorBidi" w:cstheme="majorBidi"/>
          <w:color w:val="000000" w:themeColor="text1"/>
          <w:sz w:val="24"/>
          <w:szCs w:val="24"/>
        </w:rPr>
        <w:t>).</w:t>
      </w:r>
      <w:r w:rsidRPr="00B35761">
        <w:rPr>
          <w:rFonts w:asciiTheme="majorBidi" w:hAnsiTheme="majorBidi" w:cstheme="majorBidi"/>
          <w:color w:val="000000" w:themeColor="text1"/>
          <w:sz w:val="24"/>
          <w:szCs w:val="24"/>
        </w:rPr>
        <w:t xml:space="preserve"> </w:t>
      </w:r>
      <w:r w:rsidR="00F432B9">
        <w:rPr>
          <w:rFonts w:asciiTheme="majorBidi" w:hAnsiTheme="majorBidi" w:cstheme="majorBidi"/>
          <w:color w:val="000000" w:themeColor="text1"/>
          <w:sz w:val="24"/>
          <w:szCs w:val="24"/>
        </w:rPr>
        <w:t>T</w:t>
      </w:r>
      <w:r w:rsidR="00D24DBC" w:rsidRPr="00B35761">
        <w:rPr>
          <w:rFonts w:asciiTheme="majorBidi" w:hAnsiTheme="majorBidi" w:cstheme="majorBidi"/>
          <w:color w:val="000000" w:themeColor="text1"/>
          <w:sz w:val="24"/>
          <w:szCs w:val="24"/>
        </w:rPr>
        <w:t xml:space="preserve">he incentive pay alignment </w:t>
      </w:r>
      <w:r w:rsidR="00F432B9">
        <w:rPr>
          <w:rFonts w:asciiTheme="majorBidi" w:hAnsiTheme="majorBidi" w:cstheme="majorBidi"/>
          <w:color w:val="000000" w:themeColor="text1"/>
          <w:sz w:val="24"/>
          <w:szCs w:val="24"/>
        </w:rPr>
        <w:t xml:space="preserve">argument </w:t>
      </w:r>
      <w:r w:rsidR="00D24DBC" w:rsidRPr="00B35761">
        <w:rPr>
          <w:rFonts w:asciiTheme="majorBidi" w:hAnsiTheme="majorBidi" w:cstheme="majorBidi"/>
          <w:color w:val="000000" w:themeColor="text1"/>
          <w:sz w:val="24"/>
          <w:szCs w:val="24"/>
        </w:rPr>
        <w:t>suggest</w:t>
      </w:r>
      <w:r w:rsidRPr="00B35761">
        <w:rPr>
          <w:rFonts w:asciiTheme="majorBidi" w:hAnsiTheme="majorBidi" w:cstheme="majorBidi"/>
          <w:color w:val="000000" w:themeColor="text1"/>
          <w:sz w:val="24"/>
          <w:szCs w:val="24"/>
        </w:rPr>
        <w:t>s</w:t>
      </w:r>
      <w:r w:rsidR="00D24DBC" w:rsidRPr="00B35761">
        <w:rPr>
          <w:rFonts w:asciiTheme="majorBidi" w:hAnsiTheme="majorBidi" w:cstheme="majorBidi"/>
          <w:color w:val="000000" w:themeColor="text1"/>
          <w:sz w:val="24"/>
          <w:szCs w:val="24"/>
        </w:rPr>
        <w:t xml:space="preserve"> </w:t>
      </w:r>
      <w:r w:rsidR="0035665B" w:rsidRPr="00B35761">
        <w:rPr>
          <w:rFonts w:asciiTheme="majorBidi" w:hAnsiTheme="majorBidi" w:cstheme="majorBidi"/>
          <w:color w:val="000000" w:themeColor="text1"/>
          <w:sz w:val="24"/>
          <w:szCs w:val="24"/>
        </w:rPr>
        <w:t xml:space="preserve">aligning both owners and </w:t>
      </w:r>
      <w:r w:rsidR="00525A40" w:rsidRPr="00B35761">
        <w:rPr>
          <w:rFonts w:asciiTheme="majorBidi" w:hAnsiTheme="majorBidi" w:cstheme="majorBidi"/>
          <w:color w:val="000000" w:themeColor="text1"/>
          <w:sz w:val="24"/>
          <w:szCs w:val="24"/>
        </w:rPr>
        <w:t>executive’s</w:t>
      </w:r>
      <w:r w:rsidR="0035665B" w:rsidRPr="00B35761">
        <w:rPr>
          <w:rFonts w:asciiTheme="majorBidi" w:hAnsiTheme="majorBidi" w:cstheme="majorBidi"/>
          <w:color w:val="000000" w:themeColor="text1"/>
          <w:sz w:val="24"/>
          <w:szCs w:val="24"/>
        </w:rPr>
        <w:t xml:space="preserve"> interests by</w:t>
      </w:r>
      <w:r w:rsidR="0087370A" w:rsidRPr="00B35761">
        <w:rPr>
          <w:rFonts w:asciiTheme="majorBidi" w:hAnsiTheme="majorBidi" w:cstheme="majorBidi"/>
          <w:color w:val="000000" w:themeColor="text1"/>
          <w:sz w:val="24"/>
          <w:szCs w:val="24"/>
        </w:rPr>
        <w:t xml:space="preserve"> </w:t>
      </w:r>
      <w:r w:rsidR="0047219F" w:rsidRPr="00B35761">
        <w:rPr>
          <w:rFonts w:asciiTheme="majorBidi" w:hAnsiTheme="majorBidi" w:cstheme="majorBidi"/>
          <w:color w:val="000000" w:themeColor="text1"/>
          <w:sz w:val="24"/>
          <w:szCs w:val="24"/>
        </w:rPr>
        <w:t xml:space="preserve">efficiently </w:t>
      </w:r>
      <w:r w:rsidRPr="00B35761">
        <w:rPr>
          <w:rFonts w:asciiTheme="majorBidi" w:hAnsiTheme="majorBidi" w:cstheme="majorBidi"/>
          <w:color w:val="000000" w:themeColor="text1"/>
          <w:sz w:val="24"/>
          <w:szCs w:val="24"/>
        </w:rPr>
        <w:t>designing</w:t>
      </w:r>
      <w:r w:rsidR="0087370A" w:rsidRPr="00B35761">
        <w:rPr>
          <w:rFonts w:asciiTheme="majorBidi" w:hAnsiTheme="majorBidi" w:cstheme="majorBidi"/>
          <w:color w:val="000000" w:themeColor="text1"/>
          <w:sz w:val="24"/>
          <w:szCs w:val="24"/>
        </w:rPr>
        <w:t xml:space="preserve"> pay </w:t>
      </w:r>
      <w:r w:rsidR="0047219F" w:rsidRPr="00B35761">
        <w:rPr>
          <w:rFonts w:asciiTheme="majorBidi" w:hAnsiTheme="majorBidi" w:cstheme="majorBidi"/>
          <w:color w:val="000000" w:themeColor="text1"/>
          <w:sz w:val="24"/>
          <w:szCs w:val="24"/>
        </w:rPr>
        <w:t>package</w:t>
      </w:r>
      <w:r w:rsidR="00240035" w:rsidRPr="00B35761">
        <w:rPr>
          <w:rFonts w:asciiTheme="majorBidi" w:hAnsiTheme="majorBidi" w:cstheme="majorBidi"/>
          <w:color w:val="000000" w:themeColor="text1"/>
          <w:sz w:val="24"/>
          <w:szCs w:val="24"/>
        </w:rPr>
        <w:t>s</w:t>
      </w:r>
      <w:r w:rsidR="0047219F" w:rsidRPr="00B35761">
        <w:rPr>
          <w:rFonts w:asciiTheme="majorBidi" w:hAnsiTheme="majorBidi" w:cstheme="majorBidi"/>
          <w:color w:val="000000" w:themeColor="text1"/>
          <w:sz w:val="24"/>
          <w:szCs w:val="24"/>
        </w:rPr>
        <w:t xml:space="preserve"> to influence </w:t>
      </w:r>
      <w:r w:rsidR="009556DD" w:rsidRPr="00B35761">
        <w:rPr>
          <w:rFonts w:asciiTheme="majorBidi" w:hAnsiTheme="majorBidi" w:cstheme="majorBidi"/>
          <w:color w:val="000000" w:themeColor="text1"/>
          <w:sz w:val="24"/>
          <w:szCs w:val="24"/>
        </w:rPr>
        <w:t>managers</w:t>
      </w:r>
      <w:r w:rsidR="0047219F" w:rsidRPr="00B35761">
        <w:rPr>
          <w:rFonts w:asciiTheme="majorBidi" w:hAnsiTheme="majorBidi" w:cstheme="majorBidi"/>
          <w:color w:val="000000" w:themeColor="text1"/>
          <w:sz w:val="24"/>
          <w:szCs w:val="24"/>
        </w:rPr>
        <w:t xml:space="preserve"> value-critical decisions</w:t>
      </w:r>
      <w:r w:rsidR="00A3438A" w:rsidRPr="00B35761">
        <w:rPr>
          <w:rFonts w:asciiTheme="majorBidi" w:hAnsiTheme="majorBidi" w:cstheme="majorBidi"/>
          <w:color w:val="000000" w:themeColor="text1"/>
          <w:sz w:val="24"/>
          <w:szCs w:val="24"/>
        </w:rPr>
        <w:t xml:space="preserve"> and t</w:t>
      </w:r>
      <w:r w:rsidR="00525A40" w:rsidRPr="00B35761">
        <w:rPr>
          <w:rFonts w:asciiTheme="majorBidi" w:hAnsiTheme="majorBidi" w:cstheme="majorBidi"/>
          <w:color w:val="000000" w:themeColor="text1"/>
          <w:sz w:val="24"/>
          <w:szCs w:val="24"/>
        </w:rPr>
        <w:t>his idea</w:t>
      </w:r>
      <w:r w:rsidR="00A3438A" w:rsidRPr="00B35761">
        <w:rPr>
          <w:rFonts w:asciiTheme="majorBidi" w:hAnsiTheme="majorBidi" w:cstheme="majorBidi"/>
          <w:color w:val="000000" w:themeColor="text1"/>
          <w:sz w:val="24"/>
          <w:szCs w:val="24"/>
        </w:rPr>
        <w:t xml:space="preserve"> has</w:t>
      </w:r>
      <w:r w:rsidR="00717F2E" w:rsidRPr="00B35761">
        <w:rPr>
          <w:rFonts w:asciiTheme="majorBidi" w:hAnsiTheme="majorBidi" w:cstheme="majorBidi"/>
          <w:color w:val="000000" w:themeColor="text1"/>
          <w:sz w:val="24"/>
          <w:szCs w:val="24"/>
        </w:rPr>
        <w:t xml:space="preserve"> </w:t>
      </w:r>
      <w:r w:rsidR="00A3438A" w:rsidRPr="00B35761">
        <w:rPr>
          <w:rFonts w:asciiTheme="majorBidi" w:hAnsiTheme="majorBidi" w:cstheme="majorBidi"/>
          <w:color w:val="000000" w:themeColor="text1"/>
          <w:sz w:val="24"/>
          <w:szCs w:val="24"/>
        </w:rPr>
        <w:t xml:space="preserve">led to most </w:t>
      </w:r>
      <w:r w:rsidR="00717F2E" w:rsidRPr="00B35761">
        <w:rPr>
          <w:rFonts w:asciiTheme="majorBidi" w:hAnsiTheme="majorBidi" w:cstheme="majorBidi"/>
          <w:color w:val="000000" w:themeColor="text1"/>
          <w:sz w:val="24"/>
          <w:szCs w:val="24"/>
        </w:rPr>
        <w:t>executive pay</w:t>
      </w:r>
      <w:r w:rsidR="00A3438A" w:rsidRPr="00B35761">
        <w:rPr>
          <w:rFonts w:asciiTheme="majorBidi" w:hAnsiTheme="majorBidi" w:cstheme="majorBidi"/>
          <w:color w:val="000000" w:themeColor="text1"/>
          <w:sz w:val="24"/>
          <w:szCs w:val="24"/>
        </w:rPr>
        <w:t xml:space="preserve"> </w:t>
      </w:r>
      <w:r w:rsidR="005F5E06" w:rsidRPr="00B35761">
        <w:rPr>
          <w:rFonts w:asciiTheme="majorBidi" w:hAnsiTheme="majorBidi" w:cstheme="majorBidi"/>
          <w:color w:val="000000" w:themeColor="text1"/>
          <w:sz w:val="24"/>
          <w:szCs w:val="24"/>
        </w:rPr>
        <w:t xml:space="preserve">and governance </w:t>
      </w:r>
      <w:r w:rsidR="00A3438A" w:rsidRPr="00B35761">
        <w:rPr>
          <w:rFonts w:asciiTheme="majorBidi" w:hAnsiTheme="majorBidi" w:cstheme="majorBidi"/>
          <w:color w:val="000000" w:themeColor="text1"/>
          <w:sz w:val="24"/>
          <w:szCs w:val="24"/>
        </w:rPr>
        <w:t>reforms</w:t>
      </w:r>
      <w:r w:rsidR="00717F2E" w:rsidRPr="00B35761">
        <w:rPr>
          <w:rFonts w:asciiTheme="majorBidi" w:hAnsiTheme="majorBidi" w:cstheme="majorBidi"/>
          <w:color w:val="000000" w:themeColor="text1"/>
          <w:sz w:val="24"/>
          <w:szCs w:val="24"/>
        </w:rPr>
        <w:t xml:space="preserve"> worldwide (e.g., Cadbury 1992</w:t>
      </w:r>
      <w:r w:rsidR="00A15E8D" w:rsidRPr="00B35761">
        <w:rPr>
          <w:rFonts w:asciiTheme="majorBidi" w:hAnsiTheme="majorBidi" w:cstheme="majorBidi"/>
          <w:color w:val="000000" w:themeColor="text1"/>
          <w:sz w:val="24"/>
          <w:szCs w:val="24"/>
        </w:rPr>
        <w:t>; King committee, 1994, 2002</w:t>
      </w:r>
      <w:r w:rsidR="00717F2E" w:rsidRPr="00B35761">
        <w:rPr>
          <w:rFonts w:asciiTheme="majorBidi" w:hAnsiTheme="majorBidi" w:cstheme="majorBidi"/>
          <w:color w:val="000000" w:themeColor="text1"/>
          <w:sz w:val="24"/>
          <w:szCs w:val="24"/>
        </w:rPr>
        <w:t>)</w:t>
      </w:r>
      <w:r w:rsidR="00A3438A" w:rsidRPr="00B35761">
        <w:rPr>
          <w:rFonts w:asciiTheme="majorBidi" w:hAnsiTheme="majorBidi" w:cstheme="majorBidi"/>
          <w:color w:val="000000" w:themeColor="text1"/>
          <w:sz w:val="24"/>
          <w:szCs w:val="24"/>
        </w:rPr>
        <w:t>.</w:t>
      </w:r>
      <w:r w:rsidR="00767A72" w:rsidRPr="00B35761">
        <w:rPr>
          <w:rFonts w:asciiTheme="majorBidi" w:hAnsiTheme="majorBidi" w:cstheme="majorBidi"/>
          <w:color w:val="000000" w:themeColor="text1"/>
          <w:sz w:val="24"/>
          <w:szCs w:val="24"/>
        </w:rPr>
        <w:t xml:space="preserve"> </w:t>
      </w:r>
      <w:r w:rsidR="00F432B9">
        <w:rPr>
          <w:rFonts w:asciiTheme="majorBidi" w:hAnsiTheme="majorBidi" w:cstheme="majorBidi"/>
          <w:color w:val="000000" w:themeColor="text1"/>
          <w:sz w:val="24"/>
          <w:szCs w:val="24"/>
        </w:rPr>
        <w:t>E</w:t>
      </w:r>
      <w:r w:rsidR="00767A72" w:rsidRPr="00B35761">
        <w:rPr>
          <w:rFonts w:asciiTheme="majorBidi" w:hAnsiTheme="majorBidi" w:cstheme="majorBidi"/>
          <w:color w:val="000000" w:themeColor="text1"/>
          <w:sz w:val="24"/>
          <w:szCs w:val="24"/>
        </w:rPr>
        <w:t>vidence on the</w:t>
      </w:r>
      <w:r w:rsidR="008F5984" w:rsidRPr="00B35761">
        <w:rPr>
          <w:rFonts w:asciiTheme="majorBidi" w:hAnsiTheme="majorBidi" w:cstheme="majorBidi"/>
          <w:color w:val="000000" w:themeColor="text1"/>
          <w:sz w:val="24"/>
          <w:szCs w:val="24"/>
        </w:rPr>
        <w:t xml:space="preserve"> </w:t>
      </w:r>
      <w:r w:rsidR="00293B5A" w:rsidRPr="00B35761">
        <w:rPr>
          <w:rFonts w:asciiTheme="majorBidi" w:hAnsiTheme="majorBidi" w:cstheme="majorBidi"/>
          <w:color w:val="000000" w:themeColor="text1"/>
          <w:sz w:val="24"/>
          <w:szCs w:val="24"/>
        </w:rPr>
        <w:t>incentive</w:t>
      </w:r>
      <w:r w:rsidR="008F5984" w:rsidRPr="00B35761">
        <w:rPr>
          <w:rFonts w:asciiTheme="majorBidi" w:hAnsiTheme="majorBidi" w:cstheme="majorBidi"/>
          <w:color w:val="000000" w:themeColor="text1"/>
          <w:sz w:val="24"/>
          <w:szCs w:val="24"/>
        </w:rPr>
        <w:t xml:space="preserve"> alignment</w:t>
      </w:r>
      <w:r w:rsidR="005F5E06" w:rsidRPr="00B35761">
        <w:rPr>
          <w:rFonts w:asciiTheme="majorBidi" w:hAnsiTheme="majorBidi" w:cstheme="majorBidi"/>
          <w:color w:val="000000" w:themeColor="text1"/>
          <w:sz w:val="24"/>
          <w:szCs w:val="24"/>
        </w:rPr>
        <w:t xml:space="preserve"> </w:t>
      </w:r>
      <w:r w:rsidR="008F2F23" w:rsidRPr="00B35761">
        <w:rPr>
          <w:rFonts w:asciiTheme="majorBidi" w:hAnsiTheme="majorBidi" w:cstheme="majorBidi"/>
          <w:color w:val="000000" w:themeColor="text1"/>
          <w:sz w:val="24"/>
          <w:szCs w:val="24"/>
        </w:rPr>
        <w:t xml:space="preserve">has </w:t>
      </w:r>
      <w:r w:rsidR="008F5984" w:rsidRPr="00B35761">
        <w:rPr>
          <w:rFonts w:asciiTheme="majorBidi" w:hAnsiTheme="majorBidi" w:cstheme="majorBidi"/>
          <w:color w:val="000000" w:themeColor="text1"/>
          <w:sz w:val="24"/>
          <w:szCs w:val="24"/>
        </w:rPr>
        <w:t>been</w:t>
      </w:r>
      <w:r w:rsidR="00CB76E4" w:rsidRPr="00B35761">
        <w:rPr>
          <w:rFonts w:asciiTheme="majorBidi" w:hAnsiTheme="majorBidi" w:cstheme="majorBidi"/>
          <w:color w:val="000000" w:themeColor="text1"/>
          <w:sz w:val="24"/>
          <w:szCs w:val="24"/>
        </w:rPr>
        <w:t xml:space="preserve"> mixed r</w:t>
      </w:r>
      <w:r w:rsidR="008F5984" w:rsidRPr="00B35761">
        <w:rPr>
          <w:rFonts w:asciiTheme="majorBidi" w:hAnsiTheme="majorBidi" w:cstheme="majorBidi"/>
          <w:color w:val="000000" w:themeColor="text1"/>
          <w:sz w:val="24"/>
          <w:szCs w:val="24"/>
        </w:rPr>
        <w:t>aising</w:t>
      </w:r>
      <w:r w:rsidR="00CB76E4" w:rsidRPr="00B35761">
        <w:rPr>
          <w:rFonts w:asciiTheme="majorBidi" w:hAnsiTheme="majorBidi" w:cstheme="majorBidi"/>
          <w:color w:val="000000" w:themeColor="text1"/>
          <w:sz w:val="24"/>
          <w:szCs w:val="24"/>
        </w:rPr>
        <w:t xml:space="preserve"> </w:t>
      </w:r>
      <w:r w:rsidR="00EF046E" w:rsidRPr="00B35761">
        <w:rPr>
          <w:rFonts w:asciiTheme="majorBidi" w:hAnsiTheme="majorBidi" w:cstheme="majorBidi"/>
          <w:color w:val="000000" w:themeColor="text1"/>
          <w:sz w:val="24"/>
          <w:szCs w:val="24"/>
        </w:rPr>
        <w:t>concern</w:t>
      </w:r>
      <w:r w:rsidR="008F5984" w:rsidRPr="00B35761">
        <w:rPr>
          <w:rFonts w:asciiTheme="majorBidi" w:hAnsiTheme="majorBidi" w:cstheme="majorBidi"/>
          <w:color w:val="000000" w:themeColor="text1"/>
          <w:sz w:val="24"/>
          <w:szCs w:val="24"/>
        </w:rPr>
        <w:t xml:space="preserve">s </w:t>
      </w:r>
      <w:r w:rsidR="00CB76E4" w:rsidRPr="00B35761">
        <w:rPr>
          <w:rFonts w:asciiTheme="majorBidi" w:hAnsiTheme="majorBidi" w:cstheme="majorBidi"/>
          <w:color w:val="000000" w:themeColor="text1"/>
          <w:sz w:val="24"/>
          <w:szCs w:val="24"/>
        </w:rPr>
        <w:t>on the eff</w:t>
      </w:r>
      <w:r w:rsidR="00EF046E" w:rsidRPr="00B35761">
        <w:rPr>
          <w:rFonts w:asciiTheme="majorBidi" w:hAnsiTheme="majorBidi" w:cstheme="majorBidi"/>
          <w:color w:val="000000" w:themeColor="text1"/>
          <w:sz w:val="24"/>
          <w:szCs w:val="24"/>
        </w:rPr>
        <w:t>ectiveness</w:t>
      </w:r>
      <w:r w:rsidR="00CB76E4" w:rsidRPr="00B35761">
        <w:rPr>
          <w:rFonts w:asciiTheme="majorBidi" w:hAnsiTheme="majorBidi" w:cstheme="majorBidi"/>
          <w:color w:val="000000" w:themeColor="text1"/>
          <w:sz w:val="24"/>
          <w:szCs w:val="24"/>
        </w:rPr>
        <w:t xml:space="preserve"> of pay incentives in resolving the </w:t>
      </w:r>
      <w:r w:rsidR="00EF046E" w:rsidRPr="00B35761">
        <w:rPr>
          <w:rFonts w:asciiTheme="majorBidi" w:hAnsiTheme="majorBidi" w:cstheme="majorBidi"/>
          <w:color w:val="000000" w:themeColor="text1"/>
          <w:sz w:val="24"/>
          <w:szCs w:val="24"/>
        </w:rPr>
        <w:t>principal</w:t>
      </w:r>
      <w:r w:rsidR="00293B5A" w:rsidRPr="00B35761">
        <w:rPr>
          <w:rFonts w:asciiTheme="majorBidi" w:hAnsiTheme="majorBidi" w:cstheme="majorBidi"/>
          <w:color w:val="000000" w:themeColor="text1"/>
          <w:sz w:val="24"/>
          <w:szCs w:val="24"/>
        </w:rPr>
        <w:t>(s)</w:t>
      </w:r>
      <w:r w:rsidR="00EF046E" w:rsidRPr="00B35761">
        <w:rPr>
          <w:rFonts w:asciiTheme="majorBidi" w:hAnsiTheme="majorBidi" w:cstheme="majorBidi"/>
          <w:color w:val="000000" w:themeColor="text1"/>
          <w:sz w:val="24"/>
          <w:szCs w:val="24"/>
        </w:rPr>
        <w:t xml:space="preserve"> </w:t>
      </w:r>
      <w:r w:rsidR="00293B5A" w:rsidRPr="00B35761">
        <w:rPr>
          <w:rFonts w:asciiTheme="majorBidi" w:hAnsiTheme="majorBidi" w:cstheme="majorBidi"/>
          <w:color w:val="000000" w:themeColor="text1"/>
          <w:sz w:val="24"/>
          <w:szCs w:val="24"/>
        </w:rPr>
        <w:t>–</w:t>
      </w:r>
      <w:r w:rsidR="00EF046E" w:rsidRPr="00B35761">
        <w:rPr>
          <w:rFonts w:asciiTheme="majorBidi" w:hAnsiTheme="majorBidi" w:cstheme="majorBidi"/>
          <w:color w:val="000000" w:themeColor="text1"/>
          <w:sz w:val="24"/>
          <w:szCs w:val="24"/>
        </w:rPr>
        <w:t xml:space="preserve"> </w:t>
      </w:r>
      <w:r w:rsidR="00CB76E4" w:rsidRPr="00B35761">
        <w:rPr>
          <w:rFonts w:asciiTheme="majorBidi" w:hAnsiTheme="majorBidi" w:cstheme="majorBidi"/>
          <w:color w:val="000000" w:themeColor="text1"/>
          <w:sz w:val="24"/>
          <w:szCs w:val="24"/>
        </w:rPr>
        <w:t>agen</w:t>
      </w:r>
      <w:r w:rsidR="00EF046E" w:rsidRPr="00B35761">
        <w:rPr>
          <w:rFonts w:asciiTheme="majorBidi" w:hAnsiTheme="majorBidi" w:cstheme="majorBidi"/>
          <w:color w:val="000000" w:themeColor="text1"/>
          <w:sz w:val="24"/>
          <w:szCs w:val="24"/>
        </w:rPr>
        <w:t>t</w:t>
      </w:r>
      <w:r w:rsidR="00293B5A" w:rsidRPr="00B35761">
        <w:rPr>
          <w:rFonts w:asciiTheme="majorBidi" w:hAnsiTheme="majorBidi" w:cstheme="majorBidi"/>
          <w:color w:val="000000" w:themeColor="text1"/>
          <w:sz w:val="24"/>
          <w:szCs w:val="24"/>
        </w:rPr>
        <w:t>(s)</w:t>
      </w:r>
      <w:r w:rsidR="00CB76E4" w:rsidRPr="00B35761">
        <w:rPr>
          <w:rFonts w:asciiTheme="majorBidi" w:hAnsiTheme="majorBidi" w:cstheme="majorBidi"/>
          <w:color w:val="000000" w:themeColor="text1"/>
          <w:sz w:val="24"/>
          <w:szCs w:val="24"/>
        </w:rPr>
        <w:t xml:space="preserve"> conflict</w:t>
      </w:r>
      <w:r w:rsidR="00D438DD" w:rsidRPr="00B35761">
        <w:rPr>
          <w:rFonts w:asciiTheme="majorBidi" w:hAnsiTheme="majorBidi" w:cstheme="majorBidi"/>
          <w:color w:val="000000" w:themeColor="text1"/>
          <w:sz w:val="24"/>
          <w:szCs w:val="24"/>
        </w:rPr>
        <w:t xml:space="preserve"> (see Van Essen et al., 2015; Chen et al., 2011). </w:t>
      </w:r>
      <w:r w:rsidR="00020B6D" w:rsidRPr="00B35761">
        <w:rPr>
          <w:rFonts w:asciiTheme="majorBidi" w:hAnsiTheme="majorBidi" w:cstheme="majorBidi"/>
          <w:color w:val="000000" w:themeColor="text1"/>
          <w:sz w:val="24"/>
          <w:szCs w:val="24"/>
        </w:rPr>
        <w:t>Theoretically, t</w:t>
      </w:r>
      <w:r w:rsidR="006F50D9" w:rsidRPr="00B35761">
        <w:rPr>
          <w:rFonts w:asciiTheme="majorBidi" w:hAnsiTheme="majorBidi" w:cstheme="majorBidi"/>
          <w:color w:val="000000" w:themeColor="text1"/>
          <w:sz w:val="24"/>
          <w:szCs w:val="24"/>
        </w:rPr>
        <w:t>he literature offer</w:t>
      </w:r>
      <w:r w:rsidR="00020B6D" w:rsidRPr="00B35761">
        <w:rPr>
          <w:rFonts w:asciiTheme="majorBidi" w:hAnsiTheme="majorBidi" w:cstheme="majorBidi"/>
          <w:color w:val="000000" w:themeColor="text1"/>
          <w:sz w:val="24"/>
          <w:szCs w:val="24"/>
        </w:rPr>
        <w:t>s</w:t>
      </w:r>
      <w:r w:rsidR="00D438DD" w:rsidRPr="00B35761">
        <w:rPr>
          <w:rFonts w:asciiTheme="majorBidi" w:hAnsiTheme="majorBidi" w:cstheme="majorBidi"/>
          <w:color w:val="000000" w:themeColor="text1"/>
          <w:sz w:val="24"/>
          <w:szCs w:val="24"/>
        </w:rPr>
        <w:t xml:space="preserve"> two </w:t>
      </w:r>
      <w:r w:rsidR="00293B5A" w:rsidRPr="00B35761">
        <w:rPr>
          <w:rFonts w:asciiTheme="majorBidi" w:hAnsiTheme="majorBidi" w:cstheme="majorBidi"/>
          <w:color w:val="000000" w:themeColor="text1"/>
          <w:sz w:val="24"/>
          <w:szCs w:val="24"/>
        </w:rPr>
        <w:t>contrasting</w:t>
      </w:r>
      <w:r w:rsidR="006F50D9" w:rsidRPr="00B35761">
        <w:rPr>
          <w:rFonts w:asciiTheme="majorBidi" w:hAnsiTheme="majorBidi" w:cstheme="majorBidi"/>
          <w:color w:val="000000" w:themeColor="text1"/>
          <w:sz w:val="24"/>
          <w:szCs w:val="24"/>
        </w:rPr>
        <w:t xml:space="preserve"> views</w:t>
      </w:r>
      <w:r w:rsidR="00D438DD" w:rsidRPr="00B35761">
        <w:rPr>
          <w:rFonts w:asciiTheme="majorBidi" w:hAnsiTheme="majorBidi" w:cstheme="majorBidi"/>
          <w:color w:val="000000" w:themeColor="text1"/>
          <w:sz w:val="24"/>
          <w:szCs w:val="24"/>
        </w:rPr>
        <w:t xml:space="preserve">: </w:t>
      </w:r>
      <w:r w:rsidR="00805C90" w:rsidRPr="00B35761">
        <w:rPr>
          <w:rFonts w:asciiTheme="majorBidi" w:hAnsiTheme="majorBidi" w:cstheme="majorBidi"/>
          <w:color w:val="000000" w:themeColor="text1"/>
          <w:sz w:val="24"/>
          <w:szCs w:val="24"/>
        </w:rPr>
        <w:t>optimal contracting theory - OCT and managerial power hypothesis – MPH (</w:t>
      </w:r>
      <w:r w:rsidR="00020B6D" w:rsidRPr="00B35761">
        <w:rPr>
          <w:rFonts w:asciiTheme="majorBidi" w:hAnsiTheme="majorBidi" w:cstheme="majorBidi"/>
          <w:color w:val="000000" w:themeColor="text1"/>
          <w:sz w:val="24"/>
          <w:szCs w:val="24"/>
        </w:rPr>
        <w:t xml:space="preserve">see </w:t>
      </w:r>
      <w:proofErr w:type="spellStart"/>
      <w:r w:rsidR="00020B6D" w:rsidRPr="00B35761">
        <w:rPr>
          <w:rFonts w:asciiTheme="majorBidi" w:hAnsiTheme="majorBidi" w:cstheme="majorBidi"/>
          <w:color w:val="000000" w:themeColor="text1"/>
          <w:sz w:val="24"/>
          <w:szCs w:val="24"/>
        </w:rPr>
        <w:t>Ntim</w:t>
      </w:r>
      <w:proofErr w:type="spellEnd"/>
      <w:r w:rsidR="00020B6D" w:rsidRPr="00B35761">
        <w:rPr>
          <w:rFonts w:asciiTheme="majorBidi" w:hAnsiTheme="majorBidi" w:cstheme="majorBidi"/>
          <w:color w:val="000000" w:themeColor="text1"/>
          <w:sz w:val="24"/>
          <w:szCs w:val="24"/>
        </w:rPr>
        <w:t xml:space="preserve"> et al., 2019; </w:t>
      </w:r>
      <w:proofErr w:type="spellStart"/>
      <w:r w:rsidR="00020B6D" w:rsidRPr="00B35761">
        <w:rPr>
          <w:rFonts w:asciiTheme="majorBidi" w:hAnsiTheme="majorBidi" w:cstheme="majorBidi"/>
          <w:color w:val="000000" w:themeColor="text1"/>
          <w:sz w:val="24"/>
          <w:szCs w:val="24"/>
        </w:rPr>
        <w:t>Balafas</w:t>
      </w:r>
      <w:proofErr w:type="spellEnd"/>
      <w:r w:rsidR="00020B6D" w:rsidRPr="00B35761">
        <w:rPr>
          <w:rFonts w:asciiTheme="majorBidi" w:hAnsiTheme="majorBidi" w:cstheme="majorBidi"/>
          <w:color w:val="000000" w:themeColor="text1"/>
          <w:sz w:val="24"/>
          <w:szCs w:val="24"/>
        </w:rPr>
        <w:t xml:space="preserve"> &amp; </w:t>
      </w:r>
      <w:proofErr w:type="spellStart"/>
      <w:r w:rsidR="00020B6D" w:rsidRPr="00B35761">
        <w:rPr>
          <w:rFonts w:asciiTheme="majorBidi" w:hAnsiTheme="majorBidi" w:cstheme="majorBidi"/>
          <w:color w:val="000000" w:themeColor="text1"/>
          <w:sz w:val="24"/>
          <w:szCs w:val="24"/>
        </w:rPr>
        <w:t>Florackis</w:t>
      </w:r>
      <w:proofErr w:type="spellEnd"/>
      <w:r w:rsidR="00020B6D" w:rsidRPr="00B35761">
        <w:rPr>
          <w:rFonts w:asciiTheme="majorBidi" w:hAnsiTheme="majorBidi" w:cstheme="majorBidi"/>
          <w:color w:val="000000" w:themeColor="text1"/>
          <w:sz w:val="24"/>
          <w:szCs w:val="24"/>
        </w:rPr>
        <w:t xml:space="preserve">, 2014; </w:t>
      </w:r>
      <w:proofErr w:type="spellStart"/>
      <w:r w:rsidR="00805C90" w:rsidRPr="00B35761">
        <w:rPr>
          <w:rFonts w:asciiTheme="majorBidi" w:hAnsiTheme="majorBidi" w:cstheme="majorBidi"/>
          <w:color w:val="000000" w:themeColor="text1"/>
          <w:sz w:val="24"/>
          <w:szCs w:val="24"/>
        </w:rPr>
        <w:t>Ozkan</w:t>
      </w:r>
      <w:proofErr w:type="spellEnd"/>
      <w:r w:rsidR="00805C90" w:rsidRPr="00B35761">
        <w:rPr>
          <w:rFonts w:asciiTheme="majorBidi" w:hAnsiTheme="majorBidi" w:cstheme="majorBidi"/>
          <w:color w:val="000000" w:themeColor="text1"/>
          <w:sz w:val="24"/>
          <w:szCs w:val="24"/>
        </w:rPr>
        <w:t xml:space="preserve">, 2011; </w:t>
      </w:r>
      <w:proofErr w:type="spellStart"/>
      <w:r w:rsidR="00805C90" w:rsidRPr="00B35761">
        <w:rPr>
          <w:rFonts w:asciiTheme="majorBidi" w:hAnsiTheme="majorBidi" w:cstheme="majorBidi"/>
          <w:color w:val="000000" w:themeColor="text1"/>
          <w:sz w:val="24"/>
          <w:szCs w:val="24"/>
        </w:rPr>
        <w:t>Bebchuk</w:t>
      </w:r>
      <w:proofErr w:type="spellEnd"/>
      <w:r w:rsidR="00805C90" w:rsidRPr="00B35761">
        <w:rPr>
          <w:rFonts w:asciiTheme="majorBidi" w:hAnsiTheme="majorBidi" w:cstheme="majorBidi"/>
          <w:color w:val="000000" w:themeColor="text1"/>
          <w:sz w:val="24"/>
          <w:szCs w:val="24"/>
        </w:rPr>
        <w:t xml:space="preserve"> and Fried, 2003</w:t>
      </w:r>
      <w:r w:rsidR="00020B6D" w:rsidRPr="00B35761">
        <w:rPr>
          <w:rFonts w:asciiTheme="majorBidi" w:hAnsiTheme="majorBidi" w:cstheme="majorBidi"/>
          <w:color w:val="000000" w:themeColor="text1"/>
          <w:sz w:val="24"/>
          <w:szCs w:val="24"/>
        </w:rPr>
        <w:t>, 2004</w:t>
      </w:r>
      <w:r w:rsidR="00805C90" w:rsidRPr="00B35761">
        <w:rPr>
          <w:rFonts w:asciiTheme="majorBidi" w:hAnsiTheme="majorBidi" w:cstheme="majorBidi"/>
          <w:color w:val="000000" w:themeColor="text1"/>
          <w:sz w:val="24"/>
          <w:szCs w:val="24"/>
        </w:rPr>
        <w:t xml:space="preserve">; </w:t>
      </w:r>
      <w:r w:rsidR="00805C90" w:rsidRPr="00B35761">
        <w:rPr>
          <w:rFonts w:asciiTheme="majorBidi" w:eastAsia="Calibri" w:hAnsiTheme="majorBidi" w:cstheme="majorBidi"/>
          <w:sz w:val="24"/>
          <w:szCs w:val="24"/>
          <w:lang w:val="en-US"/>
        </w:rPr>
        <w:t xml:space="preserve">Jensen and Murphy, 1990; Jensen and </w:t>
      </w:r>
      <w:proofErr w:type="spellStart"/>
      <w:r w:rsidR="00805C90" w:rsidRPr="00B35761">
        <w:rPr>
          <w:rFonts w:asciiTheme="majorBidi" w:eastAsia="Calibri" w:hAnsiTheme="majorBidi" w:cstheme="majorBidi"/>
          <w:sz w:val="24"/>
          <w:szCs w:val="24"/>
          <w:lang w:val="en-US"/>
        </w:rPr>
        <w:t>Meckling</w:t>
      </w:r>
      <w:proofErr w:type="spellEnd"/>
      <w:r w:rsidR="00805C90" w:rsidRPr="00B35761">
        <w:rPr>
          <w:rFonts w:asciiTheme="majorBidi" w:eastAsia="Calibri" w:hAnsiTheme="majorBidi" w:cstheme="majorBidi"/>
          <w:sz w:val="24"/>
          <w:szCs w:val="24"/>
          <w:lang w:val="en-US"/>
        </w:rPr>
        <w:t xml:space="preserve">, 1976). </w:t>
      </w:r>
      <w:r w:rsidR="00676907" w:rsidRPr="00B35761">
        <w:rPr>
          <w:rFonts w:asciiTheme="majorBidi" w:hAnsiTheme="majorBidi" w:cstheme="majorBidi"/>
          <w:color w:val="000000" w:themeColor="text1"/>
          <w:sz w:val="24"/>
          <w:szCs w:val="24"/>
        </w:rPr>
        <w:t>T</w:t>
      </w:r>
      <w:r w:rsidR="00805C90" w:rsidRPr="00B35761">
        <w:rPr>
          <w:rFonts w:asciiTheme="majorBidi" w:hAnsiTheme="majorBidi" w:cstheme="majorBidi"/>
          <w:color w:val="000000" w:themeColor="text1"/>
          <w:sz w:val="24"/>
          <w:szCs w:val="24"/>
        </w:rPr>
        <w:t xml:space="preserve">he </w:t>
      </w:r>
      <w:r w:rsidR="00676907" w:rsidRPr="00B35761">
        <w:rPr>
          <w:rFonts w:asciiTheme="majorBidi" w:hAnsiTheme="majorBidi" w:cstheme="majorBidi"/>
          <w:color w:val="000000" w:themeColor="text1"/>
          <w:sz w:val="24"/>
          <w:szCs w:val="24"/>
        </w:rPr>
        <w:t>OCT view</w:t>
      </w:r>
      <w:r w:rsidR="00293B5A" w:rsidRPr="00B35761">
        <w:rPr>
          <w:rFonts w:asciiTheme="majorBidi" w:hAnsiTheme="majorBidi" w:cstheme="majorBidi"/>
          <w:color w:val="000000" w:themeColor="text1"/>
          <w:sz w:val="24"/>
          <w:szCs w:val="24"/>
        </w:rPr>
        <w:t>s</w:t>
      </w:r>
      <w:r w:rsidR="00676907" w:rsidRPr="00B35761">
        <w:rPr>
          <w:rFonts w:asciiTheme="majorBidi" w:hAnsiTheme="majorBidi" w:cstheme="majorBidi"/>
          <w:color w:val="000000" w:themeColor="text1"/>
          <w:sz w:val="24"/>
          <w:szCs w:val="24"/>
        </w:rPr>
        <w:t xml:space="preserve"> executive pay packages as efficient negotiation between strong corporate boards and executive</w:t>
      </w:r>
      <w:r w:rsidR="003632AD" w:rsidRPr="00B35761">
        <w:rPr>
          <w:rFonts w:asciiTheme="majorBidi" w:hAnsiTheme="majorBidi" w:cstheme="majorBidi"/>
          <w:color w:val="000000" w:themeColor="text1"/>
          <w:sz w:val="24"/>
          <w:szCs w:val="24"/>
        </w:rPr>
        <w:t xml:space="preserve">, </w:t>
      </w:r>
      <w:r w:rsidR="00676907" w:rsidRPr="00B35761">
        <w:rPr>
          <w:rFonts w:asciiTheme="majorBidi" w:hAnsiTheme="majorBidi" w:cstheme="majorBidi"/>
          <w:color w:val="000000" w:themeColor="text1"/>
          <w:sz w:val="24"/>
          <w:szCs w:val="24"/>
        </w:rPr>
        <w:t xml:space="preserve">leading to </w:t>
      </w:r>
      <w:r w:rsidR="00293B5A" w:rsidRPr="00B35761">
        <w:rPr>
          <w:rFonts w:asciiTheme="majorBidi" w:hAnsiTheme="majorBidi" w:cstheme="majorBidi"/>
          <w:color w:val="000000" w:themeColor="text1"/>
          <w:sz w:val="24"/>
          <w:szCs w:val="24"/>
        </w:rPr>
        <w:t xml:space="preserve">common alignment of </w:t>
      </w:r>
      <w:r w:rsidR="00F45DC9" w:rsidRPr="00B35761">
        <w:rPr>
          <w:rFonts w:asciiTheme="majorBidi" w:hAnsiTheme="majorBidi" w:cstheme="majorBidi"/>
          <w:color w:val="000000" w:themeColor="text1"/>
          <w:sz w:val="24"/>
          <w:szCs w:val="24"/>
        </w:rPr>
        <w:t>shareholders</w:t>
      </w:r>
      <w:r w:rsidR="00E27B0C" w:rsidRPr="00B35761">
        <w:rPr>
          <w:rFonts w:asciiTheme="majorBidi" w:hAnsiTheme="majorBidi" w:cstheme="majorBidi"/>
          <w:color w:val="000000" w:themeColor="text1"/>
          <w:sz w:val="24"/>
          <w:szCs w:val="24"/>
        </w:rPr>
        <w:t xml:space="preserve"> </w:t>
      </w:r>
      <w:r w:rsidR="00F45DC9" w:rsidRPr="00B35761">
        <w:rPr>
          <w:rFonts w:asciiTheme="majorBidi" w:hAnsiTheme="majorBidi" w:cstheme="majorBidi"/>
          <w:color w:val="000000" w:themeColor="text1"/>
          <w:sz w:val="24"/>
          <w:szCs w:val="24"/>
        </w:rPr>
        <w:t xml:space="preserve">- managers </w:t>
      </w:r>
      <w:r w:rsidR="00293B5A" w:rsidRPr="00B35761">
        <w:rPr>
          <w:rFonts w:asciiTheme="majorBidi" w:hAnsiTheme="majorBidi" w:cstheme="majorBidi"/>
          <w:color w:val="000000" w:themeColor="text1"/>
          <w:sz w:val="24"/>
          <w:szCs w:val="24"/>
        </w:rPr>
        <w:t>interests</w:t>
      </w:r>
      <w:r w:rsidR="00067E02" w:rsidRPr="00B35761">
        <w:rPr>
          <w:rFonts w:asciiTheme="majorBidi" w:hAnsiTheme="majorBidi" w:cstheme="majorBidi"/>
          <w:color w:val="000000" w:themeColor="text1"/>
          <w:sz w:val="24"/>
          <w:szCs w:val="24"/>
        </w:rPr>
        <w:t xml:space="preserve"> (</w:t>
      </w:r>
      <w:r w:rsidR="00067E02" w:rsidRPr="00B35761">
        <w:rPr>
          <w:rFonts w:asciiTheme="majorBidi" w:eastAsia="Calibri" w:hAnsiTheme="majorBidi" w:cstheme="majorBidi"/>
          <w:sz w:val="24"/>
          <w:szCs w:val="24"/>
          <w:lang w:val="en-US"/>
        </w:rPr>
        <w:t>Jensen and Murphy, 1990</w:t>
      </w:r>
      <w:r w:rsidR="00293B5A" w:rsidRPr="00B35761">
        <w:rPr>
          <w:rFonts w:asciiTheme="majorBidi" w:eastAsia="Calibri" w:hAnsiTheme="majorBidi" w:cstheme="majorBidi"/>
          <w:sz w:val="24"/>
          <w:szCs w:val="24"/>
          <w:lang w:val="en-US"/>
        </w:rPr>
        <w:t xml:space="preserve">; </w:t>
      </w:r>
      <w:proofErr w:type="spellStart"/>
      <w:r w:rsidR="00293B5A" w:rsidRPr="00B35761">
        <w:rPr>
          <w:rFonts w:asciiTheme="majorBidi" w:hAnsiTheme="majorBidi" w:cstheme="majorBidi"/>
          <w:color w:val="000000" w:themeColor="text1"/>
          <w:sz w:val="24"/>
          <w:szCs w:val="24"/>
        </w:rPr>
        <w:t>Ozkan</w:t>
      </w:r>
      <w:proofErr w:type="spellEnd"/>
      <w:r w:rsidR="00293B5A" w:rsidRPr="00B35761">
        <w:rPr>
          <w:rFonts w:asciiTheme="majorBidi" w:hAnsiTheme="majorBidi" w:cstheme="majorBidi"/>
          <w:color w:val="000000" w:themeColor="text1"/>
          <w:sz w:val="24"/>
          <w:szCs w:val="24"/>
        </w:rPr>
        <w:t>, 2011</w:t>
      </w:r>
      <w:r w:rsidR="00067E02" w:rsidRPr="00B35761">
        <w:rPr>
          <w:rFonts w:asciiTheme="majorBidi" w:eastAsia="Calibri" w:hAnsiTheme="majorBidi" w:cstheme="majorBidi"/>
          <w:sz w:val="24"/>
          <w:szCs w:val="24"/>
          <w:lang w:val="en-US"/>
        </w:rPr>
        <w:t>)</w:t>
      </w:r>
      <w:r w:rsidR="00F45DC9" w:rsidRPr="00B35761">
        <w:rPr>
          <w:rFonts w:asciiTheme="majorBidi" w:hAnsiTheme="majorBidi" w:cstheme="majorBidi"/>
          <w:color w:val="000000" w:themeColor="text1"/>
          <w:sz w:val="24"/>
          <w:szCs w:val="24"/>
        </w:rPr>
        <w:t xml:space="preserve">. </w:t>
      </w:r>
      <w:r w:rsidR="009C225A" w:rsidRPr="00B35761">
        <w:rPr>
          <w:rFonts w:asciiTheme="majorBidi" w:hAnsiTheme="majorBidi" w:cstheme="majorBidi"/>
          <w:color w:val="000000" w:themeColor="text1"/>
          <w:sz w:val="24"/>
          <w:szCs w:val="24"/>
        </w:rPr>
        <w:t xml:space="preserve">The theory </w:t>
      </w:r>
      <w:r w:rsidR="00F432B9">
        <w:rPr>
          <w:rFonts w:asciiTheme="majorBidi" w:hAnsiTheme="majorBidi" w:cstheme="majorBidi"/>
          <w:color w:val="000000" w:themeColor="text1"/>
          <w:sz w:val="24"/>
          <w:szCs w:val="24"/>
        </w:rPr>
        <w:t>suggests</w:t>
      </w:r>
      <w:r w:rsidR="009C225A" w:rsidRPr="00B35761">
        <w:rPr>
          <w:rFonts w:asciiTheme="majorBidi" w:hAnsiTheme="majorBidi" w:cstheme="majorBidi"/>
          <w:color w:val="000000" w:themeColor="text1"/>
          <w:sz w:val="24"/>
          <w:szCs w:val="24"/>
        </w:rPr>
        <w:t xml:space="preserve"> a tight link between executive pay and corporate performance. </w:t>
      </w:r>
      <w:r w:rsidR="00CC1F3A" w:rsidRPr="00B35761">
        <w:rPr>
          <w:rFonts w:asciiTheme="majorBidi" w:hAnsiTheme="majorBidi" w:cstheme="majorBidi"/>
          <w:color w:val="000000" w:themeColor="text1"/>
          <w:sz w:val="24"/>
          <w:szCs w:val="24"/>
        </w:rPr>
        <w:t>T</w:t>
      </w:r>
      <w:r w:rsidR="009C225A" w:rsidRPr="00B35761">
        <w:rPr>
          <w:rFonts w:asciiTheme="majorBidi" w:hAnsiTheme="majorBidi" w:cstheme="majorBidi"/>
          <w:color w:val="000000" w:themeColor="text1"/>
          <w:sz w:val="24"/>
          <w:szCs w:val="24"/>
        </w:rPr>
        <w:t xml:space="preserve">he MPH </w:t>
      </w:r>
      <w:r w:rsidR="0080478A" w:rsidRPr="00B35761">
        <w:rPr>
          <w:rFonts w:asciiTheme="majorBidi" w:hAnsiTheme="majorBidi" w:cstheme="majorBidi"/>
          <w:color w:val="000000" w:themeColor="text1"/>
          <w:sz w:val="24"/>
          <w:szCs w:val="24"/>
        </w:rPr>
        <w:t>argues</w:t>
      </w:r>
      <w:r w:rsidR="00341646" w:rsidRPr="00B35761">
        <w:rPr>
          <w:rFonts w:asciiTheme="majorBidi" w:hAnsiTheme="majorBidi" w:cstheme="majorBidi"/>
          <w:color w:val="000000" w:themeColor="text1"/>
          <w:sz w:val="24"/>
          <w:szCs w:val="24"/>
        </w:rPr>
        <w:t xml:space="preserve"> that </w:t>
      </w:r>
      <w:r w:rsidR="004D54DC" w:rsidRPr="00B35761">
        <w:rPr>
          <w:rFonts w:asciiTheme="majorBidi" w:hAnsiTheme="majorBidi" w:cstheme="majorBidi"/>
          <w:color w:val="000000" w:themeColor="text1"/>
          <w:sz w:val="24"/>
          <w:szCs w:val="24"/>
        </w:rPr>
        <w:t>executive</w:t>
      </w:r>
      <w:r w:rsidR="00F432B9">
        <w:rPr>
          <w:rFonts w:asciiTheme="majorBidi" w:hAnsiTheme="majorBidi" w:cstheme="majorBidi"/>
          <w:color w:val="000000" w:themeColor="text1"/>
          <w:sz w:val="24"/>
          <w:szCs w:val="24"/>
        </w:rPr>
        <w:t>s</w:t>
      </w:r>
      <w:r w:rsidR="004D54DC" w:rsidRPr="00B35761">
        <w:rPr>
          <w:rFonts w:asciiTheme="majorBidi" w:hAnsiTheme="majorBidi" w:cstheme="majorBidi"/>
          <w:color w:val="000000" w:themeColor="text1"/>
          <w:sz w:val="24"/>
          <w:szCs w:val="24"/>
        </w:rPr>
        <w:t>’</w:t>
      </w:r>
      <w:r w:rsidR="0080478A" w:rsidRPr="00B35761">
        <w:rPr>
          <w:rFonts w:asciiTheme="majorBidi" w:hAnsiTheme="majorBidi" w:cstheme="majorBidi"/>
          <w:color w:val="000000" w:themeColor="text1"/>
          <w:sz w:val="24"/>
          <w:szCs w:val="24"/>
        </w:rPr>
        <w:t xml:space="preserve"> involve</w:t>
      </w:r>
      <w:r w:rsidR="00E27B0C" w:rsidRPr="00B35761">
        <w:rPr>
          <w:rFonts w:asciiTheme="majorBidi" w:hAnsiTheme="majorBidi" w:cstheme="majorBidi"/>
          <w:color w:val="000000" w:themeColor="text1"/>
          <w:sz w:val="24"/>
          <w:szCs w:val="24"/>
        </w:rPr>
        <w:t>ment</w:t>
      </w:r>
      <w:r w:rsidR="0080478A" w:rsidRPr="00B35761">
        <w:rPr>
          <w:rFonts w:asciiTheme="majorBidi" w:hAnsiTheme="majorBidi" w:cstheme="majorBidi"/>
          <w:color w:val="000000" w:themeColor="text1"/>
          <w:sz w:val="24"/>
          <w:szCs w:val="24"/>
        </w:rPr>
        <w:t xml:space="preserve"> in the appointment of board members mak</w:t>
      </w:r>
      <w:r w:rsidR="00E27B0C" w:rsidRPr="00B35761">
        <w:rPr>
          <w:rFonts w:asciiTheme="majorBidi" w:hAnsiTheme="majorBidi" w:cstheme="majorBidi"/>
          <w:color w:val="000000" w:themeColor="text1"/>
          <w:sz w:val="24"/>
          <w:szCs w:val="24"/>
        </w:rPr>
        <w:t>es</w:t>
      </w:r>
      <w:r w:rsidR="0080478A" w:rsidRPr="00B35761">
        <w:rPr>
          <w:rFonts w:asciiTheme="majorBidi" w:hAnsiTheme="majorBidi" w:cstheme="majorBidi"/>
          <w:color w:val="000000" w:themeColor="text1"/>
          <w:sz w:val="24"/>
          <w:szCs w:val="24"/>
        </w:rPr>
        <w:t xml:space="preserve"> it </w:t>
      </w:r>
      <w:r w:rsidR="000F642C" w:rsidRPr="00B35761">
        <w:rPr>
          <w:rFonts w:asciiTheme="majorBidi" w:hAnsiTheme="majorBidi" w:cstheme="majorBidi"/>
          <w:color w:val="000000" w:themeColor="text1"/>
          <w:sz w:val="24"/>
          <w:szCs w:val="24"/>
        </w:rPr>
        <w:t xml:space="preserve">easy for </w:t>
      </w:r>
      <w:r w:rsidR="00F432B9">
        <w:rPr>
          <w:rFonts w:asciiTheme="majorBidi" w:hAnsiTheme="majorBidi" w:cstheme="majorBidi"/>
          <w:color w:val="000000" w:themeColor="text1"/>
          <w:sz w:val="24"/>
          <w:szCs w:val="24"/>
        </w:rPr>
        <w:t>them</w:t>
      </w:r>
      <w:r w:rsidR="000F642C" w:rsidRPr="00B35761">
        <w:rPr>
          <w:rFonts w:asciiTheme="majorBidi" w:hAnsiTheme="majorBidi" w:cstheme="majorBidi"/>
          <w:color w:val="000000" w:themeColor="text1"/>
          <w:sz w:val="24"/>
          <w:szCs w:val="24"/>
        </w:rPr>
        <w:t xml:space="preserve"> to influence the board for higher pay</w:t>
      </w:r>
      <w:r w:rsidR="00341646" w:rsidRPr="00B35761">
        <w:rPr>
          <w:rFonts w:asciiTheme="majorBidi" w:hAnsiTheme="majorBidi" w:cstheme="majorBidi"/>
          <w:color w:val="000000" w:themeColor="text1"/>
          <w:sz w:val="24"/>
          <w:szCs w:val="24"/>
        </w:rPr>
        <w:t xml:space="preserve"> </w:t>
      </w:r>
      <w:r w:rsidR="00CC1F3A" w:rsidRPr="00B35761">
        <w:rPr>
          <w:rFonts w:asciiTheme="majorBidi" w:hAnsiTheme="majorBidi" w:cstheme="majorBidi"/>
          <w:color w:val="000000" w:themeColor="text1"/>
          <w:sz w:val="24"/>
          <w:szCs w:val="24"/>
        </w:rPr>
        <w:t xml:space="preserve">thereby </w:t>
      </w:r>
      <w:r w:rsidR="003C7509" w:rsidRPr="00B35761">
        <w:rPr>
          <w:rFonts w:asciiTheme="majorBidi" w:hAnsiTheme="majorBidi" w:cstheme="majorBidi"/>
          <w:color w:val="000000" w:themeColor="text1"/>
          <w:sz w:val="24"/>
          <w:szCs w:val="24"/>
        </w:rPr>
        <w:t xml:space="preserve">undermining the efficiency of incentive alignment </w:t>
      </w:r>
      <w:r w:rsidR="000F642C" w:rsidRPr="00B35761">
        <w:rPr>
          <w:rFonts w:asciiTheme="majorBidi" w:hAnsiTheme="majorBidi" w:cstheme="majorBidi"/>
          <w:color w:val="000000" w:themeColor="text1"/>
          <w:sz w:val="24"/>
          <w:szCs w:val="24"/>
        </w:rPr>
        <w:t>(</w:t>
      </w:r>
      <w:proofErr w:type="spellStart"/>
      <w:r w:rsidR="004D54DC" w:rsidRPr="00B35761">
        <w:rPr>
          <w:rFonts w:asciiTheme="majorBidi" w:hAnsiTheme="majorBidi" w:cstheme="majorBidi"/>
          <w:color w:val="000000" w:themeColor="text1"/>
          <w:sz w:val="24"/>
          <w:szCs w:val="24"/>
        </w:rPr>
        <w:t>Bebchuk</w:t>
      </w:r>
      <w:proofErr w:type="spellEnd"/>
      <w:r w:rsidR="004D54DC" w:rsidRPr="00B35761">
        <w:rPr>
          <w:rFonts w:asciiTheme="majorBidi" w:hAnsiTheme="majorBidi" w:cstheme="majorBidi"/>
          <w:color w:val="000000" w:themeColor="text1"/>
          <w:sz w:val="24"/>
          <w:szCs w:val="24"/>
        </w:rPr>
        <w:t xml:space="preserve"> </w:t>
      </w:r>
      <w:r w:rsidR="001E7DE9" w:rsidRPr="00B35761">
        <w:rPr>
          <w:rFonts w:asciiTheme="majorBidi" w:hAnsiTheme="majorBidi" w:cstheme="majorBidi"/>
          <w:color w:val="000000" w:themeColor="text1"/>
          <w:sz w:val="24"/>
          <w:szCs w:val="24"/>
        </w:rPr>
        <w:t>&amp;</w:t>
      </w:r>
      <w:r w:rsidR="004D54DC" w:rsidRPr="00B35761">
        <w:rPr>
          <w:rFonts w:asciiTheme="majorBidi" w:hAnsiTheme="majorBidi" w:cstheme="majorBidi"/>
          <w:color w:val="000000" w:themeColor="text1"/>
          <w:sz w:val="24"/>
          <w:szCs w:val="24"/>
        </w:rPr>
        <w:t xml:space="preserve"> Fried, 2003</w:t>
      </w:r>
      <w:r w:rsidR="00CC1F3A" w:rsidRPr="00B35761">
        <w:rPr>
          <w:rFonts w:asciiTheme="majorBidi" w:hAnsiTheme="majorBidi" w:cstheme="majorBidi"/>
          <w:color w:val="000000" w:themeColor="text1"/>
          <w:sz w:val="24"/>
          <w:szCs w:val="24"/>
        </w:rPr>
        <w:t>, 2004;</w:t>
      </w:r>
      <w:r w:rsidR="004D54DC" w:rsidRPr="00B35761">
        <w:rPr>
          <w:rFonts w:asciiTheme="majorBidi" w:hAnsiTheme="majorBidi" w:cstheme="majorBidi"/>
          <w:color w:val="000000" w:themeColor="text1"/>
          <w:sz w:val="24"/>
          <w:szCs w:val="24"/>
        </w:rPr>
        <w:t xml:space="preserve"> </w:t>
      </w:r>
      <w:r w:rsidR="000F642C" w:rsidRPr="00B35761">
        <w:rPr>
          <w:rFonts w:asciiTheme="majorBidi" w:hAnsiTheme="majorBidi" w:cstheme="majorBidi"/>
          <w:color w:val="000000" w:themeColor="text1"/>
          <w:sz w:val="24"/>
          <w:szCs w:val="24"/>
        </w:rPr>
        <w:t>Sapp, 2008).</w:t>
      </w:r>
      <w:r w:rsidR="00174E1B" w:rsidRPr="00B35761">
        <w:rPr>
          <w:rFonts w:asciiTheme="majorBidi" w:hAnsiTheme="majorBidi" w:cstheme="majorBidi"/>
          <w:color w:val="000000" w:themeColor="text1"/>
          <w:sz w:val="24"/>
          <w:szCs w:val="24"/>
        </w:rPr>
        <w:t xml:space="preserve"> Th</w:t>
      </w:r>
      <w:r w:rsidR="00503EAF" w:rsidRPr="00B35761">
        <w:rPr>
          <w:rFonts w:asciiTheme="majorBidi" w:hAnsiTheme="majorBidi" w:cstheme="majorBidi"/>
          <w:color w:val="000000" w:themeColor="text1"/>
          <w:sz w:val="24"/>
          <w:szCs w:val="24"/>
        </w:rPr>
        <w:t xml:space="preserve">us, </w:t>
      </w:r>
      <w:r w:rsidR="00174E1B" w:rsidRPr="00B35761">
        <w:rPr>
          <w:rFonts w:asciiTheme="majorBidi" w:hAnsiTheme="majorBidi" w:cstheme="majorBidi"/>
          <w:color w:val="000000" w:themeColor="text1"/>
          <w:sz w:val="24"/>
          <w:szCs w:val="24"/>
        </w:rPr>
        <w:t xml:space="preserve">MPH </w:t>
      </w:r>
      <w:r w:rsidR="00581F44" w:rsidRPr="00B35761">
        <w:rPr>
          <w:rFonts w:asciiTheme="majorBidi" w:hAnsiTheme="majorBidi" w:cstheme="majorBidi"/>
          <w:color w:val="000000" w:themeColor="text1"/>
          <w:sz w:val="24"/>
          <w:szCs w:val="24"/>
        </w:rPr>
        <w:t>s</w:t>
      </w:r>
      <w:r w:rsidR="000B5FDE" w:rsidRPr="00B35761">
        <w:rPr>
          <w:rFonts w:asciiTheme="majorBidi" w:hAnsiTheme="majorBidi" w:cstheme="majorBidi"/>
          <w:color w:val="000000" w:themeColor="text1"/>
          <w:sz w:val="24"/>
          <w:szCs w:val="24"/>
        </w:rPr>
        <w:t>ees</w:t>
      </w:r>
      <w:r w:rsidR="00174E1B" w:rsidRPr="00B35761">
        <w:rPr>
          <w:rFonts w:asciiTheme="majorBidi" w:hAnsiTheme="majorBidi" w:cstheme="majorBidi"/>
          <w:color w:val="000000" w:themeColor="text1"/>
          <w:sz w:val="24"/>
          <w:szCs w:val="24"/>
        </w:rPr>
        <w:t xml:space="preserve"> executive</w:t>
      </w:r>
      <w:r w:rsidR="0077399B" w:rsidRPr="00B35761">
        <w:rPr>
          <w:rFonts w:asciiTheme="majorBidi" w:hAnsiTheme="majorBidi" w:cstheme="majorBidi"/>
          <w:color w:val="000000" w:themeColor="text1"/>
          <w:sz w:val="24"/>
          <w:szCs w:val="24"/>
        </w:rPr>
        <w:t xml:space="preserve"> compensation as</w:t>
      </w:r>
      <w:r w:rsidR="000654AF" w:rsidRPr="00B35761">
        <w:rPr>
          <w:rFonts w:asciiTheme="majorBidi" w:hAnsiTheme="majorBidi" w:cstheme="majorBidi"/>
          <w:color w:val="000000" w:themeColor="text1"/>
          <w:sz w:val="24"/>
          <w:szCs w:val="24"/>
        </w:rPr>
        <w:t xml:space="preserve"> </w:t>
      </w:r>
      <w:r w:rsidR="000B5FDE" w:rsidRPr="00B35761">
        <w:rPr>
          <w:rFonts w:asciiTheme="majorBidi" w:hAnsiTheme="majorBidi" w:cstheme="majorBidi"/>
          <w:color w:val="000000" w:themeColor="text1"/>
          <w:sz w:val="24"/>
          <w:szCs w:val="24"/>
        </w:rPr>
        <w:t>further worsening</w:t>
      </w:r>
      <w:r w:rsidR="000654AF" w:rsidRPr="00B35761">
        <w:rPr>
          <w:rFonts w:asciiTheme="majorBidi" w:hAnsiTheme="majorBidi" w:cstheme="majorBidi"/>
          <w:color w:val="000000" w:themeColor="text1"/>
          <w:sz w:val="24"/>
          <w:szCs w:val="24"/>
        </w:rPr>
        <w:t xml:space="preserve"> agency </w:t>
      </w:r>
      <w:r w:rsidR="000B5FDE" w:rsidRPr="00B35761">
        <w:rPr>
          <w:rFonts w:asciiTheme="majorBidi" w:hAnsiTheme="majorBidi" w:cstheme="majorBidi"/>
          <w:color w:val="000000" w:themeColor="text1"/>
          <w:sz w:val="24"/>
          <w:szCs w:val="24"/>
        </w:rPr>
        <w:t>conflict</w:t>
      </w:r>
      <w:r w:rsidR="000654AF" w:rsidRPr="00B35761">
        <w:rPr>
          <w:rFonts w:asciiTheme="majorBidi" w:hAnsiTheme="majorBidi" w:cstheme="majorBidi"/>
          <w:color w:val="000000" w:themeColor="text1"/>
          <w:sz w:val="24"/>
          <w:szCs w:val="24"/>
        </w:rPr>
        <w:t xml:space="preserve">.  </w:t>
      </w:r>
    </w:p>
    <w:p w14:paraId="03DF2F5B" w14:textId="77777777" w:rsidR="006C4901" w:rsidRPr="00B35761" w:rsidRDefault="006C4901">
      <w:pPr>
        <w:adjustRightInd w:val="0"/>
        <w:snapToGrid w:val="0"/>
        <w:spacing w:line="360" w:lineRule="auto"/>
        <w:jc w:val="both"/>
        <w:rPr>
          <w:rFonts w:asciiTheme="majorBidi" w:hAnsiTheme="majorBidi" w:cstheme="majorBidi"/>
          <w:color w:val="000000" w:themeColor="text1"/>
          <w:sz w:val="24"/>
          <w:szCs w:val="24"/>
        </w:rPr>
      </w:pPr>
    </w:p>
    <w:p w14:paraId="5067BDEE" w14:textId="620A47ED" w:rsidR="0035162C" w:rsidRDefault="00F432B9">
      <w:pPr>
        <w:adjustRightInd w:val="0"/>
        <w:snapToGrid w:val="0"/>
        <w:spacing w:line="360" w:lineRule="auto"/>
        <w:jc w:val="both"/>
        <w:rPr>
          <w:rFonts w:asciiTheme="majorBidi" w:eastAsia="Calibri" w:hAnsiTheme="majorBidi" w:cstheme="majorBidi"/>
          <w:sz w:val="24"/>
          <w:szCs w:val="24"/>
          <w:lang w:val="en-US"/>
        </w:rPr>
      </w:pPr>
      <w:r>
        <w:rPr>
          <w:rFonts w:asciiTheme="majorBidi" w:hAnsiTheme="majorBidi" w:cstheme="majorBidi"/>
          <w:color w:val="000000" w:themeColor="text1"/>
          <w:sz w:val="24"/>
          <w:szCs w:val="24"/>
        </w:rPr>
        <w:t>F</w:t>
      </w:r>
      <w:r w:rsidR="00DD7E72" w:rsidRPr="00B35761">
        <w:rPr>
          <w:rFonts w:asciiTheme="majorBidi" w:hAnsiTheme="majorBidi" w:cstheme="majorBidi"/>
          <w:color w:val="000000" w:themeColor="text1"/>
          <w:sz w:val="24"/>
          <w:szCs w:val="24"/>
        </w:rPr>
        <w:t xml:space="preserve">ollowing these </w:t>
      </w:r>
      <w:r w:rsidR="00B82AA5" w:rsidRPr="00B35761">
        <w:rPr>
          <w:rFonts w:asciiTheme="majorBidi" w:hAnsiTheme="majorBidi" w:cstheme="majorBidi"/>
          <w:color w:val="000000" w:themeColor="text1"/>
          <w:sz w:val="24"/>
          <w:szCs w:val="24"/>
        </w:rPr>
        <w:t>differing</w:t>
      </w:r>
      <w:r w:rsidR="00DD7E72" w:rsidRPr="00B35761">
        <w:rPr>
          <w:rFonts w:asciiTheme="majorBidi" w:hAnsiTheme="majorBidi" w:cstheme="majorBidi"/>
          <w:color w:val="000000" w:themeColor="text1"/>
          <w:sz w:val="24"/>
          <w:szCs w:val="24"/>
        </w:rPr>
        <w:t xml:space="preserve"> views, past studies have found evidence </w:t>
      </w:r>
      <w:r w:rsidR="00B82AA5" w:rsidRPr="00B35761">
        <w:rPr>
          <w:rFonts w:asciiTheme="majorBidi" w:hAnsiTheme="majorBidi" w:cstheme="majorBidi"/>
          <w:color w:val="000000" w:themeColor="text1"/>
          <w:sz w:val="24"/>
          <w:szCs w:val="24"/>
        </w:rPr>
        <w:t xml:space="preserve">to suggest that </w:t>
      </w:r>
      <w:r w:rsidR="001E0DEF" w:rsidRPr="00B35761">
        <w:rPr>
          <w:rFonts w:asciiTheme="majorBidi" w:hAnsiTheme="majorBidi" w:cstheme="majorBidi"/>
          <w:color w:val="000000" w:themeColor="text1"/>
          <w:sz w:val="24"/>
          <w:szCs w:val="24"/>
        </w:rPr>
        <w:t>shareholders (</w:t>
      </w:r>
      <w:r w:rsidR="00933079" w:rsidRPr="00B35761">
        <w:rPr>
          <w:rFonts w:asciiTheme="majorBidi" w:hAnsiTheme="majorBidi" w:cstheme="majorBidi"/>
          <w:color w:val="000000" w:themeColor="text1"/>
          <w:sz w:val="24"/>
          <w:szCs w:val="24"/>
        </w:rPr>
        <w:t>through</w:t>
      </w:r>
      <w:r w:rsidR="001E0DEF" w:rsidRPr="00B35761">
        <w:rPr>
          <w:rFonts w:asciiTheme="majorBidi" w:hAnsiTheme="majorBidi" w:cstheme="majorBidi"/>
          <w:color w:val="000000" w:themeColor="text1"/>
          <w:sz w:val="24"/>
          <w:szCs w:val="24"/>
        </w:rPr>
        <w:t xml:space="preserve"> the board of directors) may </w:t>
      </w:r>
      <w:r w:rsidR="003D0B91" w:rsidRPr="00B35761">
        <w:rPr>
          <w:rFonts w:asciiTheme="majorBidi" w:hAnsiTheme="majorBidi" w:cstheme="majorBidi"/>
          <w:color w:val="000000" w:themeColor="text1"/>
          <w:sz w:val="24"/>
          <w:szCs w:val="24"/>
        </w:rPr>
        <w:t xml:space="preserve">efficiently </w:t>
      </w:r>
      <w:r w:rsidR="001E0DEF" w:rsidRPr="00B35761">
        <w:rPr>
          <w:rFonts w:asciiTheme="majorBidi" w:hAnsiTheme="majorBidi" w:cstheme="majorBidi"/>
          <w:color w:val="000000" w:themeColor="text1"/>
          <w:sz w:val="24"/>
          <w:szCs w:val="24"/>
        </w:rPr>
        <w:t>design compensation t</w:t>
      </w:r>
      <w:r w:rsidR="00B82AA5" w:rsidRPr="00B35761">
        <w:rPr>
          <w:rFonts w:asciiTheme="majorBidi" w:hAnsiTheme="majorBidi" w:cstheme="majorBidi"/>
          <w:color w:val="000000" w:themeColor="text1"/>
          <w:sz w:val="24"/>
          <w:szCs w:val="24"/>
        </w:rPr>
        <w:t>o</w:t>
      </w:r>
      <w:r w:rsidR="001E0DEF" w:rsidRPr="00B35761">
        <w:rPr>
          <w:rFonts w:asciiTheme="majorBidi" w:hAnsiTheme="majorBidi" w:cstheme="majorBidi"/>
          <w:color w:val="000000" w:themeColor="text1"/>
          <w:sz w:val="24"/>
          <w:szCs w:val="24"/>
        </w:rPr>
        <w:t xml:space="preserve"> influence executives </w:t>
      </w:r>
      <w:r w:rsidR="00B82AA5" w:rsidRPr="00B35761">
        <w:rPr>
          <w:rFonts w:asciiTheme="majorBidi" w:hAnsiTheme="majorBidi" w:cstheme="majorBidi"/>
          <w:color w:val="000000" w:themeColor="text1"/>
          <w:sz w:val="24"/>
          <w:szCs w:val="24"/>
        </w:rPr>
        <w:t xml:space="preserve">to select activities that increase firm </w:t>
      </w:r>
      <w:r w:rsidR="00B35A2E" w:rsidRPr="00B35761">
        <w:rPr>
          <w:rFonts w:asciiTheme="majorBidi" w:hAnsiTheme="majorBidi" w:cstheme="majorBidi"/>
          <w:color w:val="000000" w:themeColor="text1"/>
          <w:sz w:val="24"/>
          <w:szCs w:val="24"/>
        </w:rPr>
        <w:t>performance</w:t>
      </w:r>
      <w:r w:rsidR="001E0DEF" w:rsidRPr="00B35761">
        <w:rPr>
          <w:rFonts w:asciiTheme="majorBidi" w:hAnsiTheme="majorBidi" w:cstheme="majorBidi"/>
          <w:color w:val="000000" w:themeColor="text1"/>
          <w:sz w:val="24"/>
          <w:szCs w:val="24"/>
        </w:rPr>
        <w:t xml:space="preserve">. </w:t>
      </w:r>
      <w:r w:rsidR="00B35A2E" w:rsidRPr="00B35761">
        <w:rPr>
          <w:rFonts w:asciiTheme="majorBidi" w:hAnsiTheme="majorBidi" w:cstheme="majorBidi"/>
          <w:color w:val="000000" w:themeColor="text1"/>
          <w:sz w:val="24"/>
          <w:szCs w:val="24"/>
        </w:rPr>
        <w:t>S</w:t>
      </w:r>
      <w:r w:rsidR="001E0DEF" w:rsidRPr="00B35761">
        <w:rPr>
          <w:rFonts w:asciiTheme="majorBidi" w:hAnsiTheme="majorBidi" w:cstheme="majorBidi"/>
          <w:color w:val="000000" w:themeColor="text1"/>
          <w:sz w:val="24"/>
          <w:szCs w:val="24"/>
        </w:rPr>
        <w:t>upport</w:t>
      </w:r>
      <w:r w:rsidR="00B35A2E" w:rsidRPr="00B35761">
        <w:rPr>
          <w:rFonts w:asciiTheme="majorBidi" w:hAnsiTheme="majorBidi" w:cstheme="majorBidi"/>
          <w:color w:val="000000" w:themeColor="text1"/>
          <w:sz w:val="24"/>
          <w:szCs w:val="24"/>
        </w:rPr>
        <w:t>ing</w:t>
      </w:r>
      <w:r w:rsidR="009C733F" w:rsidRPr="00B35761">
        <w:rPr>
          <w:rFonts w:asciiTheme="majorBidi" w:hAnsiTheme="majorBidi" w:cstheme="majorBidi"/>
          <w:color w:val="000000" w:themeColor="text1"/>
          <w:sz w:val="24"/>
          <w:szCs w:val="24"/>
        </w:rPr>
        <w:t xml:space="preserve"> </w:t>
      </w:r>
      <w:r w:rsidR="001E0DEF" w:rsidRPr="00B35761">
        <w:rPr>
          <w:rFonts w:asciiTheme="majorBidi" w:hAnsiTheme="majorBidi" w:cstheme="majorBidi"/>
          <w:color w:val="000000" w:themeColor="text1"/>
          <w:sz w:val="24"/>
          <w:szCs w:val="24"/>
        </w:rPr>
        <w:t xml:space="preserve">this view, some empirical studies show a strong relationship between executive pay and firm performance </w:t>
      </w:r>
      <w:r w:rsidR="001E0DEF" w:rsidRPr="00B35761">
        <w:rPr>
          <w:rFonts w:asciiTheme="majorBidi" w:eastAsia="Calibri" w:hAnsiTheme="majorBidi" w:cstheme="majorBidi"/>
          <w:sz w:val="24"/>
          <w:szCs w:val="24"/>
          <w:lang w:val="en-US"/>
        </w:rPr>
        <w:t>(</w:t>
      </w:r>
      <w:r w:rsidR="00CE486F" w:rsidRPr="00B35761">
        <w:rPr>
          <w:rFonts w:asciiTheme="majorBidi" w:eastAsia="Calibri" w:hAnsiTheme="majorBidi" w:cstheme="majorBidi"/>
          <w:sz w:val="24"/>
          <w:szCs w:val="24"/>
          <w:lang w:val="en-US"/>
        </w:rPr>
        <w:t xml:space="preserve">e.g., </w:t>
      </w:r>
      <w:r w:rsidR="001E0DEF" w:rsidRPr="00B35761">
        <w:rPr>
          <w:rFonts w:asciiTheme="majorBidi" w:eastAsia="Calibri" w:hAnsiTheme="majorBidi" w:cstheme="majorBidi"/>
          <w:sz w:val="24"/>
          <w:szCs w:val="24"/>
          <w:lang w:val="en-US"/>
        </w:rPr>
        <w:t xml:space="preserve">Jensen </w:t>
      </w:r>
      <w:r w:rsidR="001E7DE9" w:rsidRPr="00B35761">
        <w:rPr>
          <w:rFonts w:asciiTheme="majorBidi" w:eastAsia="Calibri" w:hAnsiTheme="majorBidi" w:cstheme="majorBidi"/>
          <w:sz w:val="24"/>
          <w:szCs w:val="24"/>
          <w:lang w:val="en-US"/>
        </w:rPr>
        <w:t>&amp;</w:t>
      </w:r>
      <w:r w:rsidR="001E0DEF" w:rsidRPr="00B35761">
        <w:rPr>
          <w:rFonts w:asciiTheme="majorBidi" w:eastAsia="Calibri" w:hAnsiTheme="majorBidi" w:cstheme="majorBidi"/>
          <w:sz w:val="24"/>
          <w:szCs w:val="24"/>
          <w:lang w:val="en-US"/>
        </w:rPr>
        <w:t xml:space="preserve"> Murphy, 1990; </w:t>
      </w:r>
      <w:proofErr w:type="spellStart"/>
      <w:r w:rsidR="001E0DEF" w:rsidRPr="00B35761">
        <w:rPr>
          <w:rFonts w:asciiTheme="majorBidi" w:eastAsia="Calibri" w:hAnsiTheme="majorBidi" w:cstheme="majorBidi"/>
          <w:sz w:val="24"/>
          <w:szCs w:val="24"/>
          <w:lang w:val="en-US"/>
        </w:rPr>
        <w:t>Conyon</w:t>
      </w:r>
      <w:proofErr w:type="spellEnd"/>
      <w:r w:rsidR="001E0DEF" w:rsidRPr="00B35761">
        <w:rPr>
          <w:rFonts w:asciiTheme="majorBidi" w:eastAsia="Calibri" w:hAnsiTheme="majorBidi" w:cstheme="majorBidi"/>
          <w:sz w:val="24"/>
          <w:szCs w:val="24"/>
          <w:lang w:val="en-US"/>
        </w:rPr>
        <w:t xml:space="preserve"> </w:t>
      </w:r>
      <w:r w:rsidR="001E7DE9" w:rsidRPr="00B35761">
        <w:rPr>
          <w:rFonts w:asciiTheme="majorBidi" w:eastAsia="Calibri" w:hAnsiTheme="majorBidi" w:cstheme="majorBidi"/>
          <w:sz w:val="24"/>
          <w:szCs w:val="24"/>
          <w:lang w:val="en-US"/>
        </w:rPr>
        <w:t>&amp;</w:t>
      </w:r>
      <w:r w:rsidR="001E0DEF" w:rsidRPr="00B35761">
        <w:rPr>
          <w:rFonts w:asciiTheme="majorBidi" w:eastAsia="Calibri" w:hAnsiTheme="majorBidi" w:cstheme="majorBidi"/>
          <w:sz w:val="24"/>
          <w:szCs w:val="24"/>
          <w:lang w:val="en-US"/>
        </w:rPr>
        <w:t xml:space="preserve"> Murphy, 2000</w:t>
      </w:r>
      <w:r w:rsidR="00CE486F" w:rsidRPr="00B35761">
        <w:rPr>
          <w:rFonts w:asciiTheme="majorBidi" w:eastAsia="Calibri" w:hAnsiTheme="majorBidi" w:cstheme="majorBidi"/>
          <w:sz w:val="24"/>
          <w:szCs w:val="24"/>
          <w:lang w:val="en-US"/>
        </w:rPr>
        <w:t>;</w:t>
      </w:r>
      <w:r w:rsidR="00FA72B0" w:rsidRPr="00B35761">
        <w:rPr>
          <w:rFonts w:asciiTheme="majorBidi" w:eastAsia="Calibri" w:hAnsiTheme="majorBidi" w:cstheme="majorBidi"/>
          <w:sz w:val="24"/>
          <w:szCs w:val="24"/>
          <w:lang w:val="en-US"/>
        </w:rPr>
        <w:t xml:space="preserve"> </w:t>
      </w:r>
      <w:proofErr w:type="spellStart"/>
      <w:r w:rsidR="001E7DE9" w:rsidRPr="00B35761">
        <w:rPr>
          <w:rFonts w:asciiTheme="majorBidi" w:eastAsia="Calibri" w:hAnsiTheme="majorBidi" w:cstheme="majorBidi"/>
          <w:sz w:val="24"/>
          <w:szCs w:val="24"/>
          <w:lang w:val="en-US"/>
        </w:rPr>
        <w:t>Conyon</w:t>
      </w:r>
      <w:proofErr w:type="spellEnd"/>
      <w:r w:rsidR="001E7DE9" w:rsidRPr="00B35761">
        <w:rPr>
          <w:rFonts w:asciiTheme="majorBidi" w:eastAsia="Calibri" w:hAnsiTheme="majorBidi" w:cstheme="majorBidi"/>
          <w:sz w:val="24"/>
          <w:szCs w:val="24"/>
          <w:lang w:val="en-US"/>
        </w:rPr>
        <w:t xml:space="preserve"> &amp; He, 2011; </w:t>
      </w:r>
      <w:proofErr w:type="spellStart"/>
      <w:r w:rsidR="00DA39C0" w:rsidRPr="00B35761">
        <w:rPr>
          <w:rFonts w:asciiTheme="majorBidi" w:eastAsia="Calibri" w:hAnsiTheme="majorBidi" w:cstheme="majorBidi"/>
          <w:sz w:val="24"/>
          <w:szCs w:val="24"/>
          <w:lang w:val="en-US"/>
        </w:rPr>
        <w:t>Ozkan</w:t>
      </w:r>
      <w:proofErr w:type="spellEnd"/>
      <w:r w:rsidR="00DA39C0" w:rsidRPr="00B35761">
        <w:rPr>
          <w:rFonts w:asciiTheme="majorBidi" w:eastAsia="Calibri" w:hAnsiTheme="majorBidi" w:cstheme="majorBidi"/>
          <w:sz w:val="24"/>
          <w:szCs w:val="24"/>
          <w:lang w:val="en-US"/>
        </w:rPr>
        <w:t xml:space="preserve">, 2011; </w:t>
      </w:r>
      <w:r w:rsidR="00367FD4" w:rsidRPr="00B35761">
        <w:rPr>
          <w:rFonts w:asciiTheme="majorBidi" w:eastAsia="Calibri" w:hAnsiTheme="majorBidi" w:cstheme="majorBidi"/>
          <w:sz w:val="24"/>
          <w:szCs w:val="24"/>
          <w:lang w:val="en-US"/>
        </w:rPr>
        <w:t>Cho et al., 2013; Di</w:t>
      </w:r>
      <w:r w:rsidR="000D7E04" w:rsidRPr="00B35761">
        <w:rPr>
          <w:rFonts w:asciiTheme="majorBidi" w:eastAsia="Calibri" w:hAnsiTheme="majorBidi" w:cstheme="majorBidi"/>
          <w:sz w:val="24"/>
          <w:szCs w:val="24"/>
          <w:lang w:val="en-US"/>
        </w:rPr>
        <w:t xml:space="preserve">ng et al., 2015; </w:t>
      </w:r>
      <w:proofErr w:type="spellStart"/>
      <w:r w:rsidR="00FA72B0" w:rsidRPr="00B35761">
        <w:rPr>
          <w:rFonts w:asciiTheme="majorBidi" w:eastAsia="SimSun" w:hAnsiTheme="majorBidi" w:cstheme="majorBidi"/>
          <w:kern w:val="3"/>
          <w:sz w:val="24"/>
          <w:szCs w:val="24"/>
        </w:rPr>
        <w:t>Ntim</w:t>
      </w:r>
      <w:proofErr w:type="spellEnd"/>
      <w:r w:rsidR="00FA72B0" w:rsidRPr="00B35761">
        <w:rPr>
          <w:rFonts w:asciiTheme="majorBidi" w:eastAsia="SimSun" w:hAnsiTheme="majorBidi" w:cstheme="majorBidi"/>
          <w:kern w:val="3"/>
          <w:sz w:val="24"/>
          <w:szCs w:val="24"/>
        </w:rPr>
        <w:t xml:space="preserve"> et al., 2019</w:t>
      </w:r>
      <w:r w:rsidR="001E0DEF" w:rsidRPr="00B35761">
        <w:rPr>
          <w:rFonts w:asciiTheme="majorBidi" w:eastAsia="Calibri" w:hAnsiTheme="majorBidi" w:cstheme="majorBidi"/>
          <w:sz w:val="24"/>
          <w:szCs w:val="24"/>
          <w:lang w:val="en-US"/>
        </w:rPr>
        <w:t xml:space="preserve">). For instance, </w:t>
      </w:r>
      <w:proofErr w:type="spellStart"/>
      <w:r w:rsidR="001E0DEF" w:rsidRPr="00B35761">
        <w:rPr>
          <w:rFonts w:asciiTheme="majorBidi" w:eastAsia="Calibri" w:hAnsiTheme="majorBidi" w:cstheme="majorBidi"/>
          <w:sz w:val="24"/>
          <w:szCs w:val="24"/>
          <w:lang w:val="en-US"/>
        </w:rPr>
        <w:t>Conyon</w:t>
      </w:r>
      <w:proofErr w:type="spellEnd"/>
      <w:r w:rsidR="001E0DEF" w:rsidRPr="00B35761">
        <w:rPr>
          <w:rFonts w:asciiTheme="majorBidi" w:eastAsia="Calibri" w:hAnsiTheme="majorBidi" w:cstheme="majorBidi"/>
          <w:sz w:val="24"/>
          <w:szCs w:val="24"/>
          <w:lang w:val="en-US"/>
        </w:rPr>
        <w:t xml:space="preserve"> </w:t>
      </w:r>
      <w:r w:rsidR="001E7DE9" w:rsidRPr="00B35761">
        <w:rPr>
          <w:rFonts w:asciiTheme="majorBidi" w:eastAsia="Calibri" w:hAnsiTheme="majorBidi" w:cstheme="majorBidi"/>
          <w:sz w:val="24"/>
          <w:szCs w:val="24"/>
          <w:lang w:val="en-US"/>
        </w:rPr>
        <w:t>&amp;</w:t>
      </w:r>
      <w:r w:rsidR="001E0DEF" w:rsidRPr="00B35761">
        <w:rPr>
          <w:rFonts w:asciiTheme="majorBidi" w:eastAsia="Calibri" w:hAnsiTheme="majorBidi" w:cstheme="majorBidi"/>
          <w:sz w:val="24"/>
          <w:szCs w:val="24"/>
          <w:lang w:val="en-US"/>
        </w:rPr>
        <w:t xml:space="preserve"> Murphy (2000) using one year sample of both the UK and </w:t>
      </w:r>
      <w:r w:rsidR="00933079" w:rsidRPr="00B35761">
        <w:rPr>
          <w:rFonts w:asciiTheme="majorBidi" w:eastAsia="Calibri" w:hAnsiTheme="majorBidi" w:cstheme="majorBidi"/>
          <w:sz w:val="24"/>
          <w:szCs w:val="24"/>
          <w:lang w:val="en-US"/>
        </w:rPr>
        <w:t xml:space="preserve">the </w:t>
      </w:r>
      <w:r w:rsidR="001E0DEF" w:rsidRPr="00B35761">
        <w:rPr>
          <w:rFonts w:asciiTheme="majorBidi" w:eastAsia="Calibri" w:hAnsiTheme="majorBidi" w:cstheme="majorBidi"/>
          <w:sz w:val="24"/>
          <w:szCs w:val="24"/>
          <w:lang w:val="en-US"/>
        </w:rPr>
        <w:t xml:space="preserve">US, find evidence to suggest a higher pay-performance sensitivity particularly for those firm executives in the US. </w:t>
      </w:r>
      <w:r w:rsidR="00B35A2E" w:rsidRPr="00B35761">
        <w:rPr>
          <w:rFonts w:asciiTheme="majorBidi" w:eastAsia="Calibri" w:hAnsiTheme="majorBidi" w:cstheme="majorBidi"/>
          <w:sz w:val="24"/>
          <w:szCs w:val="24"/>
          <w:lang w:val="en-US"/>
        </w:rPr>
        <w:t>Jensen &amp; Murphy</w:t>
      </w:r>
      <w:r w:rsidR="001E0DEF" w:rsidRPr="00B35761">
        <w:rPr>
          <w:rFonts w:asciiTheme="majorBidi" w:eastAsia="Calibri" w:hAnsiTheme="majorBidi" w:cstheme="majorBidi"/>
          <w:sz w:val="24"/>
          <w:szCs w:val="24"/>
          <w:lang w:val="en-US"/>
        </w:rPr>
        <w:t xml:space="preserve"> (199</w:t>
      </w:r>
      <w:r w:rsidR="00B35A2E" w:rsidRPr="00B35761">
        <w:rPr>
          <w:rFonts w:asciiTheme="majorBidi" w:eastAsia="Calibri" w:hAnsiTheme="majorBidi" w:cstheme="majorBidi"/>
          <w:sz w:val="24"/>
          <w:szCs w:val="24"/>
          <w:lang w:val="en-US"/>
        </w:rPr>
        <w:t>0</w:t>
      </w:r>
      <w:r w:rsidR="001E0DEF" w:rsidRPr="00B35761">
        <w:rPr>
          <w:rFonts w:asciiTheme="majorBidi" w:eastAsia="Calibri" w:hAnsiTheme="majorBidi" w:cstheme="majorBidi"/>
          <w:sz w:val="24"/>
          <w:szCs w:val="24"/>
          <w:lang w:val="en-US"/>
        </w:rPr>
        <w:t xml:space="preserve">) </w:t>
      </w:r>
      <w:r w:rsidR="00DA39C0" w:rsidRPr="00B35761">
        <w:rPr>
          <w:rFonts w:asciiTheme="majorBidi" w:eastAsia="Calibri" w:hAnsiTheme="majorBidi" w:cstheme="majorBidi"/>
          <w:sz w:val="24"/>
          <w:szCs w:val="24"/>
          <w:lang w:val="en-US"/>
        </w:rPr>
        <w:t xml:space="preserve">and </w:t>
      </w:r>
      <w:proofErr w:type="spellStart"/>
      <w:r w:rsidR="00DA39C0" w:rsidRPr="00B35761">
        <w:rPr>
          <w:rFonts w:asciiTheme="majorBidi" w:eastAsia="Calibri" w:hAnsiTheme="majorBidi" w:cstheme="majorBidi"/>
          <w:sz w:val="24"/>
          <w:szCs w:val="24"/>
          <w:lang w:val="en-US"/>
        </w:rPr>
        <w:t>Ozkan</w:t>
      </w:r>
      <w:proofErr w:type="spellEnd"/>
      <w:r w:rsidR="00DA39C0" w:rsidRPr="00B35761">
        <w:rPr>
          <w:rFonts w:asciiTheme="majorBidi" w:eastAsia="Calibri" w:hAnsiTheme="majorBidi" w:cstheme="majorBidi"/>
          <w:sz w:val="24"/>
          <w:szCs w:val="24"/>
          <w:lang w:val="en-US"/>
        </w:rPr>
        <w:t xml:space="preserve"> (2011) </w:t>
      </w:r>
      <w:r w:rsidR="001E0DEF" w:rsidRPr="00B35761">
        <w:rPr>
          <w:rFonts w:asciiTheme="majorBidi" w:eastAsia="Calibri" w:hAnsiTheme="majorBidi" w:cstheme="majorBidi"/>
          <w:sz w:val="24"/>
          <w:szCs w:val="24"/>
          <w:lang w:val="en-US"/>
        </w:rPr>
        <w:t>share similar sentiments by showing an increasing relationship between executives’ pay incentive and performance.</w:t>
      </w:r>
    </w:p>
    <w:p w14:paraId="3F7632D4" w14:textId="77777777" w:rsidR="009D39F0" w:rsidRPr="00B35761" w:rsidRDefault="009D39F0">
      <w:pPr>
        <w:adjustRightInd w:val="0"/>
        <w:snapToGrid w:val="0"/>
        <w:spacing w:line="360" w:lineRule="auto"/>
        <w:jc w:val="both"/>
        <w:rPr>
          <w:rFonts w:asciiTheme="majorBidi" w:eastAsia="Calibri" w:hAnsiTheme="majorBidi" w:cstheme="majorBidi"/>
          <w:sz w:val="24"/>
          <w:szCs w:val="24"/>
          <w:lang w:val="en-US"/>
        </w:rPr>
      </w:pPr>
    </w:p>
    <w:p w14:paraId="6E61B24A" w14:textId="3F418E34" w:rsidR="0035162C" w:rsidRDefault="001E0DEF" w:rsidP="001E0DEF">
      <w:pPr>
        <w:adjustRightInd w:val="0"/>
        <w:snapToGrid w:val="0"/>
        <w:spacing w:line="360" w:lineRule="auto"/>
        <w:jc w:val="both"/>
        <w:rPr>
          <w:rFonts w:asciiTheme="majorBidi" w:eastAsia="SimSun" w:hAnsiTheme="majorBidi" w:cstheme="majorBidi"/>
          <w:kern w:val="3"/>
          <w:sz w:val="24"/>
          <w:szCs w:val="24"/>
        </w:rPr>
      </w:pPr>
      <w:r w:rsidRPr="00B35761">
        <w:rPr>
          <w:rFonts w:asciiTheme="majorBidi" w:eastAsia="Calibri" w:hAnsiTheme="majorBidi" w:cstheme="majorBidi"/>
          <w:sz w:val="24"/>
          <w:szCs w:val="24"/>
        </w:rPr>
        <w:t>In contrast, other</w:t>
      </w:r>
      <w:r w:rsidR="00F85619" w:rsidRPr="00B35761">
        <w:rPr>
          <w:rFonts w:asciiTheme="majorBidi" w:eastAsia="Calibri" w:hAnsiTheme="majorBidi" w:cstheme="majorBidi"/>
          <w:sz w:val="24"/>
          <w:szCs w:val="24"/>
        </w:rPr>
        <w:t xml:space="preserve"> </w:t>
      </w:r>
      <w:r w:rsidR="0035162C">
        <w:rPr>
          <w:rFonts w:asciiTheme="majorBidi" w:eastAsia="Calibri" w:hAnsiTheme="majorBidi" w:cstheme="majorBidi"/>
          <w:sz w:val="24"/>
          <w:szCs w:val="24"/>
        </w:rPr>
        <w:t xml:space="preserve">studies </w:t>
      </w:r>
      <w:r w:rsidR="00F85619" w:rsidRPr="00B35761">
        <w:rPr>
          <w:rFonts w:asciiTheme="majorBidi" w:eastAsia="Calibri" w:hAnsiTheme="majorBidi" w:cstheme="majorBidi"/>
          <w:sz w:val="24"/>
          <w:szCs w:val="24"/>
        </w:rPr>
        <w:t>provide</w:t>
      </w:r>
      <w:r w:rsidRPr="00B35761">
        <w:rPr>
          <w:rFonts w:asciiTheme="majorBidi" w:eastAsia="Calibri" w:hAnsiTheme="majorBidi" w:cstheme="majorBidi"/>
          <w:sz w:val="24"/>
          <w:szCs w:val="24"/>
        </w:rPr>
        <w:t xml:space="preserve"> </w:t>
      </w:r>
      <w:r w:rsidR="00F85619" w:rsidRPr="00B35761">
        <w:rPr>
          <w:rFonts w:asciiTheme="majorBidi" w:eastAsia="Calibri" w:hAnsiTheme="majorBidi" w:cstheme="majorBidi"/>
          <w:sz w:val="24"/>
          <w:szCs w:val="24"/>
        </w:rPr>
        <w:t xml:space="preserve">evidence consistent with the managerial power theory </w:t>
      </w:r>
      <w:r w:rsidRPr="00B35761">
        <w:rPr>
          <w:rFonts w:asciiTheme="majorBidi" w:eastAsia="Calibri" w:hAnsiTheme="majorBidi" w:cstheme="majorBidi"/>
          <w:sz w:val="24"/>
          <w:szCs w:val="24"/>
        </w:rPr>
        <w:t xml:space="preserve">(e.g., </w:t>
      </w:r>
      <w:r w:rsidR="00F85619" w:rsidRPr="00B35761">
        <w:rPr>
          <w:rFonts w:asciiTheme="majorBidi" w:eastAsia="Calibri" w:hAnsiTheme="majorBidi" w:cstheme="majorBidi"/>
          <w:sz w:val="24"/>
          <w:szCs w:val="24"/>
          <w:lang w:val="en-US"/>
        </w:rPr>
        <w:t xml:space="preserve">Cooper et al., 2013; </w:t>
      </w:r>
      <w:proofErr w:type="spellStart"/>
      <w:r w:rsidR="006C139E" w:rsidRPr="00B35761">
        <w:rPr>
          <w:rFonts w:asciiTheme="majorBidi" w:eastAsia="Calibri" w:hAnsiTheme="majorBidi" w:cstheme="majorBidi"/>
          <w:sz w:val="24"/>
          <w:szCs w:val="24"/>
          <w:lang w:val="en-US"/>
        </w:rPr>
        <w:t>Balafas</w:t>
      </w:r>
      <w:proofErr w:type="spellEnd"/>
      <w:r w:rsidR="006C139E" w:rsidRPr="00B35761">
        <w:rPr>
          <w:rFonts w:asciiTheme="majorBidi" w:eastAsia="Calibri" w:hAnsiTheme="majorBidi" w:cstheme="majorBidi"/>
          <w:sz w:val="24"/>
          <w:szCs w:val="24"/>
          <w:lang w:val="en-US"/>
        </w:rPr>
        <w:t xml:space="preserve"> &amp; </w:t>
      </w:r>
      <w:proofErr w:type="spellStart"/>
      <w:r w:rsidR="006C139E" w:rsidRPr="00B35761">
        <w:rPr>
          <w:rFonts w:asciiTheme="majorBidi" w:eastAsia="Calibri" w:hAnsiTheme="majorBidi" w:cstheme="majorBidi"/>
          <w:sz w:val="24"/>
          <w:szCs w:val="24"/>
          <w:lang w:val="en-US"/>
        </w:rPr>
        <w:t>Florackis</w:t>
      </w:r>
      <w:proofErr w:type="spellEnd"/>
      <w:r w:rsidR="006C139E" w:rsidRPr="00B35761">
        <w:rPr>
          <w:rFonts w:asciiTheme="majorBidi" w:eastAsia="Calibri" w:hAnsiTheme="majorBidi" w:cstheme="majorBidi"/>
          <w:sz w:val="24"/>
          <w:szCs w:val="24"/>
          <w:lang w:val="en-US"/>
        </w:rPr>
        <w:t>, 2014</w:t>
      </w:r>
      <w:r w:rsidRPr="00B35761">
        <w:rPr>
          <w:rFonts w:asciiTheme="majorBidi" w:eastAsia="Calibri" w:hAnsiTheme="majorBidi" w:cstheme="majorBidi"/>
          <w:sz w:val="24"/>
          <w:szCs w:val="24"/>
        </w:rPr>
        <w:t>).</w:t>
      </w:r>
      <w:r w:rsidRPr="00B35761">
        <w:rPr>
          <w:rFonts w:asciiTheme="majorBidi" w:hAnsiTheme="majorBidi" w:cstheme="majorBidi"/>
          <w:color w:val="000000" w:themeColor="text1"/>
          <w:sz w:val="24"/>
          <w:szCs w:val="24"/>
        </w:rPr>
        <w:t xml:space="preserve"> </w:t>
      </w:r>
      <w:r w:rsidR="00F432B9">
        <w:rPr>
          <w:rFonts w:asciiTheme="majorBidi" w:hAnsiTheme="majorBidi" w:cstheme="majorBidi"/>
          <w:color w:val="000000" w:themeColor="text1"/>
          <w:sz w:val="24"/>
          <w:szCs w:val="24"/>
        </w:rPr>
        <w:t>U</w:t>
      </w:r>
      <w:r w:rsidR="00C5083E" w:rsidRPr="00B35761">
        <w:rPr>
          <w:rFonts w:asciiTheme="majorBidi" w:hAnsiTheme="majorBidi" w:cstheme="majorBidi"/>
          <w:color w:val="000000" w:themeColor="text1"/>
          <w:sz w:val="24"/>
          <w:szCs w:val="24"/>
        </w:rPr>
        <w:t>sing UK datasets</w:t>
      </w:r>
      <w:r w:rsidR="00F432B9">
        <w:rPr>
          <w:rFonts w:asciiTheme="majorBidi" w:hAnsiTheme="majorBidi" w:cstheme="majorBidi"/>
          <w:color w:val="000000" w:themeColor="text1"/>
          <w:sz w:val="24"/>
          <w:szCs w:val="24"/>
        </w:rPr>
        <w:t>,</w:t>
      </w:r>
      <w:r w:rsidR="00E739C7" w:rsidRPr="00B35761">
        <w:rPr>
          <w:rFonts w:asciiTheme="majorBidi" w:hAnsiTheme="majorBidi" w:cstheme="majorBidi"/>
          <w:color w:val="000000" w:themeColor="text1"/>
          <w:sz w:val="24"/>
          <w:szCs w:val="24"/>
        </w:rPr>
        <w:t xml:space="preserve"> </w:t>
      </w:r>
      <w:r w:rsidRPr="00B35761">
        <w:rPr>
          <w:rFonts w:asciiTheme="majorBidi" w:hAnsiTheme="majorBidi" w:cstheme="majorBidi"/>
          <w:color w:val="000000" w:themeColor="text1"/>
          <w:sz w:val="24"/>
          <w:szCs w:val="24"/>
        </w:rPr>
        <w:t xml:space="preserve">Gregg et al. (2006) </w:t>
      </w:r>
      <w:r w:rsidR="009B6FEF" w:rsidRPr="00B35761">
        <w:rPr>
          <w:rFonts w:asciiTheme="majorBidi" w:hAnsiTheme="majorBidi" w:cstheme="majorBidi"/>
          <w:color w:val="000000" w:themeColor="text1"/>
          <w:sz w:val="24"/>
          <w:szCs w:val="24"/>
        </w:rPr>
        <w:t>reports</w:t>
      </w:r>
      <w:r w:rsidRPr="00B35761">
        <w:rPr>
          <w:rFonts w:asciiTheme="majorBidi" w:hAnsiTheme="majorBidi" w:cstheme="majorBidi"/>
          <w:color w:val="000000" w:themeColor="text1"/>
          <w:sz w:val="24"/>
          <w:szCs w:val="24"/>
        </w:rPr>
        <w:t xml:space="preserve"> low correlation among executive cash compensation – performance</w:t>
      </w:r>
      <w:r w:rsidR="00C5083E" w:rsidRPr="00B35761">
        <w:rPr>
          <w:rFonts w:asciiTheme="majorBidi" w:hAnsiTheme="majorBidi" w:cstheme="majorBidi"/>
          <w:color w:val="000000" w:themeColor="text1"/>
          <w:sz w:val="24"/>
          <w:szCs w:val="24"/>
        </w:rPr>
        <w:t xml:space="preserve"> whilst </w:t>
      </w:r>
      <w:proofErr w:type="spellStart"/>
      <w:r w:rsidR="00C5083E" w:rsidRPr="00B35761">
        <w:rPr>
          <w:rFonts w:asciiTheme="majorBidi" w:eastAsia="Calibri" w:hAnsiTheme="majorBidi" w:cstheme="majorBidi"/>
          <w:sz w:val="24"/>
          <w:szCs w:val="24"/>
          <w:lang w:val="en-US"/>
        </w:rPr>
        <w:t>Balafas</w:t>
      </w:r>
      <w:proofErr w:type="spellEnd"/>
      <w:r w:rsidR="00C5083E" w:rsidRPr="00B35761">
        <w:rPr>
          <w:rFonts w:asciiTheme="majorBidi" w:eastAsia="Calibri" w:hAnsiTheme="majorBidi" w:cstheme="majorBidi"/>
          <w:sz w:val="24"/>
          <w:szCs w:val="24"/>
          <w:lang w:val="en-US"/>
        </w:rPr>
        <w:t xml:space="preserve"> &amp; </w:t>
      </w:r>
      <w:proofErr w:type="spellStart"/>
      <w:r w:rsidR="00C5083E" w:rsidRPr="00B35761">
        <w:rPr>
          <w:rFonts w:asciiTheme="majorBidi" w:eastAsia="Calibri" w:hAnsiTheme="majorBidi" w:cstheme="majorBidi"/>
          <w:sz w:val="24"/>
          <w:szCs w:val="24"/>
          <w:lang w:val="en-US"/>
        </w:rPr>
        <w:t>Florackis</w:t>
      </w:r>
      <w:proofErr w:type="spellEnd"/>
      <w:r w:rsidR="00C5083E" w:rsidRPr="00B35761">
        <w:rPr>
          <w:rFonts w:asciiTheme="majorBidi" w:eastAsia="Calibri" w:hAnsiTheme="majorBidi" w:cstheme="majorBidi"/>
          <w:sz w:val="24"/>
          <w:szCs w:val="24"/>
          <w:lang w:val="en-US"/>
        </w:rPr>
        <w:t xml:space="preserve"> (2014)</w:t>
      </w:r>
      <w:r w:rsidR="00C5083E" w:rsidRPr="00B35761">
        <w:rPr>
          <w:rFonts w:asciiTheme="majorBidi" w:hAnsiTheme="majorBidi" w:cstheme="majorBidi"/>
          <w:color w:val="000000" w:themeColor="text1"/>
          <w:sz w:val="24"/>
          <w:szCs w:val="24"/>
        </w:rPr>
        <w:t xml:space="preserve"> find a strong negative relationship</w:t>
      </w:r>
      <w:r w:rsidR="00F432B9">
        <w:rPr>
          <w:rFonts w:asciiTheme="majorBidi" w:hAnsiTheme="majorBidi" w:cstheme="majorBidi"/>
          <w:color w:val="000000" w:themeColor="text1"/>
          <w:sz w:val="24"/>
          <w:szCs w:val="24"/>
        </w:rPr>
        <w:t xml:space="preserve"> between them</w:t>
      </w:r>
      <w:r w:rsidR="00C5083E" w:rsidRPr="00B35761">
        <w:rPr>
          <w:rFonts w:asciiTheme="majorBidi" w:hAnsiTheme="majorBidi" w:cstheme="majorBidi"/>
          <w:color w:val="000000" w:themeColor="text1"/>
          <w:sz w:val="24"/>
          <w:szCs w:val="24"/>
        </w:rPr>
        <w:t xml:space="preserve">. </w:t>
      </w:r>
      <w:r w:rsidR="00AC2409" w:rsidRPr="00B35761">
        <w:rPr>
          <w:rFonts w:asciiTheme="majorBidi" w:hAnsiTheme="majorBidi" w:cstheme="majorBidi"/>
          <w:color w:val="000000" w:themeColor="text1"/>
          <w:sz w:val="24"/>
          <w:szCs w:val="24"/>
        </w:rPr>
        <w:t>In addition</w:t>
      </w:r>
      <w:r w:rsidR="006E2A82" w:rsidRPr="00B35761">
        <w:rPr>
          <w:rFonts w:asciiTheme="majorBidi" w:hAnsiTheme="majorBidi" w:cstheme="majorBidi"/>
          <w:color w:val="000000" w:themeColor="text1"/>
          <w:sz w:val="24"/>
          <w:szCs w:val="24"/>
        </w:rPr>
        <w:t xml:space="preserve">, </w:t>
      </w:r>
      <w:r w:rsidR="006E2A82" w:rsidRPr="00B35761">
        <w:rPr>
          <w:rFonts w:asciiTheme="majorBidi" w:eastAsia="Calibri" w:hAnsiTheme="majorBidi" w:cstheme="majorBidi"/>
          <w:sz w:val="24"/>
          <w:szCs w:val="24"/>
          <w:lang w:val="en-US"/>
        </w:rPr>
        <w:t>Cooper et al. (2013) also observe</w:t>
      </w:r>
      <w:r w:rsidR="00CC4035" w:rsidRPr="00B35761">
        <w:rPr>
          <w:rFonts w:asciiTheme="majorBidi" w:eastAsia="Calibri" w:hAnsiTheme="majorBidi" w:cstheme="majorBidi"/>
          <w:sz w:val="24"/>
          <w:szCs w:val="24"/>
          <w:lang w:val="en-US"/>
        </w:rPr>
        <w:t>d</w:t>
      </w:r>
      <w:r w:rsidR="006E2A82" w:rsidRPr="00B35761">
        <w:rPr>
          <w:rFonts w:asciiTheme="majorBidi" w:eastAsia="Calibri" w:hAnsiTheme="majorBidi" w:cstheme="majorBidi"/>
          <w:sz w:val="24"/>
          <w:szCs w:val="24"/>
          <w:lang w:val="en-US"/>
        </w:rPr>
        <w:t xml:space="preserve"> a negative relationship </w:t>
      </w:r>
      <w:r w:rsidR="00AC2409" w:rsidRPr="00B35761">
        <w:rPr>
          <w:rFonts w:asciiTheme="majorBidi" w:eastAsia="Calibri" w:hAnsiTheme="majorBidi" w:cstheme="majorBidi"/>
          <w:sz w:val="24"/>
          <w:szCs w:val="24"/>
          <w:lang w:val="en-US"/>
        </w:rPr>
        <w:t xml:space="preserve">like </w:t>
      </w:r>
      <w:proofErr w:type="spellStart"/>
      <w:r w:rsidR="00AC2409" w:rsidRPr="00B35761">
        <w:rPr>
          <w:rFonts w:asciiTheme="majorBidi" w:eastAsia="Calibri" w:hAnsiTheme="majorBidi" w:cstheme="majorBidi"/>
          <w:sz w:val="24"/>
          <w:szCs w:val="24"/>
          <w:lang w:val="en-US"/>
        </w:rPr>
        <w:t>Malmendier</w:t>
      </w:r>
      <w:proofErr w:type="spellEnd"/>
      <w:r w:rsidR="00AC2409" w:rsidRPr="00B35761">
        <w:rPr>
          <w:rFonts w:asciiTheme="majorBidi" w:eastAsia="Calibri" w:hAnsiTheme="majorBidi" w:cstheme="majorBidi"/>
          <w:sz w:val="24"/>
          <w:szCs w:val="24"/>
          <w:lang w:val="en-US"/>
        </w:rPr>
        <w:t xml:space="preserve"> &amp; Tate (2009) using US data</w:t>
      </w:r>
      <w:r w:rsidR="00CC4035" w:rsidRPr="00B35761">
        <w:rPr>
          <w:rFonts w:asciiTheme="majorBidi" w:eastAsia="Calibri" w:hAnsiTheme="majorBidi" w:cstheme="majorBidi"/>
          <w:sz w:val="24"/>
          <w:szCs w:val="24"/>
          <w:lang w:val="en-US"/>
        </w:rPr>
        <w:t xml:space="preserve">. </w:t>
      </w:r>
      <w:r w:rsidR="00F432B9">
        <w:rPr>
          <w:rFonts w:asciiTheme="majorBidi" w:eastAsia="Calibri" w:hAnsiTheme="majorBidi" w:cstheme="majorBidi"/>
          <w:sz w:val="24"/>
          <w:szCs w:val="24"/>
          <w:lang w:val="en-US"/>
        </w:rPr>
        <w:t>Similarly</w:t>
      </w:r>
      <w:r w:rsidR="00175FC4" w:rsidRPr="00B35761">
        <w:rPr>
          <w:rFonts w:asciiTheme="majorBidi" w:eastAsia="Calibri" w:hAnsiTheme="majorBidi" w:cstheme="majorBidi"/>
          <w:sz w:val="24"/>
          <w:szCs w:val="24"/>
          <w:lang w:val="en-US"/>
        </w:rPr>
        <w:t xml:space="preserve">, </w:t>
      </w:r>
      <w:r w:rsidR="00CC4035" w:rsidRPr="00B35761">
        <w:rPr>
          <w:rFonts w:asciiTheme="majorBidi" w:eastAsia="Calibri" w:hAnsiTheme="majorBidi" w:cstheme="majorBidi"/>
          <w:sz w:val="24"/>
          <w:szCs w:val="24"/>
          <w:lang w:val="en-US"/>
        </w:rPr>
        <w:t>Brick et al. (2006) provide evidence in support of cronyism hypothesis</w:t>
      </w:r>
      <w:r w:rsidR="000D441B" w:rsidRPr="00B35761">
        <w:rPr>
          <w:rFonts w:asciiTheme="majorBidi" w:eastAsia="Calibri" w:hAnsiTheme="majorBidi" w:cstheme="majorBidi"/>
          <w:sz w:val="24"/>
          <w:szCs w:val="24"/>
          <w:lang w:val="en-US"/>
        </w:rPr>
        <w:t xml:space="preserve"> (i.e., executive excessive compensation leads to lower </w:t>
      </w:r>
      <w:r w:rsidR="001332E9" w:rsidRPr="00B35761">
        <w:rPr>
          <w:rFonts w:asciiTheme="majorBidi" w:eastAsia="Calibri" w:hAnsiTheme="majorBidi" w:cstheme="majorBidi"/>
          <w:sz w:val="24"/>
          <w:szCs w:val="24"/>
          <w:lang w:val="en-US"/>
        </w:rPr>
        <w:t>shareholder return</w:t>
      </w:r>
      <w:r w:rsidR="000D441B" w:rsidRPr="00B35761">
        <w:rPr>
          <w:rFonts w:asciiTheme="majorBidi" w:eastAsia="Calibri" w:hAnsiTheme="majorBidi" w:cstheme="majorBidi"/>
          <w:sz w:val="24"/>
          <w:szCs w:val="24"/>
          <w:lang w:val="en-US"/>
        </w:rPr>
        <w:t>)</w:t>
      </w:r>
      <w:r w:rsidR="005B2102" w:rsidRPr="00B35761">
        <w:rPr>
          <w:rFonts w:asciiTheme="majorBidi" w:eastAsia="Calibri" w:hAnsiTheme="majorBidi" w:cstheme="majorBidi"/>
          <w:sz w:val="24"/>
          <w:szCs w:val="24"/>
          <w:lang w:val="en-US"/>
        </w:rPr>
        <w:t xml:space="preserve"> when they employed Canadian data</w:t>
      </w:r>
      <w:r w:rsidR="0077143A" w:rsidRPr="00B35761">
        <w:rPr>
          <w:rFonts w:asciiTheme="majorBidi" w:eastAsia="Calibri" w:hAnsiTheme="majorBidi" w:cstheme="majorBidi"/>
          <w:sz w:val="24"/>
          <w:szCs w:val="24"/>
          <w:lang w:val="en-US"/>
        </w:rPr>
        <w:t xml:space="preserve">. </w:t>
      </w:r>
      <w:r w:rsidR="001E2343">
        <w:rPr>
          <w:rFonts w:asciiTheme="majorBidi" w:hAnsiTheme="majorBidi" w:cstheme="majorBidi"/>
          <w:color w:val="000000" w:themeColor="text1"/>
          <w:sz w:val="24"/>
          <w:szCs w:val="24"/>
        </w:rPr>
        <w:t>O</w:t>
      </w:r>
      <w:r w:rsidR="001E2343" w:rsidRPr="00B35761">
        <w:rPr>
          <w:rFonts w:asciiTheme="majorBidi" w:hAnsiTheme="majorBidi" w:cstheme="majorBidi"/>
          <w:color w:val="000000" w:themeColor="text1"/>
          <w:sz w:val="24"/>
          <w:szCs w:val="24"/>
        </w:rPr>
        <w:t>ther</w:t>
      </w:r>
      <w:r w:rsidR="001E2343">
        <w:rPr>
          <w:rFonts w:asciiTheme="majorBidi" w:hAnsiTheme="majorBidi" w:cstheme="majorBidi"/>
          <w:color w:val="000000" w:themeColor="text1"/>
          <w:sz w:val="24"/>
          <w:szCs w:val="24"/>
        </w:rPr>
        <w:t>s</w:t>
      </w:r>
      <w:r w:rsidRPr="00B35761">
        <w:rPr>
          <w:rFonts w:asciiTheme="majorBidi" w:hAnsiTheme="majorBidi" w:cstheme="majorBidi"/>
          <w:color w:val="000000" w:themeColor="text1"/>
          <w:sz w:val="24"/>
          <w:szCs w:val="24"/>
        </w:rPr>
        <w:t xml:space="preserve"> have shown that the nature of compensation incentives </w:t>
      </w:r>
      <w:r w:rsidR="0030147E" w:rsidRPr="00B35761">
        <w:rPr>
          <w:rFonts w:asciiTheme="majorBidi" w:hAnsiTheme="majorBidi" w:cstheme="majorBidi"/>
          <w:color w:val="000000" w:themeColor="text1"/>
          <w:sz w:val="24"/>
          <w:szCs w:val="24"/>
        </w:rPr>
        <w:t>induce</w:t>
      </w:r>
      <w:r w:rsidRPr="00B35761">
        <w:rPr>
          <w:rFonts w:asciiTheme="majorBidi" w:hAnsiTheme="majorBidi" w:cstheme="majorBidi"/>
          <w:color w:val="000000" w:themeColor="text1"/>
          <w:sz w:val="24"/>
          <w:szCs w:val="24"/>
        </w:rPr>
        <w:t xml:space="preserve"> managerial corporate policy selections on investment and financing activities (</w:t>
      </w:r>
      <w:proofErr w:type="spellStart"/>
      <w:r w:rsidRPr="00B35761">
        <w:rPr>
          <w:rFonts w:asciiTheme="majorBidi" w:hAnsiTheme="majorBidi" w:cstheme="majorBidi"/>
          <w:color w:val="000000" w:themeColor="text1"/>
          <w:sz w:val="24"/>
          <w:szCs w:val="24"/>
        </w:rPr>
        <w:t>Croci</w:t>
      </w:r>
      <w:proofErr w:type="spellEnd"/>
      <w:r w:rsidRPr="00B35761">
        <w:rPr>
          <w:rFonts w:asciiTheme="majorBidi" w:hAnsiTheme="majorBidi" w:cstheme="majorBidi"/>
          <w:color w:val="000000" w:themeColor="text1"/>
          <w:sz w:val="24"/>
          <w:szCs w:val="24"/>
        </w:rPr>
        <w:t xml:space="preserve"> and </w:t>
      </w:r>
      <w:proofErr w:type="spellStart"/>
      <w:r w:rsidRPr="00B35761">
        <w:rPr>
          <w:rFonts w:asciiTheme="majorBidi" w:hAnsiTheme="majorBidi" w:cstheme="majorBidi"/>
          <w:color w:val="000000" w:themeColor="text1"/>
          <w:sz w:val="24"/>
          <w:szCs w:val="24"/>
        </w:rPr>
        <w:t>Petzemas</w:t>
      </w:r>
      <w:proofErr w:type="spellEnd"/>
      <w:r w:rsidRPr="00B35761">
        <w:rPr>
          <w:rFonts w:asciiTheme="majorBidi" w:hAnsiTheme="majorBidi" w:cstheme="majorBidi"/>
          <w:color w:val="000000" w:themeColor="text1"/>
          <w:sz w:val="24"/>
          <w:szCs w:val="24"/>
        </w:rPr>
        <w:t xml:space="preserve">, 2015; Nguyen, 2018; </w:t>
      </w:r>
      <w:proofErr w:type="spellStart"/>
      <w:r w:rsidRPr="00B35761">
        <w:rPr>
          <w:rFonts w:asciiTheme="majorBidi" w:hAnsiTheme="majorBidi" w:cstheme="majorBidi"/>
          <w:color w:val="000000" w:themeColor="text1"/>
          <w:sz w:val="24"/>
          <w:szCs w:val="24"/>
        </w:rPr>
        <w:t>Adu</w:t>
      </w:r>
      <w:proofErr w:type="spellEnd"/>
      <w:r w:rsidRPr="00B35761">
        <w:rPr>
          <w:rFonts w:asciiTheme="majorBidi" w:hAnsiTheme="majorBidi" w:cstheme="majorBidi"/>
          <w:color w:val="000000" w:themeColor="text1"/>
          <w:sz w:val="24"/>
          <w:szCs w:val="24"/>
        </w:rPr>
        <w:t>-Ameyaw et al., 2021</w:t>
      </w:r>
      <w:r w:rsidR="0030147E" w:rsidRPr="00B35761">
        <w:rPr>
          <w:rFonts w:asciiTheme="majorBidi" w:hAnsiTheme="majorBidi" w:cstheme="majorBidi"/>
          <w:color w:val="000000" w:themeColor="text1"/>
          <w:sz w:val="24"/>
          <w:szCs w:val="24"/>
        </w:rPr>
        <w:t xml:space="preserve">; </w:t>
      </w:r>
      <w:proofErr w:type="spellStart"/>
      <w:r w:rsidR="0030147E" w:rsidRPr="00B35761">
        <w:rPr>
          <w:rFonts w:asciiTheme="majorBidi" w:hAnsiTheme="majorBidi" w:cstheme="majorBidi"/>
          <w:color w:val="000000" w:themeColor="text1"/>
          <w:sz w:val="24"/>
          <w:szCs w:val="24"/>
        </w:rPr>
        <w:t>Adu</w:t>
      </w:r>
      <w:proofErr w:type="spellEnd"/>
      <w:r w:rsidR="0030147E" w:rsidRPr="00B35761">
        <w:rPr>
          <w:rFonts w:asciiTheme="majorBidi" w:hAnsiTheme="majorBidi" w:cstheme="majorBidi"/>
          <w:color w:val="000000" w:themeColor="text1"/>
          <w:sz w:val="24"/>
          <w:szCs w:val="24"/>
        </w:rPr>
        <w:t>-Ameyaw et al., 2022</w:t>
      </w:r>
      <w:r w:rsidRPr="00B35761">
        <w:rPr>
          <w:rFonts w:asciiTheme="majorBidi" w:hAnsiTheme="majorBidi" w:cstheme="majorBidi"/>
          <w:color w:val="000000" w:themeColor="text1"/>
          <w:sz w:val="24"/>
          <w:szCs w:val="24"/>
        </w:rPr>
        <w:t xml:space="preserve">). For instance, </w:t>
      </w:r>
      <w:proofErr w:type="spellStart"/>
      <w:r w:rsidRPr="00B35761">
        <w:rPr>
          <w:rFonts w:asciiTheme="majorBidi" w:eastAsia="SimSun" w:hAnsiTheme="majorBidi" w:cstheme="majorBidi"/>
          <w:kern w:val="3"/>
          <w:sz w:val="24"/>
          <w:szCs w:val="24"/>
        </w:rPr>
        <w:t>Adu</w:t>
      </w:r>
      <w:proofErr w:type="spellEnd"/>
      <w:r w:rsidRPr="00B35761">
        <w:rPr>
          <w:rFonts w:asciiTheme="majorBidi" w:eastAsia="SimSun" w:hAnsiTheme="majorBidi" w:cstheme="majorBidi"/>
          <w:kern w:val="3"/>
          <w:sz w:val="24"/>
          <w:szCs w:val="24"/>
        </w:rPr>
        <w:t>-Ameyaw et al. (202</w:t>
      </w:r>
      <w:r w:rsidR="0053385B" w:rsidRPr="00B35761">
        <w:rPr>
          <w:rFonts w:asciiTheme="majorBidi" w:eastAsia="SimSun" w:hAnsiTheme="majorBidi" w:cstheme="majorBidi"/>
          <w:kern w:val="3"/>
          <w:sz w:val="24"/>
          <w:szCs w:val="24"/>
        </w:rPr>
        <w:t>2</w:t>
      </w:r>
      <w:r w:rsidRPr="00B35761">
        <w:rPr>
          <w:rFonts w:asciiTheme="majorBidi" w:eastAsia="SimSun" w:hAnsiTheme="majorBidi" w:cstheme="majorBidi"/>
          <w:kern w:val="3"/>
          <w:sz w:val="24"/>
          <w:szCs w:val="24"/>
        </w:rPr>
        <w:t xml:space="preserve">) show that executive with </w:t>
      </w:r>
      <w:r w:rsidR="0053385B" w:rsidRPr="00B35761">
        <w:rPr>
          <w:rFonts w:asciiTheme="majorBidi" w:eastAsia="SimSun" w:hAnsiTheme="majorBidi" w:cstheme="majorBidi"/>
          <w:kern w:val="3"/>
          <w:sz w:val="24"/>
          <w:szCs w:val="24"/>
        </w:rPr>
        <w:t>cash bonus</w:t>
      </w:r>
      <w:r w:rsidRPr="00B35761">
        <w:rPr>
          <w:rFonts w:asciiTheme="majorBidi" w:eastAsia="SimSun" w:hAnsiTheme="majorBidi" w:cstheme="majorBidi"/>
          <w:kern w:val="3"/>
          <w:sz w:val="24"/>
          <w:szCs w:val="24"/>
        </w:rPr>
        <w:t xml:space="preserve">-motivated compensation </w:t>
      </w:r>
      <w:r w:rsidR="00347467" w:rsidRPr="00B35761">
        <w:rPr>
          <w:rFonts w:asciiTheme="majorBidi" w:eastAsia="SimSun" w:hAnsiTheme="majorBidi" w:cstheme="majorBidi"/>
          <w:kern w:val="3"/>
          <w:sz w:val="24"/>
          <w:szCs w:val="24"/>
        </w:rPr>
        <w:t xml:space="preserve">tends </w:t>
      </w:r>
      <w:r w:rsidRPr="00B35761">
        <w:rPr>
          <w:rFonts w:asciiTheme="majorBidi" w:eastAsia="SimSun" w:hAnsiTheme="majorBidi" w:cstheme="majorBidi"/>
          <w:kern w:val="3"/>
          <w:sz w:val="24"/>
          <w:szCs w:val="24"/>
        </w:rPr>
        <w:t xml:space="preserve">to increase </w:t>
      </w:r>
      <w:r w:rsidR="0053385B" w:rsidRPr="00B35761">
        <w:rPr>
          <w:rFonts w:asciiTheme="majorBidi" w:eastAsia="SimSun" w:hAnsiTheme="majorBidi" w:cstheme="majorBidi"/>
          <w:kern w:val="3"/>
          <w:sz w:val="24"/>
          <w:szCs w:val="24"/>
        </w:rPr>
        <w:t>fixed intangible assets investment while those stock-motivated one’s lower such activity</w:t>
      </w:r>
      <w:r w:rsidR="00200ED6" w:rsidRPr="00B35761">
        <w:rPr>
          <w:rFonts w:asciiTheme="majorBidi" w:eastAsia="SimSun" w:hAnsiTheme="majorBidi" w:cstheme="majorBidi"/>
          <w:kern w:val="3"/>
          <w:sz w:val="24"/>
          <w:szCs w:val="24"/>
        </w:rPr>
        <w:t xml:space="preserve">. </w:t>
      </w:r>
      <w:r w:rsidR="008840A5" w:rsidRPr="00B35761">
        <w:rPr>
          <w:rFonts w:asciiTheme="majorBidi" w:eastAsia="SimSun" w:hAnsiTheme="majorBidi" w:cstheme="majorBidi"/>
          <w:kern w:val="3"/>
          <w:sz w:val="24"/>
          <w:szCs w:val="24"/>
        </w:rPr>
        <w:t>Regarding</w:t>
      </w:r>
      <w:r w:rsidR="009347CB" w:rsidRPr="00B35761">
        <w:rPr>
          <w:rFonts w:asciiTheme="majorBidi" w:eastAsia="SimSun" w:hAnsiTheme="majorBidi" w:cstheme="majorBidi"/>
          <w:kern w:val="3"/>
          <w:sz w:val="24"/>
          <w:szCs w:val="24"/>
        </w:rPr>
        <w:t xml:space="preserve"> </w:t>
      </w:r>
      <w:r w:rsidR="008840A5" w:rsidRPr="00B35761">
        <w:rPr>
          <w:rFonts w:asciiTheme="majorBidi" w:eastAsia="SimSun" w:hAnsiTheme="majorBidi" w:cstheme="majorBidi"/>
          <w:kern w:val="3"/>
          <w:sz w:val="24"/>
          <w:szCs w:val="24"/>
        </w:rPr>
        <w:t>financing decisions</w:t>
      </w:r>
      <w:r w:rsidR="009347CB" w:rsidRPr="00B35761">
        <w:rPr>
          <w:rFonts w:asciiTheme="majorBidi" w:eastAsia="SimSun" w:hAnsiTheme="majorBidi" w:cstheme="majorBidi"/>
          <w:kern w:val="3"/>
          <w:sz w:val="24"/>
          <w:szCs w:val="24"/>
        </w:rPr>
        <w:t xml:space="preserve">, </w:t>
      </w:r>
      <w:proofErr w:type="spellStart"/>
      <w:r w:rsidR="009347CB" w:rsidRPr="00B35761">
        <w:rPr>
          <w:rFonts w:asciiTheme="majorBidi" w:eastAsia="SimSun" w:hAnsiTheme="majorBidi" w:cstheme="majorBidi"/>
          <w:kern w:val="3"/>
          <w:sz w:val="24"/>
          <w:szCs w:val="24"/>
        </w:rPr>
        <w:t>Adu</w:t>
      </w:r>
      <w:proofErr w:type="spellEnd"/>
      <w:r w:rsidR="009347CB" w:rsidRPr="00B35761">
        <w:rPr>
          <w:rFonts w:asciiTheme="majorBidi" w:eastAsia="SimSun" w:hAnsiTheme="majorBidi" w:cstheme="majorBidi"/>
          <w:kern w:val="3"/>
          <w:sz w:val="24"/>
          <w:szCs w:val="24"/>
        </w:rPr>
        <w:t xml:space="preserve">-Ameyaw et al. (2021) find that stock-based </w:t>
      </w:r>
      <w:r w:rsidR="006847D5" w:rsidRPr="00B35761">
        <w:rPr>
          <w:rFonts w:asciiTheme="majorBidi" w:eastAsia="SimSun" w:hAnsiTheme="majorBidi" w:cstheme="majorBidi"/>
          <w:kern w:val="3"/>
          <w:sz w:val="24"/>
          <w:szCs w:val="24"/>
        </w:rPr>
        <w:t xml:space="preserve">incentive </w:t>
      </w:r>
      <w:r w:rsidR="009347CB" w:rsidRPr="00B35761">
        <w:rPr>
          <w:rFonts w:asciiTheme="majorBidi" w:eastAsia="SimSun" w:hAnsiTheme="majorBidi" w:cstheme="majorBidi"/>
          <w:kern w:val="3"/>
          <w:sz w:val="24"/>
          <w:szCs w:val="24"/>
        </w:rPr>
        <w:t xml:space="preserve">induces more </w:t>
      </w:r>
      <w:r w:rsidR="0053385B" w:rsidRPr="00B35761">
        <w:rPr>
          <w:rFonts w:asciiTheme="majorBidi" w:eastAsia="SimSun" w:hAnsiTheme="majorBidi" w:cstheme="majorBidi"/>
          <w:kern w:val="3"/>
          <w:sz w:val="24"/>
          <w:szCs w:val="24"/>
        </w:rPr>
        <w:t>firm borrowings</w:t>
      </w:r>
      <w:r w:rsidRPr="00B35761">
        <w:rPr>
          <w:rFonts w:asciiTheme="majorBidi" w:eastAsia="SimSun" w:hAnsiTheme="majorBidi" w:cstheme="majorBidi"/>
          <w:kern w:val="3"/>
          <w:sz w:val="24"/>
          <w:szCs w:val="24"/>
        </w:rPr>
        <w:t xml:space="preserve"> while those cash</w:t>
      </w:r>
      <w:r w:rsidR="009347CB" w:rsidRPr="00B35761">
        <w:rPr>
          <w:rFonts w:asciiTheme="majorBidi" w:eastAsia="SimSun" w:hAnsiTheme="majorBidi" w:cstheme="majorBidi"/>
          <w:kern w:val="3"/>
          <w:sz w:val="24"/>
          <w:szCs w:val="24"/>
        </w:rPr>
        <w:t xml:space="preserve"> bonus</w:t>
      </w:r>
      <w:r w:rsidRPr="00B35761">
        <w:rPr>
          <w:rFonts w:asciiTheme="majorBidi" w:eastAsia="SimSun" w:hAnsiTheme="majorBidi" w:cstheme="majorBidi"/>
          <w:kern w:val="3"/>
          <w:sz w:val="24"/>
          <w:szCs w:val="24"/>
        </w:rPr>
        <w:t xml:space="preserve"> one’s lower firm’s borrowings. </w:t>
      </w:r>
      <w:r w:rsidR="00654F0D" w:rsidRPr="00B35761">
        <w:rPr>
          <w:rFonts w:asciiTheme="majorBidi" w:eastAsia="SimSun" w:hAnsiTheme="majorBidi" w:cstheme="majorBidi"/>
          <w:kern w:val="3"/>
          <w:sz w:val="24"/>
          <w:szCs w:val="24"/>
        </w:rPr>
        <w:t>Mainly</w:t>
      </w:r>
      <w:r w:rsidRPr="00B35761">
        <w:rPr>
          <w:rFonts w:asciiTheme="majorBidi" w:eastAsia="SimSun" w:hAnsiTheme="majorBidi" w:cstheme="majorBidi"/>
          <w:kern w:val="3"/>
          <w:sz w:val="24"/>
          <w:szCs w:val="24"/>
        </w:rPr>
        <w:t xml:space="preserve">, this stream of research </w:t>
      </w:r>
      <w:r w:rsidR="00B709F9" w:rsidRPr="00B35761">
        <w:rPr>
          <w:rFonts w:asciiTheme="majorBidi" w:eastAsia="SimSun" w:hAnsiTheme="majorBidi" w:cstheme="majorBidi"/>
          <w:kern w:val="3"/>
          <w:sz w:val="24"/>
          <w:szCs w:val="24"/>
        </w:rPr>
        <w:t>views</w:t>
      </w:r>
      <w:r w:rsidRPr="00B35761">
        <w:rPr>
          <w:rFonts w:asciiTheme="majorBidi" w:eastAsia="SimSun" w:hAnsiTheme="majorBidi" w:cstheme="majorBidi"/>
          <w:kern w:val="3"/>
          <w:sz w:val="24"/>
          <w:szCs w:val="24"/>
        </w:rPr>
        <w:t xml:space="preserve"> </w:t>
      </w:r>
      <w:r w:rsidR="00B709F9" w:rsidRPr="00B35761">
        <w:rPr>
          <w:rFonts w:asciiTheme="majorBidi" w:eastAsia="SimSun" w:hAnsiTheme="majorBidi" w:cstheme="majorBidi"/>
          <w:kern w:val="3"/>
          <w:sz w:val="24"/>
          <w:szCs w:val="24"/>
        </w:rPr>
        <w:t xml:space="preserve">compensation incentives as a crucial element in influencing managerial selection of </w:t>
      </w:r>
      <w:r w:rsidRPr="00B35761">
        <w:rPr>
          <w:rFonts w:asciiTheme="majorBidi" w:eastAsia="SimSun" w:hAnsiTheme="majorBidi" w:cstheme="majorBidi"/>
          <w:kern w:val="3"/>
          <w:sz w:val="24"/>
          <w:szCs w:val="24"/>
        </w:rPr>
        <w:t xml:space="preserve">optimal corporate </w:t>
      </w:r>
      <w:r w:rsidR="00B709F9" w:rsidRPr="00B35761">
        <w:rPr>
          <w:rFonts w:asciiTheme="majorBidi" w:eastAsia="SimSun" w:hAnsiTheme="majorBidi" w:cstheme="majorBidi"/>
          <w:kern w:val="3"/>
          <w:sz w:val="24"/>
          <w:szCs w:val="24"/>
        </w:rPr>
        <w:t>activities</w:t>
      </w:r>
      <w:r w:rsidRPr="00B35761">
        <w:rPr>
          <w:rFonts w:asciiTheme="majorBidi" w:eastAsia="SimSun" w:hAnsiTheme="majorBidi" w:cstheme="majorBidi"/>
          <w:kern w:val="3"/>
          <w:sz w:val="24"/>
          <w:szCs w:val="24"/>
        </w:rPr>
        <w:t xml:space="preserve"> which </w:t>
      </w:r>
      <w:r w:rsidR="00B709F9" w:rsidRPr="00B35761">
        <w:rPr>
          <w:rFonts w:asciiTheme="majorBidi" w:eastAsia="SimSun" w:hAnsiTheme="majorBidi" w:cstheme="majorBidi"/>
          <w:kern w:val="3"/>
          <w:sz w:val="24"/>
          <w:szCs w:val="24"/>
        </w:rPr>
        <w:t xml:space="preserve">ultimately </w:t>
      </w:r>
      <w:r w:rsidRPr="00B35761">
        <w:rPr>
          <w:rFonts w:asciiTheme="majorBidi" w:eastAsia="SimSun" w:hAnsiTheme="majorBidi" w:cstheme="majorBidi"/>
          <w:kern w:val="3"/>
          <w:sz w:val="24"/>
          <w:szCs w:val="24"/>
        </w:rPr>
        <w:t>determine</w:t>
      </w:r>
      <w:r w:rsidR="00B709F9" w:rsidRPr="00B35761">
        <w:rPr>
          <w:rFonts w:asciiTheme="majorBidi" w:eastAsia="SimSun" w:hAnsiTheme="majorBidi" w:cstheme="majorBidi"/>
          <w:kern w:val="3"/>
          <w:sz w:val="24"/>
          <w:szCs w:val="24"/>
        </w:rPr>
        <w:t>s</w:t>
      </w:r>
      <w:r w:rsidRPr="00B35761">
        <w:rPr>
          <w:rFonts w:asciiTheme="majorBidi" w:eastAsia="SimSun" w:hAnsiTheme="majorBidi" w:cstheme="majorBidi"/>
          <w:kern w:val="3"/>
          <w:sz w:val="24"/>
          <w:szCs w:val="24"/>
        </w:rPr>
        <w:t xml:space="preserve"> the value</w:t>
      </w:r>
      <w:r w:rsidR="00B709F9" w:rsidRPr="00B35761">
        <w:rPr>
          <w:rFonts w:asciiTheme="majorBidi" w:eastAsia="SimSun" w:hAnsiTheme="majorBidi" w:cstheme="majorBidi"/>
          <w:kern w:val="3"/>
          <w:sz w:val="24"/>
          <w:szCs w:val="24"/>
        </w:rPr>
        <w:t xml:space="preserve"> of the firm.</w:t>
      </w:r>
    </w:p>
    <w:p w14:paraId="17C4B919" w14:textId="77777777" w:rsidR="00C85FD2" w:rsidRPr="00B35761" w:rsidRDefault="00C85FD2" w:rsidP="001E0DEF">
      <w:pPr>
        <w:adjustRightInd w:val="0"/>
        <w:snapToGrid w:val="0"/>
        <w:spacing w:line="360" w:lineRule="auto"/>
        <w:jc w:val="both"/>
        <w:rPr>
          <w:rFonts w:asciiTheme="majorBidi" w:eastAsia="SimSun" w:hAnsiTheme="majorBidi" w:cstheme="majorBidi"/>
          <w:kern w:val="3"/>
          <w:sz w:val="24"/>
          <w:szCs w:val="24"/>
        </w:rPr>
      </w:pPr>
    </w:p>
    <w:p w14:paraId="17CEB7C3" w14:textId="5FD1F7D1" w:rsidR="0035162C" w:rsidRDefault="0035162C" w:rsidP="001E0DEF">
      <w:pPr>
        <w:spacing w:line="360" w:lineRule="auto"/>
        <w:jc w:val="both"/>
        <w:rPr>
          <w:rFonts w:asciiTheme="majorBidi" w:eastAsia="Calibri" w:hAnsiTheme="majorBidi" w:cstheme="majorBidi"/>
          <w:sz w:val="24"/>
          <w:szCs w:val="24"/>
          <w:lang w:val="en-US"/>
        </w:rPr>
      </w:pPr>
      <w:r>
        <w:rPr>
          <w:rFonts w:asciiTheme="majorBidi" w:eastAsia="SimSun" w:hAnsiTheme="majorBidi" w:cstheme="majorBidi"/>
          <w:kern w:val="3"/>
          <w:sz w:val="24"/>
          <w:szCs w:val="24"/>
        </w:rPr>
        <w:t>Thus</w:t>
      </w:r>
      <w:r w:rsidR="000F66F0" w:rsidRPr="00B35761">
        <w:rPr>
          <w:rFonts w:asciiTheme="majorBidi" w:eastAsia="SimSun" w:hAnsiTheme="majorBidi" w:cstheme="majorBidi"/>
          <w:kern w:val="3"/>
          <w:sz w:val="24"/>
          <w:szCs w:val="24"/>
        </w:rPr>
        <w:t>,</w:t>
      </w:r>
      <w:r w:rsidR="00EB013E" w:rsidRPr="00B35761">
        <w:rPr>
          <w:rFonts w:asciiTheme="majorBidi" w:eastAsia="SimSun" w:hAnsiTheme="majorBidi" w:cstheme="majorBidi"/>
          <w:kern w:val="3"/>
          <w:sz w:val="24"/>
          <w:szCs w:val="24"/>
        </w:rPr>
        <w:t xml:space="preserve"> d</w:t>
      </w:r>
      <w:r w:rsidR="001E0DEF" w:rsidRPr="00B35761">
        <w:rPr>
          <w:rFonts w:asciiTheme="majorBidi" w:eastAsia="SimSun" w:hAnsiTheme="majorBidi" w:cstheme="majorBidi"/>
          <w:kern w:val="3"/>
          <w:sz w:val="24"/>
          <w:szCs w:val="24"/>
        </w:rPr>
        <w:t xml:space="preserve">espite the growing literature on executive compensation, our understanding on how </w:t>
      </w:r>
      <w:r w:rsidR="00B37553" w:rsidRPr="00B35761">
        <w:rPr>
          <w:rFonts w:asciiTheme="majorBidi" w:eastAsia="SimSun" w:hAnsiTheme="majorBidi" w:cstheme="majorBidi"/>
          <w:kern w:val="3"/>
          <w:sz w:val="24"/>
          <w:szCs w:val="24"/>
        </w:rPr>
        <w:t xml:space="preserve">executive </w:t>
      </w:r>
      <w:r w:rsidR="001E0DEF" w:rsidRPr="00B35761">
        <w:rPr>
          <w:rFonts w:asciiTheme="majorBidi" w:eastAsia="SimSun" w:hAnsiTheme="majorBidi" w:cstheme="majorBidi"/>
          <w:kern w:val="3"/>
          <w:sz w:val="24"/>
          <w:szCs w:val="24"/>
        </w:rPr>
        <w:t>compensation affects firm performance is still inconclusive. For instance,</w:t>
      </w:r>
      <w:r w:rsidR="008A1D26" w:rsidRPr="00B35761">
        <w:rPr>
          <w:rFonts w:asciiTheme="majorBidi" w:eastAsia="SimSun" w:hAnsiTheme="majorBidi" w:cstheme="majorBidi"/>
          <w:kern w:val="3"/>
          <w:sz w:val="24"/>
          <w:szCs w:val="24"/>
        </w:rPr>
        <w:t xml:space="preserve"> </w:t>
      </w:r>
      <w:r w:rsidR="00850711" w:rsidRPr="00B35761">
        <w:rPr>
          <w:rFonts w:asciiTheme="majorBidi" w:eastAsia="SimSun" w:hAnsiTheme="majorBidi" w:cstheme="majorBidi"/>
          <w:kern w:val="3"/>
          <w:sz w:val="24"/>
          <w:szCs w:val="24"/>
        </w:rPr>
        <w:t>research</w:t>
      </w:r>
      <w:r w:rsidR="008A1D26" w:rsidRPr="00B35761">
        <w:rPr>
          <w:rFonts w:asciiTheme="majorBidi" w:eastAsia="SimSun" w:hAnsiTheme="majorBidi" w:cstheme="majorBidi"/>
          <w:kern w:val="3"/>
          <w:sz w:val="24"/>
          <w:szCs w:val="24"/>
        </w:rPr>
        <w:t>ers</w:t>
      </w:r>
      <w:r w:rsidR="00F7502E" w:rsidRPr="00B35761">
        <w:rPr>
          <w:rFonts w:asciiTheme="majorBidi" w:eastAsia="SimSun" w:hAnsiTheme="majorBidi" w:cstheme="majorBidi"/>
          <w:kern w:val="3"/>
          <w:sz w:val="24"/>
          <w:szCs w:val="24"/>
        </w:rPr>
        <w:t xml:space="preserve"> </w:t>
      </w:r>
      <w:r w:rsidR="004E1293" w:rsidRPr="00B35761">
        <w:rPr>
          <w:rFonts w:asciiTheme="majorBidi" w:eastAsia="SimSun" w:hAnsiTheme="majorBidi" w:cstheme="majorBidi"/>
          <w:kern w:val="3"/>
          <w:sz w:val="24"/>
          <w:szCs w:val="24"/>
        </w:rPr>
        <w:t>that</w:t>
      </w:r>
      <w:r w:rsidR="00850711" w:rsidRPr="00B35761">
        <w:rPr>
          <w:rFonts w:asciiTheme="majorBidi" w:eastAsia="SimSun" w:hAnsiTheme="majorBidi" w:cstheme="majorBidi"/>
          <w:kern w:val="3"/>
          <w:sz w:val="24"/>
          <w:szCs w:val="24"/>
        </w:rPr>
        <w:t xml:space="preserve"> concentrated on</w:t>
      </w:r>
      <w:r w:rsidR="001E0DEF" w:rsidRPr="00B35761">
        <w:rPr>
          <w:rFonts w:asciiTheme="majorBidi" w:eastAsia="SimSun" w:hAnsiTheme="majorBidi" w:cstheme="majorBidi"/>
          <w:kern w:val="3"/>
          <w:sz w:val="24"/>
          <w:szCs w:val="24"/>
        </w:rPr>
        <w:t xml:space="preserve"> managerial </w:t>
      </w:r>
      <w:r w:rsidR="00850711" w:rsidRPr="00B35761">
        <w:rPr>
          <w:rFonts w:asciiTheme="majorBidi" w:eastAsia="SimSun" w:hAnsiTheme="majorBidi" w:cstheme="majorBidi"/>
          <w:kern w:val="3"/>
          <w:sz w:val="24"/>
          <w:szCs w:val="24"/>
        </w:rPr>
        <w:t>compensation determinants</w:t>
      </w:r>
      <w:r w:rsidR="001E0DEF" w:rsidRPr="00B35761">
        <w:rPr>
          <w:rFonts w:asciiTheme="majorBidi" w:eastAsia="SimSun" w:hAnsiTheme="majorBidi" w:cstheme="majorBidi"/>
          <w:kern w:val="3"/>
          <w:sz w:val="24"/>
          <w:szCs w:val="24"/>
        </w:rPr>
        <w:t xml:space="preserve"> (see </w:t>
      </w:r>
      <w:r w:rsidR="00C824EE" w:rsidRPr="00B35761">
        <w:rPr>
          <w:rFonts w:asciiTheme="majorBidi" w:eastAsia="SimSun" w:hAnsiTheme="majorBidi" w:cstheme="majorBidi"/>
          <w:kern w:val="3"/>
          <w:sz w:val="24"/>
          <w:szCs w:val="24"/>
        </w:rPr>
        <w:t xml:space="preserve">Ding et al. 2015; </w:t>
      </w:r>
      <w:proofErr w:type="spellStart"/>
      <w:r w:rsidR="00CE3BB2" w:rsidRPr="00B35761">
        <w:rPr>
          <w:rFonts w:asciiTheme="majorBidi" w:eastAsia="SimSun" w:hAnsiTheme="majorBidi" w:cstheme="majorBidi"/>
          <w:kern w:val="3"/>
          <w:sz w:val="24"/>
          <w:szCs w:val="24"/>
        </w:rPr>
        <w:t>Ozkan</w:t>
      </w:r>
      <w:proofErr w:type="spellEnd"/>
      <w:r w:rsidR="00CE3BB2" w:rsidRPr="00B35761">
        <w:rPr>
          <w:rFonts w:asciiTheme="majorBidi" w:eastAsia="SimSun" w:hAnsiTheme="majorBidi" w:cstheme="majorBidi"/>
          <w:kern w:val="3"/>
          <w:sz w:val="24"/>
          <w:szCs w:val="24"/>
        </w:rPr>
        <w:t>, 2011</w:t>
      </w:r>
      <w:r w:rsidR="00CF51B4" w:rsidRPr="00B35761">
        <w:rPr>
          <w:rFonts w:asciiTheme="majorBidi" w:eastAsia="SimSun" w:hAnsiTheme="majorBidi" w:cstheme="majorBidi"/>
          <w:kern w:val="3"/>
          <w:sz w:val="24"/>
          <w:szCs w:val="24"/>
        </w:rPr>
        <w:t>;</w:t>
      </w:r>
      <w:r w:rsidR="00DF50DE" w:rsidRPr="00B35761">
        <w:rPr>
          <w:rFonts w:asciiTheme="majorBidi" w:eastAsia="SimSun" w:hAnsiTheme="majorBidi" w:cstheme="majorBidi"/>
          <w:kern w:val="3"/>
          <w:sz w:val="24"/>
          <w:szCs w:val="24"/>
        </w:rPr>
        <w:t xml:space="preserve"> </w:t>
      </w:r>
      <w:proofErr w:type="spellStart"/>
      <w:r w:rsidR="008A1D26" w:rsidRPr="00B35761">
        <w:rPr>
          <w:rFonts w:asciiTheme="majorBidi" w:eastAsia="SimSun" w:hAnsiTheme="majorBidi" w:cstheme="majorBidi"/>
          <w:kern w:val="3"/>
          <w:sz w:val="24"/>
          <w:szCs w:val="24"/>
        </w:rPr>
        <w:t>Conyon</w:t>
      </w:r>
      <w:proofErr w:type="spellEnd"/>
      <w:r w:rsidR="008A1D26" w:rsidRPr="00B35761">
        <w:rPr>
          <w:rFonts w:asciiTheme="majorBidi" w:eastAsia="SimSun" w:hAnsiTheme="majorBidi" w:cstheme="majorBidi"/>
          <w:kern w:val="3"/>
          <w:sz w:val="24"/>
          <w:szCs w:val="24"/>
        </w:rPr>
        <w:t xml:space="preserve"> &amp; He, 201</w:t>
      </w:r>
      <w:r w:rsidR="00F16DBF" w:rsidRPr="00B35761">
        <w:rPr>
          <w:rFonts w:asciiTheme="majorBidi" w:eastAsia="SimSun" w:hAnsiTheme="majorBidi" w:cstheme="majorBidi"/>
          <w:kern w:val="3"/>
          <w:sz w:val="24"/>
          <w:szCs w:val="24"/>
        </w:rPr>
        <w:t>2</w:t>
      </w:r>
      <w:r w:rsidR="008A1D26" w:rsidRPr="00B35761">
        <w:rPr>
          <w:rFonts w:asciiTheme="majorBidi" w:eastAsia="SimSun" w:hAnsiTheme="majorBidi" w:cstheme="majorBidi"/>
          <w:kern w:val="3"/>
          <w:sz w:val="24"/>
          <w:szCs w:val="24"/>
        </w:rPr>
        <w:t>;</w:t>
      </w:r>
      <w:r w:rsidR="00DE526C" w:rsidRPr="00B35761">
        <w:rPr>
          <w:rFonts w:asciiTheme="majorBidi" w:eastAsia="SimSun" w:hAnsiTheme="majorBidi" w:cstheme="majorBidi"/>
          <w:kern w:val="3"/>
          <w:sz w:val="24"/>
          <w:szCs w:val="24"/>
        </w:rPr>
        <w:t xml:space="preserve"> </w:t>
      </w:r>
      <w:r w:rsidR="00C824EE" w:rsidRPr="00B35761">
        <w:rPr>
          <w:rFonts w:asciiTheme="majorBidi" w:eastAsia="SimSun" w:hAnsiTheme="majorBidi" w:cstheme="majorBidi"/>
          <w:kern w:val="3"/>
          <w:sz w:val="24"/>
          <w:szCs w:val="24"/>
        </w:rPr>
        <w:t xml:space="preserve">Firth et al. 2005; </w:t>
      </w:r>
      <w:proofErr w:type="spellStart"/>
      <w:r w:rsidR="00DE526C" w:rsidRPr="00B35761">
        <w:rPr>
          <w:rFonts w:asciiTheme="majorBidi" w:eastAsia="Calibri" w:hAnsiTheme="majorBidi" w:cstheme="majorBidi"/>
          <w:sz w:val="24"/>
          <w:szCs w:val="24"/>
          <w:lang w:val="en-US"/>
        </w:rPr>
        <w:t>Conyon</w:t>
      </w:r>
      <w:proofErr w:type="spellEnd"/>
      <w:r w:rsidR="00DE526C" w:rsidRPr="00B35761">
        <w:rPr>
          <w:rFonts w:asciiTheme="majorBidi" w:eastAsia="Calibri" w:hAnsiTheme="majorBidi" w:cstheme="majorBidi"/>
          <w:sz w:val="24"/>
          <w:szCs w:val="24"/>
          <w:lang w:val="en-US"/>
        </w:rPr>
        <w:t xml:space="preserve"> &amp; Murphy, 2000</w:t>
      </w:r>
      <w:r w:rsidR="00EF306D" w:rsidRPr="00B35761">
        <w:rPr>
          <w:rFonts w:asciiTheme="majorBidi" w:eastAsia="SimSun" w:hAnsiTheme="majorBidi" w:cstheme="majorBidi"/>
          <w:kern w:val="3"/>
          <w:sz w:val="24"/>
          <w:szCs w:val="24"/>
        </w:rPr>
        <w:t>)</w:t>
      </w:r>
      <w:r w:rsidR="004E1293" w:rsidRPr="00B35761">
        <w:rPr>
          <w:rFonts w:asciiTheme="majorBidi" w:eastAsia="SimSun" w:hAnsiTheme="majorBidi" w:cstheme="majorBidi"/>
          <w:kern w:val="3"/>
          <w:sz w:val="24"/>
          <w:szCs w:val="24"/>
        </w:rPr>
        <w:t xml:space="preserve"> reported small </w:t>
      </w:r>
      <w:r w:rsidR="004C0A54" w:rsidRPr="00B35761">
        <w:rPr>
          <w:rFonts w:asciiTheme="majorBidi" w:eastAsia="SimSun" w:hAnsiTheme="majorBidi" w:cstheme="majorBidi"/>
          <w:kern w:val="3"/>
          <w:sz w:val="24"/>
          <w:szCs w:val="24"/>
        </w:rPr>
        <w:t xml:space="preserve">positive </w:t>
      </w:r>
      <w:r w:rsidR="00DE6485" w:rsidRPr="00B35761">
        <w:rPr>
          <w:rFonts w:asciiTheme="majorBidi" w:eastAsia="SimSun" w:hAnsiTheme="majorBidi" w:cstheme="majorBidi"/>
          <w:kern w:val="3"/>
          <w:sz w:val="24"/>
          <w:szCs w:val="24"/>
        </w:rPr>
        <w:t>return</w:t>
      </w:r>
      <w:r w:rsidR="002C34B6" w:rsidRPr="00B35761">
        <w:rPr>
          <w:rFonts w:asciiTheme="majorBidi" w:eastAsia="SimSun" w:hAnsiTheme="majorBidi" w:cstheme="majorBidi"/>
          <w:kern w:val="3"/>
          <w:sz w:val="24"/>
          <w:szCs w:val="24"/>
        </w:rPr>
        <w:t xml:space="preserve"> </w:t>
      </w:r>
      <w:r w:rsidR="00347467" w:rsidRPr="00B35761">
        <w:rPr>
          <w:rFonts w:asciiTheme="majorBidi" w:eastAsia="SimSun" w:hAnsiTheme="majorBidi" w:cstheme="majorBidi"/>
          <w:kern w:val="3"/>
          <w:sz w:val="24"/>
          <w:szCs w:val="24"/>
        </w:rPr>
        <w:t>but</w:t>
      </w:r>
      <w:r w:rsidR="004C0A54" w:rsidRPr="00B35761">
        <w:rPr>
          <w:rFonts w:asciiTheme="majorBidi" w:eastAsia="SimSun" w:hAnsiTheme="majorBidi" w:cstheme="majorBidi"/>
          <w:kern w:val="3"/>
          <w:sz w:val="24"/>
          <w:szCs w:val="24"/>
        </w:rPr>
        <w:t xml:space="preserve"> </w:t>
      </w:r>
      <w:r w:rsidR="00AE02FC">
        <w:rPr>
          <w:rFonts w:asciiTheme="majorBidi" w:eastAsia="SimSun" w:hAnsiTheme="majorBidi" w:cstheme="majorBidi"/>
          <w:kern w:val="3"/>
          <w:sz w:val="24"/>
          <w:szCs w:val="24"/>
        </w:rPr>
        <w:t>others</w:t>
      </w:r>
      <w:r w:rsidR="00AE02FC" w:rsidRPr="00B35761">
        <w:rPr>
          <w:rFonts w:asciiTheme="majorBidi" w:eastAsia="SimSun" w:hAnsiTheme="majorBidi" w:cstheme="majorBidi"/>
          <w:kern w:val="3"/>
          <w:sz w:val="24"/>
          <w:szCs w:val="24"/>
        </w:rPr>
        <w:t xml:space="preserve"> </w:t>
      </w:r>
      <w:r w:rsidR="00DE6485" w:rsidRPr="00B35761">
        <w:rPr>
          <w:rFonts w:asciiTheme="majorBidi" w:eastAsia="SimSun" w:hAnsiTheme="majorBidi" w:cstheme="majorBidi"/>
          <w:kern w:val="3"/>
          <w:sz w:val="24"/>
          <w:szCs w:val="24"/>
        </w:rPr>
        <w:t>including</w:t>
      </w:r>
      <w:r w:rsidR="000648DE" w:rsidRPr="00B35761">
        <w:rPr>
          <w:rFonts w:asciiTheme="majorBidi" w:eastAsia="SimSun" w:hAnsiTheme="majorBidi" w:cstheme="majorBidi"/>
          <w:kern w:val="3"/>
          <w:sz w:val="24"/>
          <w:szCs w:val="24"/>
        </w:rPr>
        <w:t xml:space="preserve"> </w:t>
      </w:r>
      <w:proofErr w:type="spellStart"/>
      <w:r w:rsidR="000648DE" w:rsidRPr="00B35761">
        <w:rPr>
          <w:rFonts w:asciiTheme="majorBidi" w:eastAsia="Calibri" w:hAnsiTheme="majorBidi" w:cstheme="majorBidi"/>
          <w:sz w:val="24"/>
          <w:szCs w:val="24"/>
          <w:lang w:val="en-US"/>
        </w:rPr>
        <w:t>Balafas</w:t>
      </w:r>
      <w:proofErr w:type="spellEnd"/>
      <w:r w:rsidR="000648DE" w:rsidRPr="00B35761">
        <w:rPr>
          <w:rFonts w:asciiTheme="majorBidi" w:eastAsia="Calibri" w:hAnsiTheme="majorBidi" w:cstheme="majorBidi"/>
          <w:sz w:val="24"/>
          <w:szCs w:val="24"/>
          <w:lang w:val="en-US"/>
        </w:rPr>
        <w:t xml:space="preserve"> &amp; </w:t>
      </w:r>
      <w:proofErr w:type="spellStart"/>
      <w:r w:rsidR="000648DE" w:rsidRPr="00B35761">
        <w:rPr>
          <w:rFonts w:asciiTheme="majorBidi" w:eastAsia="Calibri" w:hAnsiTheme="majorBidi" w:cstheme="majorBidi"/>
          <w:sz w:val="24"/>
          <w:szCs w:val="24"/>
          <w:lang w:val="en-US"/>
        </w:rPr>
        <w:t>Florackis</w:t>
      </w:r>
      <w:proofErr w:type="spellEnd"/>
      <w:r w:rsidR="000648DE" w:rsidRPr="00B35761">
        <w:rPr>
          <w:rFonts w:asciiTheme="majorBidi" w:eastAsia="Calibri" w:hAnsiTheme="majorBidi" w:cstheme="majorBidi"/>
          <w:sz w:val="24"/>
          <w:szCs w:val="24"/>
          <w:lang w:val="en-US"/>
        </w:rPr>
        <w:t xml:space="preserve"> (2014)</w:t>
      </w:r>
      <w:r w:rsidR="00DE6485" w:rsidRPr="00B35761">
        <w:rPr>
          <w:rFonts w:asciiTheme="majorBidi" w:eastAsia="Calibri" w:hAnsiTheme="majorBidi" w:cstheme="majorBidi"/>
          <w:sz w:val="24"/>
          <w:szCs w:val="24"/>
          <w:lang w:val="en-US"/>
        </w:rPr>
        <w:t xml:space="preserve">, Cooper et al. (2013), Brick et al. (2006), </w:t>
      </w:r>
      <w:proofErr w:type="spellStart"/>
      <w:r w:rsidR="00A70219" w:rsidRPr="00B35761">
        <w:rPr>
          <w:rFonts w:asciiTheme="majorBidi" w:eastAsia="Calibri" w:hAnsiTheme="majorBidi" w:cstheme="majorBidi"/>
          <w:sz w:val="24"/>
          <w:szCs w:val="24"/>
          <w:lang w:val="en-US"/>
        </w:rPr>
        <w:t>Malmendier</w:t>
      </w:r>
      <w:proofErr w:type="spellEnd"/>
      <w:r w:rsidR="00A70219" w:rsidRPr="00B35761">
        <w:rPr>
          <w:rFonts w:asciiTheme="majorBidi" w:eastAsia="Calibri" w:hAnsiTheme="majorBidi" w:cstheme="majorBidi"/>
          <w:sz w:val="24"/>
          <w:szCs w:val="24"/>
          <w:lang w:val="en-US"/>
        </w:rPr>
        <w:t xml:space="preserve"> and Tate (2009), </w:t>
      </w:r>
      <w:r w:rsidR="00DE6485" w:rsidRPr="00B35761">
        <w:rPr>
          <w:rFonts w:asciiTheme="majorBidi" w:eastAsia="Calibri" w:hAnsiTheme="majorBidi" w:cstheme="majorBidi"/>
          <w:sz w:val="24"/>
          <w:szCs w:val="24"/>
          <w:lang w:val="en-US"/>
        </w:rPr>
        <w:t>Core et al. (1999)</w:t>
      </w:r>
      <w:r w:rsidR="00193654" w:rsidRPr="00B35761">
        <w:rPr>
          <w:rFonts w:asciiTheme="majorBidi" w:eastAsia="Calibri" w:hAnsiTheme="majorBidi" w:cstheme="majorBidi"/>
          <w:sz w:val="24"/>
          <w:szCs w:val="24"/>
          <w:lang w:val="en-US"/>
        </w:rPr>
        <w:t xml:space="preserve"> </w:t>
      </w:r>
      <w:r w:rsidR="00452823" w:rsidRPr="00B35761">
        <w:rPr>
          <w:rFonts w:asciiTheme="majorBidi" w:eastAsia="Calibri" w:hAnsiTheme="majorBidi" w:cstheme="majorBidi"/>
          <w:sz w:val="24"/>
          <w:szCs w:val="24"/>
          <w:lang w:val="en-US"/>
        </w:rPr>
        <w:t xml:space="preserve">documented </w:t>
      </w:r>
      <w:r w:rsidR="002C34B6" w:rsidRPr="00B35761">
        <w:rPr>
          <w:rFonts w:asciiTheme="majorBidi" w:eastAsia="Calibri" w:hAnsiTheme="majorBidi" w:cstheme="majorBidi"/>
          <w:sz w:val="24"/>
          <w:szCs w:val="24"/>
          <w:lang w:val="en-US"/>
        </w:rPr>
        <w:t xml:space="preserve">a </w:t>
      </w:r>
      <w:r w:rsidR="0097553A" w:rsidRPr="00B35761">
        <w:rPr>
          <w:rFonts w:asciiTheme="majorBidi" w:eastAsia="Calibri" w:hAnsiTheme="majorBidi" w:cstheme="majorBidi"/>
          <w:sz w:val="24"/>
          <w:szCs w:val="24"/>
          <w:lang w:val="en-US"/>
        </w:rPr>
        <w:t>negative effect of compensation on firm return</w:t>
      </w:r>
      <w:r w:rsidR="002C34B6" w:rsidRPr="00B35761">
        <w:rPr>
          <w:rFonts w:asciiTheme="majorBidi" w:eastAsia="Calibri" w:hAnsiTheme="majorBidi" w:cstheme="majorBidi"/>
          <w:sz w:val="24"/>
          <w:szCs w:val="24"/>
          <w:lang w:val="en-US"/>
        </w:rPr>
        <w:t>.</w:t>
      </w:r>
      <w:r w:rsidR="001331E9" w:rsidRPr="00B35761">
        <w:rPr>
          <w:rFonts w:asciiTheme="majorBidi" w:eastAsia="Calibri" w:hAnsiTheme="majorBidi" w:cstheme="majorBidi"/>
          <w:sz w:val="24"/>
          <w:szCs w:val="24"/>
          <w:lang w:val="en-US"/>
        </w:rPr>
        <w:t xml:space="preserve"> T</w:t>
      </w:r>
      <w:r w:rsidR="008B66A6" w:rsidRPr="00B35761">
        <w:rPr>
          <w:rFonts w:asciiTheme="majorBidi" w:eastAsia="Calibri" w:hAnsiTheme="majorBidi" w:cstheme="majorBidi"/>
          <w:sz w:val="24"/>
          <w:szCs w:val="24"/>
          <w:lang w:val="en-US"/>
        </w:rPr>
        <w:t xml:space="preserve">hese studies </w:t>
      </w:r>
      <w:r w:rsidR="001331E9" w:rsidRPr="00B35761">
        <w:rPr>
          <w:rFonts w:asciiTheme="majorBidi" w:eastAsia="Calibri" w:hAnsiTheme="majorBidi" w:cstheme="majorBidi"/>
          <w:sz w:val="24"/>
          <w:szCs w:val="24"/>
          <w:lang w:val="en-US"/>
        </w:rPr>
        <w:t xml:space="preserve">mainly </w:t>
      </w:r>
      <w:r w:rsidR="008B66A6" w:rsidRPr="00B35761">
        <w:rPr>
          <w:rFonts w:asciiTheme="majorBidi" w:eastAsia="Calibri" w:hAnsiTheme="majorBidi" w:cstheme="majorBidi"/>
          <w:sz w:val="24"/>
          <w:szCs w:val="24"/>
          <w:lang w:val="en-US"/>
        </w:rPr>
        <w:t>adopted a panel-data regression framework and t</w:t>
      </w:r>
      <w:r w:rsidR="00DF605E" w:rsidRPr="00B35761">
        <w:rPr>
          <w:rFonts w:asciiTheme="majorBidi" w:eastAsia="Calibri" w:hAnsiTheme="majorBidi" w:cstheme="majorBidi"/>
          <w:sz w:val="24"/>
          <w:szCs w:val="24"/>
          <w:lang w:val="en-US"/>
        </w:rPr>
        <w:t xml:space="preserve">he lack of consensus </w:t>
      </w:r>
      <w:r w:rsidR="00FB6B1C" w:rsidRPr="00B35761">
        <w:rPr>
          <w:rFonts w:asciiTheme="majorBidi" w:eastAsia="Calibri" w:hAnsiTheme="majorBidi" w:cstheme="majorBidi"/>
          <w:sz w:val="24"/>
          <w:szCs w:val="24"/>
          <w:lang w:val="en-US"/>
        </w:rPr>
        <w:t>in the literature</w:t>
      </w:r>
      <w:r w:rsidR="00D6426F" w:rsidRPr="00B35761">
        <w:rPr>
          <w:rFonts w:asciiTheme="majorBidi" w:eastAsia="Calibri" w:hAnsiTheme="majorBidi" w:cstheme="majorBidi"/>
          <w:sz w:val="24"/>
          <w:szCs w:val="24"/>
          <w:lang w:val="en-US"/>
        </w:rPr>
        <w:t xml:space="preserve"> </w:t>
      </w:r>
      <w:r w:rsidR="008B66A6" w:rsidRPr="00B35761">
        <w:rPr>
          <w:rFonts w:asciiTheme="majorBidi" w:eastAsia="Calibri" w:hAnsiTheme="majorBidi" w:cstheme="majorBidi"/>
          <w:sz w:val="24"/>
          <w:szCs w:val="24"/>
          <w:lang w:val="en-US"/>
        </w:rPr>
        <w:t>can be attributed to possible endogeneit</w:t>
      </w:r>
      <w:r w:rsidR="009C5962" w:rsidRPr="00B35761">
        <w:rPr>
          <w:rFonts w:asciiTheme="majorBidi" w:eastAsia="Calibri" w:hAnsiTheme="majorBidi" w:cstheme="majorBidi"/>
          <w:sz w:val="24"/>
          <w:szCs w:val="24"/>
          <w:lang w:val="en-US"/>
        </w:rPr>
        <w:t>ies problem.</w:t>
      </w:r>
      <w:r w:rsidR="008B66A6" w:rsidRPr="00B35761">
        <w:rPr>
          <w:rFonts w:asciiTheme="majorBidi" w:eastAsia="Calibri" w:hAnsiTheme="majorBidi" w:cstheme="majorBidi"/>
          <w:sz w:val="24"/>
          <w:szCs w:val="24"/>
          <w:lang w:val="en-US"/>
        </w:rPr>
        <w:t xml:space="preserve"> </w:t>
      </w:r>
      <w:r w:rsidR="0052682B" w:rsidRPr="00B35761">
        <w:rPr>
          <w:rFonts w:asciiTheme="majorBidi" w:eastAsia="Calibri" w:hAnsiTheme="majorBidi" w:cstheme="majorBidi"/>
          <w:sz w:val="24"/>
          <w:szCs w:val="24"/>
          <w:lang w:val="en-US"/>
        </w:rPr>
        <w:t>F</w:t>
      </w:r>
      <w:r w:rsidR="009A4C0B" w:rsidRPr="00B35761">
        <w:rPr>
          <w:rFonts w:asciiTheme="majorBidi" w:eastAsia="Calibri" w:hAnsiTheme="majorBidi" w:cstheme="majorBidi"/>
          <w:sz w:val="24"/>
          <w:szCs w:val="24"/>
          <w:lang w:val="en-US"/>
        </w:rPr>
        <w:t>or instance</w:t>
      </w:r>
      <w:r w:rsidR="0052682B" w:rsidRPr="00B35761">
        <w:rPr>
          <w:rFonts w:asciiTheme="majorBidi" w:eastAsia="Calibri" w:hAnsiTheme="majorBidi" w:cstheme="majorBidi"/>
          <w:sz w:val="24"/>
          <w:szCs w:val="24"/>
          <w:lang w:val="en-US"/>
        </w:rPr>
        <w:t>,</w:t>
      </w:r>
      <w:r w:rsidR="00620A2D" w:rsidRPr="00B35761">
        <w:rPr>
          <w:rFonts w:asciiTheme="majorBidi" w:eastAsia="Calibri" w:hAnsiTheme="majorBidi" w:cstheme="majorBidi"/>
          <w:sz w:val="24"/>
          <w:szCs w:val="24"/>
          <w:lang w:val="en-US"/>
        </w:rPr>
        <w:t xml:space="preserve"> </w:t>
      </w:r>
      <w:proofErr w:type="spellStart"/>
      <w:r w:rsidR="009A4C0B" w:rsidRPr="00B35761">
        <w:rPr>
          <w:rFonts w:asciiTheme="majorBidi" w:eastAsia="Calibri" w:hAnsiTheme="majorBidi" w:cstheme="majorBidi"/>
          <w:sz w:val="24"/>
          <w:szCs w:val="24"/>
          <w:lang w:val="en-US"/>
        </w:rPr>
        <w:t>Balafas</w:t>
      </w:r>
      <w:proofErr w:type="spellEnd"/>
      <w:r w:rsidR="009A4C0B" w:rsidRPr="00B35761">
        <w:rPr>
          <w:rFonts w:asciiTheme="majorBidi" w:eastAsia="Calibri" w:hAnsiTheme="majorBidi" w:cstheme="majorBidi"/>
          <w:sz w:val="24"/>
          <w:szCs w:val="24"/>
          <w:lang w:val="en-US"/>
        </w:rPr>
        <w:t xml:space="preserve"> &amp; </w:t>
      </w:r>
      <w:proofErr w:type="spellStart"/>
      <w:r w:rsidR="009A4C0B" w:rsidRPr="00B35761">
        <w:rPr>
          <w:rFonts w:asciiTheme="majorBidi" w:eastAsia="Calibri" w:hAnsiTheme="majorBidi" w:cstheme="majorBidi"/>
          <w:sz w:val="24"/>
          <w:szCs w:val="24"/>
          <w:lang w:val="en-US"/>
        </w:rPr>
        <w:t>Florackis</w:t>
      </w:r>
      <w:proofErr w:type="spellEnd"/>
      <w:r w:rsidR="009A4C0B" w:rsidRPr="00B35761">
        <w:rPr>
          <w:rFonts w:asciiTheme="majorBidi" w:eastAsia="Calibri" w:hAnsiTheme="majorBidi" w:cstheme="majorBidi"/>
          <w:sz w:val="24"/>
          <w:szCs w:val="24"/>
          <w:lang w:val="en-US"/>
        </w:rPr>
        <w:t xml:space="preserve"> (2014), Cooper et al. (2013) </w:t>
      </w:r>
      <w:r w:rsidR="00F16DBF" w:rsidRPr="00B35761">
        <w:rPr>
          <w:rFonts w:asciiTheme="majorBidi" w:eastAsia="Calibri" w:hAnsiTheme="majorBidi" w:cstheme="majorBidi"/>
          <w:sz w:val="24"/>
          <w:szCs w:val="24"/>
          <w:lang w:val="en-US"/>
        </w:rPr>
        <w:t xml:space="preserve">and </w:t>
      </w:r>
      <w:proofErr w:type="spellStart"/>
      <w:r w:rsidR="00F16DBF" w:rsidRPr="00B35761">
        <w:rPr>
          <w:rFonts w:asciiTheme="majorBidi" w:eastAsia="Calibri" w:hAnsiTheme="majorBidi" w:cstheme="majorBidi"/>
          <w:sz w:val="24"/>
          <w:szCs w:val="24"/>
          <w:lang w:val="en-US"/>
        </w:rPr>
        <w:t>Conyon</w:t>
      </w:r>
      <w:proofErr w:type="spellEnd"/>
      <w:r w:rsidR="00F16DBF" w:rsidRPr="00B35761">
        <w:rPr>
          <w:rFonts w:asciiTheme="majorBidi" w:eastAsia="Calibri" w:hAnsiTheme="majorBidi" w:cstheme="majorBidi"/>
          <w:sz w:val="24"/>
          <w:szCs w:val="24"/>
          <w:lang w:val="en-US"/>
        </w:rPr>
        <w:t xml:space="preserve"> &amp; He (2012) used lagged values in their </w:t>
      </w:r>
      <w:r w:rsidR="00CF2463" w:rsidRPr="00B35761">
        <w:rPr>
          <w:rFonts w:asciiTheme="majorBidi" w:eastAsia="Calibri" w:hAnsiTheme="majorBidi" w:cstheme="majorBidi"/>
          <w:sz w:val="24"/>
          <w:szCs w:val="24"/>
          <w:lang w:val="en-US"/>
        </w:rPr>
        <w:t xml:space="preserve">panel regression </w:t>
      </w:r>
      <w:r w:rsidR="001331E9" w:rsidRPr="00B35761">
        <w:rPr>
          <w:rFonts w:asciiTheme="majorBidi" w:eastAsia="Calibri" w:hAnsiTheme="majorBidi" w:cstheme="majorBidi"/>
          <w:sz w:val="24"/>
          <w:szCs w:val="24"/>
          <w:lang w:val="en-US"/>
        </w:rPr>
        <w:t>analys</w:t>
      </w:r>
      <w:r w:rsidR="006959EE" w:rsidRPr="00B35761">
        <w:rPr>
          <w:rFonts w:asciiTheme="majorBidi" w:eastAsia="Calibri" w:hAnsiTheme="majorBidi" w:cstheme="majorBidi"/>
          <w:sz w:val="24"/>
          <w:szCs w:val="24"/>
          <w:lang w:val="en-US"/>
        </w:rPr>
        <w:t>i</w:t>
      </w:r>
      <w:r w:rsidR="001331E9" w:rsidRPr="00B35761">
        <w:rPr>
          <w:rFonts w:asciiTheme="majorBidi" w:eastAsia="Calibri" w:hAnsiTheme="majorBidi" w:cstheme="majorBidi"/>
          <w:sz w:val="24"/>
          <w:szCs w:val="24"/>
          <w:lang w:val="en-US"/>
        </w:rPr>
        <w:t>s</w:t>
      </w:r>
      <w:r w:rsidR="00CF2463" w:rsidRPr="00B35761">
        <w:rPr>
          <w:rFonts w:asciiTheme="majorBidi" w:eastAsia="Calibri" w:hAnsiTheme="majorBidi" w:cstheme="majorBidi"/>
          <w:sz w:val="24"/>
          <w:szCs w:val="24"/>
          <w:lang w:val="en-US"/>
        </w:rPr>
        <w:t xml:space="preserve"> </w:t>
      </w:r>
      <w:r w:rsidR="001331E9" w:rsidRPr="00B35761">
        <w:rPr>
          <w:rFonts w:asciiTheme="majorBidi" w:eastAsia="Calibri" w:hAnsiTheme="majorBidi" w:cstheme="majorBidi"/>
          <w:sz w:val="24"/>
          <w:szCs w:val="24"/>
          <w:lang w:val="en-US"/>
        </w:rPr>
        <w:t xml:space="preserve">but failed to </w:t>
      </w:r>
      <w:r w:rsidR="0045284F" w:rsidRPr="00B35761">
        <w:rPr>
          <w:rFonts w:asciiTheme="majorBidi" w:eastAsia="Calibri" w:hAnsiTheme="majorBidi" w:cstheme="majorBidi"/>
          <w:sz w:val="24"/>
          <w:szCs w:val="24"/>
          <w:lang w:val="en-US"/>
        </w:rPr>
        <w:t>account for</w:t>
      </w:r>
      <w:r w:rsidR="00E64842" w:rsidRPr="00B35761">
        <w:rPr>
          <w:rFonts w:asciiTheme="majorBidi" w:eastAsia="Calibri" w:hAnsiTheme="majorBidi" w:cstheme="majorBidi"/>
          <w:sz w:val="24"/>
          <w:szCs w:val="24"/>
          <w:lang w:val="en-US"/>
        </w:rPr>
        <w:t xml:space="preserve"> </w:t>
      </w:r>
      <w:r w:rsidR="0045284F" w:rsidRPr="00B35761">
        <w:rPr>
          <w:rFonts w:asciiTheme="majorBidi" w:eastAsia="Calibri" w:hAnsiTheme="majorBidi" w:cstheme="majorBidi"/>
          <w:sz w:val="24"/>
          <w:szCs w:val="24"/>
          <w:lang w:val="en-US"/>
        </w:rPr>
        <w:t xml:space="preserve">joint determination of </w:t>
      </w:r>
      <w:r w:rsidR="00627EA2" w:rsidRPr="00B35761">
        <w:rPr>
          <w:rFonts w:asciiTheme="majorBidi" w:eastAsia="Calibri" w:hAnsiTheme="majorBidi" w:cstheme="majorBidi"/>
          <w:sz w:val="24"/>
          <w:szCs w:val="24"/>
          <w:lang w:val="en-US"/>
        </w:rPr>
        <w:t xml:space="preserve">pay </w:t>
      </w:r>
      <w:r w:rsidR="0045284F" w:rsidRPr="00B35761">
        <w:rPr>
          <w:rFonts w:asciiTheme="majorBidi" w:eastAsia="Calibri" w:hAnsiTheme="majorBidi" w:cstheme="majorBidi"/>
          <w:sz w:val="24"/>
          <w:szCs w:val="24"/>
          <w:lang w:val="en-US"/>
        </w:rPr>
        <w:t>incentive</w:t>
      </w:r>
      <w:r w:rsidR="00627EA2" w:rsidRPr="00B35761">
        <w:rPr>
          <w:rFonts w:asciiTheme="majorBidi" w:eastAsia="Calibri" w:hAnsiTheme="majorBidi" w:cstheme="majorBidi"/>
          <w:sz w:val="24"/>
          <w:szCs w:val="24"/>
          <w:lang w:val="en-US"/>
        </w:rPr>
        <w:t>s</w:t>
      </w:r>
      <w:r w:rsidR="0045284F" w:rsidRPr="00B35761">
        <w:rPr>
          <w:rFonts w:asciiTheme="majorBidi" w:eastAsia="Calibri" w:hAnsiTheme="majorBidi" w:cstheme="majorBidi"/>
          <w:sz w:val="24"/>
          <w:szCs w:val="24"/>
          <w:lang w:val="en-US"/>
        </w:rPr>
        <w:t xml:space="preserve"> and </w:t>
      </w:r>
      <w:r w:rsidR="00627EA2" w:rsidRPr="00B35761">
        <w:rPr>
          <w:rFonts w:asciiTheme="majorBidi" w:eastAsia="Calibri" w:hAnsiTheme="majorBidi" w:cstheme="majorBidi"/>
          <w:sz w:val="24"/>
          <w:szCs w:val="24"/>
          <w:lang w:val="en-US"/>
        </w:rPr>
        <w:t xml:space="preserve">other </w:t>
      </w:r>
      <w:r w:rsidR="0045284F" w:rsidRPr="00B35761">
        <w:rPr>
          <w:rFonts w:asciiTheme="majorBidi" w:eastAsia="Calibri" w:hAnsiTheme="majorBidi" w:cstheme="majorBidi"/>
          <w:sz w:val="24"/>
          <w:szCs w:val="24"/>
          <w:lang w:val="en-US"/>
        </w:rPr>
        <w:t>monitoring mechanism</w:t>
      </w:r>
      <w:r w:rsidR="00627EA2" w:rsidRPr="00B35761">
        <w:rPr>
          <w:rFonts w:asciiTheme="majorBidi" w:eastAsia="Calibri" w:hAnsiTheme="majorBidi" w:cstheme="majorBidi"/>
          <w:sz w:val="24"/>
          <w:szCs w:val="24"/>
          <w:lang w:val="en-US"/>
        </w:rPr>
        <w:t>s</w:t>
      </w:r>
      <w:r w:rsidR="00F5778E" w:rsidRPr="00B35761">
        <w:rPr>
          <w:rFonts w:asciiTheme="majorBidi" w:eastAsia="Calibri" w:hAnsiTheme="majorBidi" w:cstheme="majorBidi"/>
          <w:sz w:val="24"/>
          <w:szCs w:val="24"/>
          <w:lang w:val="en-US"/>
        </w:rPr>
        <w:t xml:space="preserve"> </w:t>
      </w:r>
      <w:r w:rsidR="00E64842" w:rsidRPr="00B35761">
        <w:rPr>
          <w:rFonts w:asciiTheme="majorBidi" w:eastAsia="Calibri" w:hAnsiTheme="majorBidi" w:cstheme="majorBidi"/>
          <w:sz w:val="24"/>
          <w:szCs w:val="24"/>
          <w:lang w:val="en-US"/>
        </w:rPr>
        <w:t xml:space="preserve">by corporations. </w:t>
      </w:r>
      <w:r w:rsidR="0063700C" w:rsidRPr="00B35761">
        <w:rPr>
          <w:rFonts w:asciiTheme="majorBidi" w:eastAsia="Calibri" w:hAnsiTheme="majorBidi" w:cstheme="majorBidi"/>
          <w:sz w:val="24"/>
          <w:szCs w:val="24"/>
          <w:lang w:val="en-US"/>
        </w:rPr>
        <w:t xml:space="preserve">Thus, firms with </w:t>
      </w:r>
      <w:r w:rsidR="00B1528B" w:rsidRPr="00B35761">
        <w:rPr>
          <w:rFonts w:asciiTheme="majorBidi" w:eastAsia="Calibri" w:hAnsiTheme="majorBidi" w:cstheme="majorBidi"/>
          <w:sz w:val="24"/>
          <w:szCs w:val="24"/>
          <w:lang w:val="en-US"/>
        </w:rPr>
        <w:t>weak</w:t>
      </w:r>
      <w:r w:rsidR="00104F19" w:rsidRPr="00B35761">
        <w:rPr>
          <w:rFonts w:asciiTheme="majorBidi" w:eastAsia="Calibri" w:hAnsiTheme="majorBidi" w:cstheme="majorBidi"/>
          <w:sz w:val="24"/>
          <w:szCs w:val="24"/>
          <w:lang w:val="en-US"/>
        </w:rPr>
        <w:t xml:space="preserve"> </w:t>
      </w:r>
      <w:r w:rsidR="0063700C" w:rsidRPr="00B35761">
        <w:rPr>
          <w:rFonts w:asciiTheme="majorBidi" w:eastAsia="Calibri" w:hAnsiTheme="majorBidi" w:cstheme="majorBidi"/>
          <w:sz w:val="24"/>
          <w:szCs w:val="24"/>
          <w:lang w:val="en-US"/>
        </w:rPr>
        <w:t>governance structures</w:t>
      </w:r>
      <w:r w:rsidR="00B1528B" w:rsidRPr="00B35761">
        <w:rPr>
          <w:rFonts w:asciiTheme="majorBidi" w:eastAsia="Calibri" w:hAnsiTheme="majorBidi" w:cstheme="majorBidi"/>
          <w:sz w:val="24"/>
          <w:szCs w:val="24"/>
          <w:lang w:val="en-US"/>
        </w:rPr>
        <w:t xml:space="preserve"> </w:t>
      </w:r>
      <w:r w:rsidR="00104F19" w:rsidRPr="00B35761">
        <w:rPr>
          <w:rFonts w:asciiTheme="majorBidi" w:eastAsia="Calibri" w:hAnsiTheme="majorBidi" w:cstheme="majorBidi"/>
          <w:sz w:val="24"/>
          <w:szCs w:val="24"/>
          <w:lang w:val="en-US"/>
        </w:rPr>
        <w:t xml:space="preserve">may face greater agency problem because opportunistic executives </w:t>
      </w:r>
      <w:r w:rsidR="004C74C6" w:rsidRPr="00B35761">
        <w:rPr>
          <w:rFonts w:asciiTheme="majorBidi" w:eastAsia="Calibri" w:hAnsiTheme="majorBidi" w:cstheme="majorBidi"/>
          <w:sz w:val="24"/>
          <w:szCs w:val="24"/>
          <w:lang w:val="en-US"/>
        </w:rPr>
        <w:t xml:space="preserve">are likely to </w:t>
      </w:r>
      <w:r w:rsidR="0063700C" w:rsidRPr="00B35761">
        <w:rPr>
          <w:rFonts w:asciiTheme="majorBidi" w:eastAsia="Calibri" w:hAnsiTheme="majorBidi" w:cstheme="majorBidi"/>
          <w:sz w:val="24"/>
          <w:szCs w:val="24"/>
          <w:lang w:val="en-US"/>
        </w:rPr>
        <w:t xml:space="preserve">engage in rent extraction </w:t>
      </w:r>
      <w:r w:rsidR="00A20867" w:rsidRPr="00B35761">
        <w:rPr>
          <w:rFonts w:asciiTheme="majorBidi" w:eastAsia="Calibri" w:hAnsiTheme="majorBidi" w:cstheme="majorBidi"/>
          <w:sz w:val="24"/>
          <w:szCs w:val="24"/>
          <w:lang w:val="en-US"/>
        </w:rPr>
        <w:t>(Core et al. 1999)</w:t>
      </w:r>
      <w:r w:rsidR="00294B66" w:rsidRPr="00B35761">
        <w:rPr>
          <w:rFonts w:asciiTheme="majorBidi" w:eastAsia="Calibri" w:hAnsiTheme="majorBidi" w:cstheme="majorBidi"/>
          <w:sz w:val="24"/>
          <w:szCs w:val="24"/>
          <w:lang w:val="en-US"/>
        </w:rPr>
        <w:t>.</w:t>
      </w:r>
      <w:r w:rsidR="00CF51B4" w:rsidRPr="00B35761">
        <w:rPr>
          <w:rFonts w:asciiTheme="majorBidi" w:eastAsia="Calibri" w:hAnsiTheme="majorBidi" w:cstheme="majorBidi"/>
          <w:sz w:val="24"/>
          <w:szCs w:val="24"/>
          <w:lang w:val="en-US"/>
        </w:rPr>
        <w:t xml:space="preserve"> </w:t>
      </w:r>
      <w:r w:rsidR="00722EA4" w:rsidRPr="00B35761">
        <w:rPr>
          <w:rFonts w:asciiTheme="majorBidi" w:eastAsia="Calibri" w:hAnsiTheme="majorBidi" w:cstheme="majorBidi"/>
          <w:sz w:val="24"/>
          <w:szCs w:val="24"/>
          <w:lang w:val="en-US"/>
        </w:rPr>
        <w:t xml:space="preserve">Given </w:t>
      </w:r>
      <w:r w:rsidR="001069F5" w:rsidRPr="00B35761">
        <w:rPr>
          <w:rFonts w:asciiTheme="majorBidi" w:eastAsia="Calibri" w:hAnsiTheme="majorBidi" w:cstheme="majorBidi"/>
          <w:sz w:val="24"/>
          <w:szCs w:val="24"/>
          <w:lang w:val="en-US"/>
        </w:rPr>
        <w:t>these observed limitations</w:t>
      </w:r>
      <w:r w:rsidR="00AE02FC">
        <w:rPr>
          <w:rFonts w:asciiTheme="majorBidi" w:eastAsia="Calibri" w:hAnsiTheme="majorBidi" w:cstheme="majorBidi"/>
          <w:sz w:val="24"/>
          <w:szCs w:val="24"/>
          <w:lang w:val="en-US"/>
        </w:rPr>
        <w:t>,</w:t>
      </w:r>
      <w:r w:rsidR="00722EA4" w:rsidRPr="00B35761">
        <w:rPr>
          <w:rFonts w:asciiTheme="majorBidi" w:eastAsia="Calibri" w:hAnsiTheme="majorBidi" w:cstheme="majorBidi"/>
          <w:sz w:val="24"/>
          <w:szCs w:val="24"/>
          <w:lang w:val="en-US"/>
        </w:rPr>
        <w:t xml:space="preserve"> particularly among British studies,</w:t>
      </w:r>
      <w:r w:rsidR="00F159AA" w:rsidRPr="00B35761">
        <w:rPr>
          <w:rFonts w:asciiTheme="majorBidi" w:eastAsia="Calibri" w:hAnsiTheme="majorBidi" w:cstheme="majorBidi"/>
          <w:sz w:val="24"/>
          <w:szCs w:val="24"/>
          <w:lang w:val="en-US"/>
        </w:rPr>
        <w:t xml:space="preserve"> we</w:t>
      </w:r>
      <w:r w:rsidR="00873BF5" w:rsidRPr="00B35761">
        <w:rPr>
          <w:rFonts w:asciiTheme="majorBidi" w:eastAsia="Calibri" w:hAnsiTheme="majorBidi" w:cstheme="majorBidi"/>
          <w:sz w:val="24"/>
          <w:szCs w:val="24"/>
          <w:lang w:val="en-US"/>
        </w:rPr>
        <w:t xml:space="preserve"> </w:t>
      </w:r>
      <w:r w:rsidR="00F159AA" w:rsidRPr="00B35761">
        <w:rPr>
          <w:rFonts w:asciiTheme="majorBidi" w:eastAsia="Calibri" w:hAnsiTheme="majorBidi" w:cstheme="majorBidi"/>
          <w:sz w:val="24"/>
          <w:szCs w:val="24"/>
          <w:lang w:val="en-US"/>
        </w:rPr>
        <w:t xml:space="preserve">employ </w:t>
      </w:r>
      <w:r w:rsidR="00873BF5" w:rsidRPr="00B35761">
        <w:rPr>
          <w:rFonts w:asciiTheme="majorBidi" w:eastAsia="Calibri" w:hAnsiTheme="majorBidi" w:cstheme="majorBidi"/>
          <w:sz w:val="24"/>
          <w:szCs w:val="24"/>
          <w:lang w:val="en-US"/>
        </w:rPr>
        <w:t xml:space="preserve">a </w:t>
      </w:r>
      <w:r w:rsidR="00F159AA" w:rsidRPr="00B35761">
        <w:rPr>
          <w:rFonts w:asciiTheme="majorBidi" w:eastAsia="Calibri" w:hAnsiTheme="majorBidi" w:cstheme="majorBidi"/>
          <w:sz w:val="24"/>
          <w:szCs w:val="24"/>
          <w:lang w:val="en-US"/>
        </w:rPr>
        <w:t>r</w:t>
      </w:r>
      <w:r w:rsidR="00873BF5" w:rsidRPr="00B35761">
        <w:rPr>
          <w:rFonts w:asciiTheme="majorBidi" w:eastAsia="Calibri" w:hAnsiTheme="majorBidi" w:cstheme="majorBidi"/>
          <w:sz w:val="24"/>
          <w:szCs w:val="24"/>
          <w:lang w:val="en-US"/>
        </w:rPr>
        <w:t>elatively</w:t>
      </w:r>
      <w:r w:rsidR="00F159AA" w:rsidRPr="00B35761">
        <w:rPr>
          <w:rFonts w:asciiTheme="majorBidi" w:eastAsia="Calibri" w:hAnsiTheme="majorBidi" w:cstheme="majorBidi"/>
          <w:sz w:val="24"/>
          <w:szCs w:val="24"/>
          <w:lang w:val="en-US"/>
        </w:rPr>
        <w:t xml:space="preserve"> more sophisticated technique to deal with th</w:t>
      </w:r>
      <w:r w:rsidR="00F47819" w:rsidRPr="00B35761">
        <w:rPr>
          <w:rFonts w:asciiTheme="majorBidi" w:eastAsia="Calibri" w:hAnsiTheme="majorBidi" w:cstheme="majorBidi"/>
          <w:sz w:val="24"/>
          <w:szCs w:val="24"/>
          <w:lang w:val="en-US"/>
        </w:rPr>
        <w:t>is</w:t>
      </w:r>
      <w:r w:rsidR="00F159AA" w:rsidRPr="00B35761">
        <w:rPr>
          <w:rFonts w:asciiTheme="majorBidi" w:eastAsia="Calibri" w:hAnsiTheme="majorBidi" w:cstheme="majorBidi"/>
          <w:sz w:val="24"/>
          <w:szCs w:val="24"/>
          <w:lang w:val="en-US"/>
        </w:rPr>
        <w:t xml:space="preserve"> methodological </w:t>
      </w:r>
      <w:r w:rsidR="00C21454" w:rsidRPr="00B35761">
        <w:rPr>
          <w:rFonts w:asciiTheme="majorBidi" w:eastAsia="Calibri" w:hAnsiTheme="majorBidi" w:cstheme="majorBidi"/>
          <w:sz w:val="24"/>
          <w:szCs w:val="24"/>
          <w:lang w:val="en-US"/>
        </w:rPr>
        <w:t xml:space="preserve">issue. </w:t>
      </w:r>
      <w:r w:rsidR="00294B66" w:rsidRPr="00B35761">
        <w:rPr>
          <w:rFonts w:asciiTheme="majorBidi" w:eastAsia="Calibri" w:hAnsiTheme="majorBidi" w:cstheme="majorBidi"/>
          <w:sz w:val="24"/>
          <w:szCs w:val="24"/>
          <w:lang w:val="en-US"/>
        </w:rPr>
        <w:t xml:space="preserve">That is, </w:t>
      </w:r>
      <w:r w:rsidR="00F42704" w:rsidRPr="00B35761">
        <w:rPr>
          <w:rFonts w:asciiTheme="majorBidi" w:eastAsia="Calibri" w:hAnsiTheme="majorBidi" w:cstheme="majorBidi"/>
          <w:sz w:val="24"/>
          <w:szCs w:val="24"/>
          <w:lang w:val="en-US"/>
        </w:rPr>
        <w:t>our</w:t>
      </w:r>
      <w:r w:rsidR="00294B66" w:rsidRPr="00B35761">
        <w:rPr>
          <w:rFonts w:asciiTheme="majorBidi" w:eastAsia="Calibri" w:hAnsiTheme="majorBidi" w:cstheme="majorBidi"/>
          <w:sz w:val="24"/>
          <w:szCs w:val="24"/>
          <w:lang w:val="en-US"/>
        </w:rPr>
        <w:t xml:space="preserve"> </w:t>
      </w:r>
      <w:r w:rsidR="00F42704" w:rsidRPr="00B35761">
        <w:rPr>
          <w:rFonts w:asciiTheme="majorBidi" w:eastAsia="Calibri" w:hAnsiTheme="majorBidi" w:cstheme="majorBidi"/>
          <w:sz w:val="24"/>
          <w:szCs w:val="24"/>
          <w:lang w:val="en-US"/>
        </w:rPr>
        <w:t>bas</w:t>
      </w:r>
      <w:r w:rsidR="00B43C75" w:rsidRPr="00B35761">
        <w:rPr>
          <w:rFonts w:asciiTheme="majorBidi" w:eastAsia="Calibri" w:hAnsiTheme="majorBidi" w:cstheme="majorBidi"/>
          <w:sz w:val="24"/>
          <w:szCs w:val="24"/>
          <w:lang w:val="en-US"/>
        </w:rPr>
        <w:t>e</w:t>
      </w:r>
      <w:r w:rsidR="00294B66" w:rsidRPr="00B35761">
        <w:rPr>
          <w:rFonts w:asciiTheme="majorBidi" w:eastAsia="Calibri" w:hAnsiTheme="majorBidi" w:cstheme="majorBidi"/>
          <w:sz w:val="24"/>
          <w:szCs w:val="24"/>
          <w:lang w:val="en-US"/>
        </w:rPr>
        <w:t xml:space="preserve"> model </w:t>
      </w:r>
      <w:r w:rsidR="00F42704" w:rsidRPr="00B35761">
        <w:rPr>
          <w:rFonts w:asciiTheme="majorBidi" w:eastAsia="Calibri" w:hAnsiTheme="majorBidi" w:cstheme="majorBidi"/>
          <w:sz w:val="24"/>
          <w:szCs w:val="24"/>
          <w:lang w:val="en-US"/>
        </w:rPr>
        <w:t xml:space="preserve">is that the board of directors (on behalf of shareholders) set </w:t>
      </w:r>
      <w:r w:rsidR="00F31368" w:rsidRPr="00B35761">
        <w:rPr>
          <w:rFonts w:asciiTheme="majorBidi" w:eastAsia="Calibri" w:hAnsiTheme="majorBidi" w:cstheme="majorBidi"/>
          <w:sz w:val="24"/>
          <w:szCs w:val="24"/>
          <w:lang w:val="en-US"/>
        </w:rPr>
        <w:t>firm</w:t>
      </w:r>
      <w:r w:rsidR="00003DB7" w:rsidRPr="00B35761">
        <w:rPr>
          <w:rFonts w:asciiTheme="majorBidi" w:eastAsia="Calibri" w:hAnsiTheme="majorBidi" w:cstheme="majorBidi"/>
          <w:sz w:val="24"/>
          <w:szCs w:val="24"/>
          <w:lang w:val="en-US"/>
        </w:rPr>
        <w:t xml:space="preserve"> executives</w:t>
      </w:r>
      <w:r w:rsidR="00F42704" w:rsidRPr="00B35761">
        <w:rPr>
          <w:rFonts w:asciiTheme="majorBidi" w:eastAsia="Calibri" w:hAnsiTheme="majorBidi" w:cstheme="majorBidi"/>
          <w:sz w:val="24"/>
          <w:szCs w:val="24"/>
          <w:lang w:val="en-US"/>
        </w:rPr>
        <w:t xml:space="preserve"> performance target</w:t>
      </w:r>
      <w:r w:rsidR="00F31368" w:rsidRPr="00B35761">
        <w:rPr>
          <w:rFonts w:asciiTheme="majorBidi" w:eastAsia="Calibri" w:hAnsiTheme="majorBidi" w:cstheme="majorBidi"/>
          <w:sz w:val="24"/>
          <w:szCs w:val="24"/>
          <w:lang w:val="en-US"/>
        </w:rPr>
        <w:t>s</w:t>
      </w:r>
      <w:r w:rsidR="00F42704" w:rsidRPr="00B35761">
        <w:rPr>
          <w:rFonts w:asciiTheme="majorBidi" w:eastAsia="Calibri" w:hAnsiTheme="majorBidi" w:cstheme="majorBidi"/>
          <w:sz w:val="24"/>
          <w:szCs w:val="24"/>
          <w:lang w:val="en-US"/>
        </w:rPr>
        <w:t xml:space="preserve"> </w:t>
      </w:r>
      <w:r w:rsidR="00B061A7" w:rsidRPr="00B35761">
        <w:rPr>
          <w:rFonts w:asciiTheme="majorBidi" w:eastAsia="Calibri" w:hAnsiTheme="majorBidi" w:cstheme="majorBidi"/>
          <w:sz w:val="24"/>
          <w:szCs w:val="24"/>
          <w:lang w:val="en-US"/>
        </w:rPr>
        <w:t>and</w:t>
      </w:r>
      <w:r w:rsidR="00003DB7" w:rsidRPr="00B35761">
        <w:rPr>
          <w:rFonts w:asciiTheme="majorBidi" w:eastAsia="Calibri" w:hAnsiTheme="majorBidi" w:cstheme="majorBidi"/>
          <w:sz w:val="24"/>
          <w:szCs w:val="24"/>
          <w:lang w:val="en-US"/>
        </w:rPr>
        <w:t xml:space="preserve"> appropriately design compensation to</w:t>
      </w:r>
      <w:r w:rsidR="0038376A" w:rsidRPr="00B35761">
        <w:rPr>
          <w:rFonts w:asciiTheme="majorBidi" w:eastAsia="Calibri" w:hAnsiTheme="majorBidi" w:cstheme="majorBidi"/>
          <w:sz w:val="24"/>
          <w:szCs w:val="24"/>
          <w:lang w:val="en-US"/>
        </w:rPr>
        <w:t xml:space="preserve"> induce </w:t>
      </w:r>
      <w:r w:rsidR="00003DB7" w:rsidRPr="00B35761">
        <w:rPr>
          <w:rFonts w:asciiTheme="majorBidi" w:eastAsia="Calibri" w:hAnsiTheme="majorBidi" w:cstheme="majorBidi"/>
          <w:sz w:val="24"/>
          <w:szCs w:val="24"/>
          <w:lang w:val="en-US"/>
        </w:rPr>
        <w:t>them</w:t>
      </w:r>
      <w:r w:rsidR="0038376A" w:rsidRPr="00B35761">
        <w:rPr>
          <w:rFonts w:asciiTheme="majorBidi" w:eastAsia="Calibri" w:hAnsiTheme="majorBidi" w:cstheme="majorBidi"/>
          <w:sz w:val="24"/>
          <w:szCs w:val="24"/>
          <w:lang w:val="en-US"/>
        </w:rPr>
        <w:t xml:space="preserve"> to achieve the set targets</w:t>
      </w:r>
      <w:r w:rsidR="00003DB7" w:rsidRPr="00B35761">
        <w:rPr>
          <w:rFonts w:asciiTheme="majorBidi" w:eastAsia="Calibri" w:hAnsiTheme="majorBidi" w:cstheme="majorBidi"/>
          <w:sz w:val="24"/>
          <w:szCs w:val="24"/>
          <w:lang w:val="en-US"/>
        </w:rPr>
        <w:t xml:space="preserve">. </w:t>
      </w:r>
      <w:r w:rsidR="0038376A" w:rsidRPr="00B35761">
        <w:rPr>
          <w:rFonts w:asciiTheme="majorBidi" w:eastAsia="Calibri" w:hAnsiTheme="majorBidi" w:cstheme="majorBidi"/>
          <w:sz w:val="24"/>
          <w:szCs w:val="24"/>
          <w:lang w:val="en-US"/>
        </w:rPr>
        <w:t xml:space="preserve"> </w:t>
      </w:r>
    </w:p>
    <w:p w14:paraId="151CFA49" w14:textId="77777777" w:rsidR="00C85FD2" w:rsidRPr="00561C53" w:rsidRDefault="00C85FD2" w:rsidP="001E0DEF">
      <w:pPr>
        <w:spacing w:line="360" w:lineRule="auto"/>
        <w:jc w:val="both"/>
        <w:rPr>
          <w:rFonts w:asciiTheme="majorBidi" w:eastAsia="Calibri" w:hAnsiTheme="majorBidi" w:cstheme="majorBidi"/>
          <w:sz w:val="24"/>
          <w:szCs w:val="24"/>
          <w:lang w:val="en-US"/>
        </w:rPr>
      </w:pPr>
    </w:p>
    <w:p w14:paraId="24394318" w14:textId="2AC81C3B" w:rsidR="00DB5F33" w:rsidRDefault="005945D8">
      <w:pPr>
        <w:spacing w:line="360" w:lineRule="auto"/>
        <w:jc w:val="both"/>
        <w:rPr>
          <w:rFonts w:asciiTheme="majorBidi" w:eastAsia="SimSun" w:hAnsiTheme="majorBidi" w:cstheme="majorBidi"/>
          <w:kern w:val="3"/>
          <w:sz w:val="24"/>
          <w:szCs w:val="24"/>
        </w:rPr>
      </w:pPr>
      <w:r w:rsidRPr="00B35761">
        <w:rPr>
          <w:rFonts w:asciiTheme="majorBidi" w:eastAsia="SimSun" w:hAnsiTheme="majorBidi" w:cstheme="majorBidi"/>
          <w:kern w:val="3"/>
          <w:sz w:val="24"/>
          <w:szCs w:val="24"/>
        </w:rPr>
        <w:t>Indeed</w:t>
      </w:r>
      <w:r w:rsidR="00F12F66" w:rsidRPr="00B35761">
        <w:rPr>
          <w:rFonts w:asciiTheme="majorBidi" w:eastAsia="SimSun" w:hAnsiTheme="majorBidi" w:cstheme="majorBidi"/>
          <w:kern w:val="3"/>
          <w:sz w:val="24"/>
          <w:szCs w:val="24"/>
        </w:rPr>
        <w:t xml:space="preserve">, </w:t>
      </w:r>
      <w:r w:rsidRPr="00B35761">
        <w:rPr>
          <w:rFonts w:asciiTheme="majorBidi" w:eastAsia="SimSun" w:hAnsiTheme="majorBidi" w:cstheme="majorBidi"/>
          <w:kern w:val="3"/>
          <w:sz w:val="24"/>
          <w:szCs w:val="24"/>
        </w:rPr>
        <w:t>existing</w:t>
      </w:r>
      <w:r w:rsidR="00AF44D9" w:rsidRPr="00B35761">
        <w:rPr>
          <w:rFonts w:asciiTheme="majorBidi" w:eastAsia="SimSun" w:hAnsiTheme="majorBidi" w:cstheme="majorBidi"/>
          <w:kern w:val="3"/>
          <w:sz w:val="24"/>
          <w:szCs w:val="24"/>
        </w:rPr>
        <w:t xml:space="preserve"> theoretical and empirical </w:t>
      </w:r>
      <w:r w:rsidRPr="00B35761">
        <w:rPr>
          <w:rFonts w:asciiTheme="majorBidi" w:eastAsia="SimSun" w:hAnsiTheme="majorBidi" w:cstheme="majorBidi"/>
          <w:kern w:val="3"/>
          <w:sz w:val="24"/>
          <w:szCs w:val="24"/>
        </w:rPr>
        <w:t>literature</w:t>
      </w:r>
      <w:r w:rsidR="00AF44D9" w:rsidRPr="00B35761">
        <w:rPr>
          <w:rFonts w:asciiTheme="majorBidi" w:eastAsia="SimSun" w:hAnsiTheme="majorBidi" w:cstheme="majorBidi"/>
          <w:kern w:val="3"/>
          <w:sz w:val="24"/>
          <w:szCs w:val="24"/>
        </w:rPr>
        <w:t xml:space="preserve"> on managerial power </w:t>
      </w:r>
      <w:r w:rsidR="000C500B" w:rsidRPr="00B35761">
        <w:rPr>
          <w:rFonts w:asciiTheme="majorBidi" w:eastAsia="SimSun" w:hAnsiTheme="majorBidi" w:cstheme="majorBidi"/>
          <w:kern w:val="3"/>
          <w:sz w:val="24"/>
          <w:szCs w:val="24"/>
        </w:rPr>
        <w:t xml:space="preserve">hypothesis </w:t>
      </w:r>
      <w:r w:rsidR="00F52107" w:rsidRPr="00B35761">
        <w:rPr>
          <w:rFonts w:asciiTheme="majorBidi" w:eastAsia="SimSun" w:hAnsiTheme="majorBidi" w:cstheme="majorBidi"/>
          <w:kern w:val="3"/>
          <w:sz w:val="24"/>
          <w:szCs w:val="24"/>
        </w:rPr>
        <w:t>report</w:t>
      </w:r>
      <w:r w:rsidRPr="00B35761">
        <w:rPr>
          <w:rFonts w:asciiTheme="majorBidi" w:eastAsia="SimSun" w:hAnsiTheme="majorBidi" w:cstheme="majorBidi"/>
          <w:kern w:val="3"/>
          <w:sz w:val="24"/>
          <w:szCs w:val="24"/>
        </w:rPr>
        <w:t xml:space="preserve"> </w:t>
      </w:r>
      <w:r w:rsidR="00ED6B02" w:rsidRPr="00B35761">
        <w:rPr>
          <w:rFonts w:asciiTheme="majorBidi" w:eastAsia="SimSun" w:hAnsiTheme="majorBidi" w:cstheme="majorBidi"/>
          <w:kern w:val="3"/>
          <w:sz w:val="24"/>
          <w:szCs w:val="24"/>
        </w:rPr>
        <w:t>value-destroying evidence</w:t>
      </w:r>
      <w:r w:rsidR="00F52107" w:rsidRPr="00B35761">
        <w:rPr>
          <w:rFonts w:asciiTheme="majorBidi" w:eastAsia="SimSun" w:hAnsiTheme="majorBidi" w:cstheme="majorBidi"/>
          <w:kern w:val="3"/>
          <w:sz w:val="24"/>
          <w:szCs w:val="24"/>
        </w:rPr>
        <w:t xml:space="preserve"> for executives with excessive </w:t>
      </w:r>
      <w:r w:rsidR="00ED6B02" w:rsidRPr="00B35761">
        <w:rPr>
          <w:rFonts w:asciiTheme="majorBidi" w:eastAsia="SimSun" w:hAnsiTheme="majorBidi" w:cstheme="majorBidi"/>
          <w:kern w:val="3"/>
          <w:sz w:val="24"/>
          <w:szCs w:val="24"/>
        </w:rPr>
        <w:t>compensation incentives (</w:t>
      </w:r>
      <w:r w:rsidR="00B43C75" w:rsidRPr="00B35761">
        <w:rPr>
          <w:rFonts w:asciiTheme="majorBidi" w:eastAsia="SimSun" w:hAnsiTheme="majorBidi" w:cstheme="majorBidi"/>
          <w:kern w:val="3"/>
          <w:sz w:val="24"/>
          <w:szCs w:val="24"/>
        </w:rPr>
        <w:t xml:space="preserve">e.g., </w:t>
      </w:r>
      <w:proofErr w:type="spellStart"/>
      <w:r w:rsidR="00DB6DB7" w:rsidRPr="00B35761">
        <w:rPr>
          <w:rFonts w:asciiTheme="majorBidi" w:eastAsia="SimSun" w:hAnsiTheme="majorBidi" w:cstheme="majorBidi"/>
          <w:kern w:val="3"/>
          <w:sz w:val="24"/>
          <w:szCs w:val="24"/>
        </w:rPr>
        <w:t>Malmendier</w:t>
      </w:r>
      <w:proofErr w:type="spellEnd"/>
      <w:r w:rsidR="00DB6DB7" w:rsidRPr="00B35761">
        <w:rPr>
          <w:rFonts w:asciiTheme="majorBidi" w:eastAsia="SimSun" w:hAnsiTheme="majorBidi" w:cstheme="majorBidi"/>
          <w:kern w:val="3"/>
          <w:sz w:val="24"/>
          <w:szCs w:val="24"/>
        </w:rPr>
        <w:t xml:space="preserve"> &amp; Tate, 2009</w:t>
      </w:r>
      <w:r w:rsidR="00CC7AFA" w:rsidRPr="00B35761">
        <w:rPr>
          <w:rFonts w:asciiTheme="majorBidi" w:eastAsia="SimSun" w:hAnsiTheme="majorBidi" w:cstheme="majorBidi"/>
          <w:kern w:val="3"/>
          <w:sz w:val="24"/>
          <w:szCs w:val="24"/>
        </w:rPr>
        <w:t xml:space="preserve">; </w:t>
      </w:r>
      <w:proofErr w:type="spellStart"/>
      <w:r w:rsidR="00CC7AFA" w:rsidRPr="00B35761">
        <w:rPr>
          <w:rFonts w:asciiTheme="majorBidi" w:eastAsia="SimSun" w:hAnsiTheme="majorBidi" w:cstheme="majorBidi"/>
          <w:kern w:val="3"/>
          <w:sz w:val="24"/>
          <w:szCs w:val="24"/>
        </w:rPr>
        <w:t>Bebchuk</w:t>
      </w:r>
      <w:proofErr w:type="spellEnd"/>
      <w:r w:rsidR="00CC7AFA" w:rsidRPr="00B35761">
        <w:rPr>
          <w:rFonts w:asciiTheme="majorBidi" w:eastAsia="SimSun" w:hAnsiTheme="majorBidi" w:cstheme="majorBidi"/>
          <w:kern w:val="3"/>
          <w:sz w:val="24"/>
          <w:szCs w:val="24"/>
        </w:rPr>
        <w:t xml:space="preserve"> et al., 2011; Cooper et al.</w:t>
      </w:r>
      <w:r w:rsidR="00564278" w:rsidRPr="00B35761">
        <w:rPr>
          <w:rFonts w:asciiTheme="majorBidi" w:eastAsia="SimSun" w:hAnsiTheme="majorBidi" w:cstheme="majorBidi"/>
          <w:kern w:val="3"/>
          <w:sz w:val="24"/>
          <w:szCs w:val="24"/>
        </w:rPr>
        <w:t>,</w:t>
      </w:r>
      <w:r w:rsidR="00CC7AFA" w:rsidRPr="00B35761">
        <w:rPr>
          <w:rFonts w:asciiTheme="majorBidi" w:eastAsia="SimSun" w:hAnsiTheme="majorBidi" w:cstheme="majorBidi"/>
          <w:kern w:val="3"/>
          <w:sz w:val="24"/>
          <w:szCs w:val="24"/>
        </w:rPr>
        <w:t xml:space="preserve"> 2013; </w:t>
      </w:r>
      <w:proofErr w:type="spellStart"/>
      <w:r w:rsidR="00CC7AFA" w:rsidRPr="00B35761">
        <w:rPr>
          <w:rFonts w:asciiTheme="majorBidi" w:eastAsia="Calibri" w:hAnsiTheme="majorBidi" w:cstheme="majorBidi"/>
          <w:sz w:val="24"/>
          <w:szCs w:val="24"/>
          <w:lang w:val="en-US"/>
        </w:rPr>
        <w:t>Balafas</w:t>
      </w:r>
      <w:proofErr w:type="spellEnd"/>
      <w:r w:rsidR="00CC7AFA" w:rsidRPr="00B35761">
        <w:rPr>
          <w:rFonts w:asciiTheme="majorBidi" w:eastAsia="Calibri" w:hAnsiTheme="majorBidi" w:cstheme="majorBidi"/>
          <w:sz w:val="24"/>
          <w:szCs w:val="24"/>
          <w:lang w:val="en-US"/>
        </w:rPr>
        <w:t xml:space="preserve"> &amp; </w:t>
      </w:r>
      <w:proofErr w:type="spellStart"/>
      <w:r w:rsidR="00CC7AFA" w:rsidRPr="00B35761">
        <w:rPr>
          <w:rFonts w:asciiTheme="majorBidi" w:eastAsia="Calibri" w:hAnsiTheme="majorBidi" w:cstheme="majorBidi"/>
          <w:sz w:val="24"/>
          <w:szCs w:val="24"/>
          <w:lang w:val="en-US"/>
        </w:rPr>
        <w:t>Florackis</w:t>
      </w:r>
      <w:proofErr w:type="spellEnd"/>
      <w:r w:rsidR="00CC7AFA" w:rsidRPr="00B35761">
        <w:rPr>
          <w:rFonts w:asciiTheme="majorBidi" w:eastAsia="Calibri" w:hAnsiTheme="majorBidi" w:cstheme="majorBidi"/>
          <w:sz w:val="24"/>
          <w:szCs w:val="24"/>
          <w:lang w:val="en-US"/>
        </w:rPr>
        <w:t>, 2014).</w:t>
      </w:r>
      <w:r w:rsidR="00CC7AFA" w:rsidRPr="00B35761">
        <w:rPr>
          <w:rFonts w:asciiTheme="majorBidi" w:eastAsia="SimSun" w:hAnsiTheme="majorBidi" w:cstheme="majorBidi"/>
          <w:kern w:val="3"/>
          <w:sz w:val="24"/>
          <w:szCs w:val="24"/>
        </w:rPr>
        <w:t xml:space="preserve"> </w:t>
      </w:r>
      <w:r w:rsidR="00171699" w:rsidRPr="00B35761">
        <w:rPr>
          <w:rFonts w:asciiTheme="majorBidi" w:eastAsia="SimSun" w:hAnsiTheme="majorBidi" w:cstheme="majorBidi"/>
          <w:kern w:val="3"/>
          <w:sz w:val="24"/>
          <w:szCs w:val="24"/>
        </w:rPr>
        <w:t>For example</w:t>
      </w:r>
      <w:r w:rsidR="00CC7AFA" w:rsidRPr="00B35761">
        <w:rPr>
          <w:rFonts w:asciiTheme="majorBidi" w:eastAsia="SimSun" w:hAnsiTheme="majorBidi" w:cstheme="majorBidi"/>
          <w:kern w:val="3"/>
          <w:sz w:val="24"/>
          <w:szCs w:val="24"/>
        </w:rPr>
        <w:t>,</w:t>
      </w:r>
      <w:r w:rsidR="00FF39EA" w:rsidRPr="00B35761">
        <w:rPr>
          <w:rFonts w:asciiTheme="majorBidi" w:eastAsia="SimSun" w:hAnsiTheme="majorBidi" w:cstheme="majorBidi"/>
          <w:kern w:val="3"/>
          <w:sz w:val="24"/>
          <w:szCs w:val="24"/>
        </w:rPr>
        <w:t xml:space="preserve"> </w:t>
      </w:r>
      <w:r w:rsidR="00171699" w:rsidRPr="00B35761">
        <w:rPr>
          <w:rFonts w:asciiTheme="majorBidi" w:eastAsia="SimSun" w:hAnsiTheme="majorBidi" w:cstheme="majorBidi"/>
          <w:kern w:val="3"/>
          <w:sz w:val="24"/>
          <w:szCs w:val="24"/>
        </w:rPr>
        <w:t xml:space="preserve">Cooper et al. (2013) use a comprehensive US data </w:t>
      </w:r>
      <w:r w:rsidR="00185584" w:rsidRPr="00B35761">
        <w:rPr>
          <w:rFonts w:asciiTheme="majorBidi" w:eastAsia="SimSun" w:hAnsiTheme="majorBidi" w:cstheme="majorBidi"/>
          <w:kern w:val="3"/>
          <w:sz w:val="24"/>
          <w:szCs w:val="24"/>
        </w:rPr>
        <w:t xml:space="preserve">and find </w:t>
      </w:r>
      <w:r w:rsidR="00806FEE" w:rsidRPr="00B35761">
        <w:rPr>
          <w:rFonts w:asciiTheme="majorBidi" w:eastAsia="SimSun" w:hAnsiTheme="majorBidi" w:cstheme="majorBidi"/>
          <w:kern w:val="3"/>
          <w:sz w:val="24"/>
          <w:szCs w:val="24"/>
        </w:rPr>
        <w:t xml:space="preserve">that underperforming firms excessively reward their executives while </w:t>
      </w:r>
      <w:proofErr w:type="spellStart"/>
      <w:r w:rsidR="00DB6DB7" w:rsidRPr="00B35761">
        <w:rPr>
          <w:rFonts w:asciiTheme="majorBidi" w:eastAsia="SimSun" w:hAnsiTheme="majorBidi" w:cstheme="majorBidi"/>
          <w:kern w:val="3"/>
          <w:sz w:val="24"/>
          <w:szCs w:val="24"/>
        </w:rPr>
        <w:t>Malmendier</w:t>
      </w:r>
      <w:proofErr w:type="spellEnd"/>
      <w:r w:rsidR="00DB6DB7" w:rsidRPr="00B35761">
        <w:rPr>
          <w:rFonts w:asciiTheme="majorBidi" w:eastAsia="SimSun" w:hAnsiTheme="majorBidi" w:cstheme="majorBidi"/>
          <w:kern w:val="3"/>
          <w:sz w:val="24"/>
          <w:szCs w:val="24"/>
        </w:rPr>
        <w:t xml:space="preserve"> &amp; Tate (2009) find </w:t>
      </w:r>
      <w:r w:rsidR="006F3BCF" w:rsidRPr="00B35761">
        <w:rPr>
          <w:rFonts w:asciiTheme="majorBidi" w:eastAsia="SimSun" w:hAnsiTheme="majorBidi" w:cstheme="majorBidi"/>
          <w:kern w:val="3"/>
          <w:sz w:val="24"/>
          <w:szCs w:val="24"/>
        </w:rPr>
        <w:t>poor performing firms reward their</w:t>
      </w:r>
      <w:r w:rsidR="008B31C0" w:rsidRPr="00B35761">
        <w:rPr>
          <w:rFonts w:asciiTheme="majorBidi" w:eastAsia="SimSun" w:hAnsiTheme="majorBidi" w:cstheme="majorBidi"/>
          <w:kern w:val="3"/>
          <w:sz w:val="24"/>
          <w:szCs w:val="24"/>
        </w:rPr>
        <w:t xml:space="preserve"> </w:t>
      </w:r>
      <w:r w:rsidR="00DB6DB7" w:rsidRPr="00B35761">
        <w:rPr>
          <w:rFonts w:asciiTheme="majorBidi" w:eastAsia="SimSun" w:hAnsiTheme="majorBidi" w:cstheme="majorBidi"/>
          <w:kern w:val="3"/>
          <w:sz w:val="24"/>
          <w:szCs w:val="24"/>
        </w:rPr>
        <w:t>superstar CEOs</w:t>
      </w:r>
      <w:r w:rsidR="008B31C0" w:rsidRPr="00B35761">
        <w:rPr>
          <w:rFonts w:asciiTheme="majorBidi" w:eastAsia="SimSun" w:hAnsiTheme="majorBidi" w:cstheme="majorBidi"/>
          <w:kern w:val="3"/>
          <w:sz w:val="24"/>
          <w:szCs w:val="24"/>
        </w:rPr>
        <w:t xml:space="preserve"> </w:t>
      </w:r>
      <w:r w:rsidR="00DB6DB7" w:rsidRPr="00B35761">
        <w:rPr>
          <w:rFonts w:asciiTheme="majorBidi" w:eastAsia="SimSun" w:hAnsiTheme="majorBidi" w:cstheme="majorBidi"/>
          <w:kern w:val="3"/>
          <w:sz w:val="24"/>
          <w:szCs w:val="24"/>
        </w:rPr>
        <w:t>with generous pay package</w:t>
      </w:r>
      <w:r w:rsidR="006F3BCF" w:rsidRPr="00B35761">
        <w:rPr>
          <w:rFonts w:asciiTheme="majorBidi" w:eastAsia="SimSun" w:hAnsiTheme="majorBidi" w:cstheme="majorBidi"/>
          <w:kern w:val="3"/>
          <w:sz w:val="24"/>
          <w:szCs w:val="24"/>
        </w:rPr>
        <w:t>s</w:t>
      </w:r>
      <w:r w:rsidR="00C956A4" w:rsidRPr="00B35761">
        <w:rPr>
          <w:rFonts w:asciiTheme="majorBidi" w:eastAsia="SimSun" w:hAnsiTheme="majorBidi" w:cstheme="majorBidi"/>
          <w:kern w:val="3"/>
          <w:sz w:val="24"/>
          <w:szCs w:val="24"/>
        </w:rPr>
        <w:t>.</w:t>
      </w:r>
      <w:r w:rsidR="00355DC9" w:rsidRPr="00B35761">
        <w:rPr>
          <w:rFonts w:asciiTheme="majorBidi" w:eastAsia="SimSun" w:hAnsiTheme="majorBidi" w:cstheme="majorBidi"/>
          <w:kern w:val="3"/>
          <w:sz w:val="24"/>
          <w:szCs w:val="24"/>
        </w:rPr>
        <w:t xml:space="preserve"> </w:t>
      </w:r>
      <w:r w:rsidR="00ED1AFD" w:rsidRPr="00B35761">
        <w:rPr>
          <w:rFonts w:asciiTheme="majorBidi" w:eastAsia="SimSun" w:hAnsiTheme="majorBidi" w:cstheme="majorBidi"/>
          <w:kern w:val="3"/>
          <w:sz w:val="24"/>
          <w:szCs w:val="24"/>
        </w:rPr>
        <w:t xml:space="preserve">Therefore, </w:t>
      </w:r>
      <w:r w:rsidR="00775D45" w:rsidRPr="00B35761">
        <w:rPr>
          <w:rFonts w:asciiTheme="majorBidi" w:eastAsia="SimSun" w:hAnsiTheme="majorBidi" w:cstheme="majorBidi"/>
          <w:kern w:val="3"/>
          <w:sz w:val="24"/>
          <w:szCs w:val="24"/>
        </w:rPr>
        <w:t xml:space="preserve">given </w:t>
      </w:r>
      <w:r w:rsidR="00B43C75" w:rsidRPr="00B35761">
        <w:rPr>
          <w:rFonts w:asciiTheme="majorBidi" w:eastAsia="SimSun" w:hAnsiTheme="majorBidi" w:cstheme="majorBidi"/>
          <w:kern w:val="3"/>
          <w:sz w:val="24"/>
          <w:szCs w:val="24"/>
        </w:rPr>
        <w:t xml:space="preserve">that </w:t>
      </w:r>
      <w:r w:rsidR="00775D45" w:rsidRPr="00B35761">
        <w:rPr>
          <w:rFonts w:asciiTheme="majorBidi" w:eastAsia="SimSun" w:hAnsiTheme="majorBidi" w:cstheme="majorBidi"/>
          <w:kern w:val="3"/>
          <w:sz w:val="24"/>
          <w:szCs w:val="24"/>
        </w:rPr>
        <w:t>the existing</w:t>
      </w:r>
      <w:r w:rsidR="00ED1AFD" w:rsidRPr="00B35761">
        <w:rPr>
          <w:rFonts w:asciiTheme="majorBidi" w:eastAsia="SimSun" w:hAnsiTheme="majorBidi" w:cstheme="majorBidi"/>
          <w:kern w:val="3"/>
          <w:sz w:val="24"/>
          <w:szCs w:val="24"/>
        </w:rPr>
        <w:t xml:space="preserve"> evidence on executive compensation </w:t>
      </w:r>
      <w:r w:rsidR="00775D45" w:rsidRPr="00B35761">
        <w:rPr>
          <w:rFonts w:asciiTheme="majorBidi" w:eastAsia="SimSun" w:hAnsiTheme="majorBidi" w:cstheme="majorBidi"/>
          <w:kern w:val="3"/>
          <w:sz w:val="24"/>
          <w:szCs w:val="24"/>
        </w:rPr>
        <w:t>a</w:t>
      </w:r>
      <w:r w:rsidR="00ED1AFD" w:rsidRPr="00B35761">
        <w:rPr>
          <w:rFonts w:asciiTheme="majorBidi" w:eastAsia="SimSun" w:hAnsiTheme="majorBidi" w:cstheme="majorBidi"/>
          <w:kern w:val="3"/>
          <w:sz w:val="24"/>
          <w:szCs w:val="24"/>
        </w:rPr>
        <w:t>n</w:t>
      </w:r>
      <w:r w:rsidR="00775D45" w:rsidRPr="00B35761">
        <w:rPr>
          <w:rFonts w:asciiTheme="majorBidi" w:eastAsia="SimSun" w:hAnsiTheme="majorBidi" w:cstheme="majorBidi"/>
          <w:kern w:val="3"/>
          <w:sz w:val="24"/>
          <w:szCs w:val="24"/>
        </w:rPr>
        <w:t>d</w:t>
      </w:r>
      <w:r w:rsidR="00ED1AFD" w:rsidRPr="00B35761">
        <w:rPr>
          <w:rFonts w:asciiTheme="majorBidi" w:eastAsia="SimSun" w:hAnsiTheme="majorBidi" w:cstheme="majorBidi"/>
          <w:kern w:val="3"/>
          <w:sz w:val="24"/>
          <w:szCs w:val="24"/>
        </w:rPr>
        <w:t xml:space="preserve"> </w:t>
      </w:r>
      <w:r w:rsidR="008F6178" w:rsidRPr="00B35761">
        <w:rPr>
          <w:rFonts w:asciiTheme="majorBidi" w:eastAsia="SimSun" w:hAnsiTheme="majorBidi" w:cstheme="majorBidi"/>
          <w:kern w:val="3"/>
          <w:sz w:val="24"/>
          <w:szCs w:val="24"/>
        </w:rPr>
        <w:t xml:space="preserve">performance is </w:t>
      </w:r>
      <w:r w:rsidR="00DB5F33" w:rsidRPr="00B35761">
        <w:rPr>
          <w:rFonts w:asciiTheme="majorBidi" w:eastAsia="SimSun" w:hAnsiTheme="majorBidi" w:cstheme="majorBidi"/>
          <w:kern w:val="3"/>
          <w:sz w:val="24"/>
          <w:szCs w:val="24"/>
        </w:rPr>
        <w:t xml:space="preserve">broadly </w:t>
      </w:r>
      <w:r w:rsidR="008F6178" w:rsidRPr="00B35761">
        <w:rPr>
          <w:rFonts w:asciiTheme="majorBidi" w:eastAsia="SimSun" w:hAnsiTheme="majorBidi" w:cstheme="majorBidi"/>
          <w:kern w:val="3"/>
          <w:sz w:val="24"/>
          <w:szCs w:val="24"/>
        </w:rPr>
        <w:t xml:space="preserve">consistent with </w:t>
      </w:r>
      <w:r w:rsidR="00DB5F33" w:rsidRPr="00B35761">
        <w:rPr>
          <w:rFonts w:asciiTheme="majorBidi" w:eastAsia="SimSun" w:hAnsiTheme="majorBidi" w:cstheme="majorBidi"/>
          <w:kern w:val="3"/>
          <w:sz w:val="24"/>
          <w:szCs w:val="24"/>
        </w:rPr>
        <w:t>managerial power hypothesis predictions, our first hypothesis is stated as follows:</w:t>
      </w:r>
    </w:p>
    <w:p w14:paraId="0A3FD436" w14:textId="77777777" w:rsidR="006C4901" w:rsidRPr="00B35761" w:rsidRDefault="006C4901">
      <w:pPr>
        <w:spacing w:line="360" w:lineRule="auto"/>
        <w:jc w:val="both"/>
        <w:rPr>
          <w:rFonts w:asciiTheme="majorBidi" w:eastAsia="SimSun" w:hAnsiTheme="majorBidi" w:cstheme="majorBidi"/>
          <w:kern w:val="3"/>
          <w:sz w:val="24"/>
          <w:szCs w:val="24"/>
        </w:rPr>
      </w:pPr>
    </w:p>
    <w:p w14:paraId="4056B6EB" w14:textId="7AAD504E" w:rsidR="00031057" w:rsidRDefault="00DB5F33" w:rsidP="000C1779">
      <w:pPr>
        <w:spacing w:line="360" w:lineRule="auto"/>
        <w:jc w:val="both"/>
        <w:rPr>
          <w:rFonts w:asciiTheme="majorBidi" w:eastAsia="SimSun" w:hAnsiTheme="majorBidi" w:cstheme="majorBidi"/>
          <w:i/>
          <w:iCs/>
          <w:kern w:val="3"/>
          <w:sz w:val="24"/>
          <w:szCs w:val="24"/>
        </w:rPr>
      </w:pPr>
      <w:r w:rsidRPr="00B35761">
        <w:rPr>
          <w:rFonts w:asciiTheme="majorBidi" w:eastAsia="SimSun" w:hAnsiTheme="majorBidi" w:cstheme="majorBidi"/>
          <w:i/>
          <w:iCs/>
          <w:kern w:val="3"/>
          <w:sz w:val="24"/>
          <w:szCs w:val="24"/>
        </w:rPr>
        <w:t xml:space="preserve">H1 </w:t>
      </w:r>
      <w:r w:rsidR="003C140D" w:rsidRPr="00B35761">
        <w:rPr>
          <w:rFonts w:asciiTheme="majorBidi" w:eastAsia="SimSun" w:hAnsiTheme="majorBidi" w:cstheme="majorBidi"/>
          <w:i/>
          <w:iCs/>
          <w:kern w:val="3"/>
          <w:sz w:val="24"/>
          <w:szCs w:val="24"/>
        </w:rPr>
        <w:t>T</w:t>
      </w:r>
      <w:r w:rsidRPr="00B35761">
        <w:rPr>
          <w:rFonts w:asciiTheme="majorBidi" w:eastAsia="SimSun" w:hAnsiTheme="majorBidi" w:cstheme="majorBidi"/>
          <w:i/>
          <w:iCs/>
          <w:kern w:val="3"/>
          <w:sz w:val="24"/>
          <w:szCs w:val="24"/>
        </w:rPr>
        <w:t xml:space="preserve">here is a negative </w:t>
      </w:r>
      <w:r w:rsidR="000C1779" w:rsidRPr="00B35761">
        <w:rPr>
          <w:rFonts w:asciiTheme="majorBidi" w:eastAsia="SimSun" w:hAnsiTheme="majorBidi" w:cstheme="majorBidi"/>
          <w:i/>
          <w:iCs/>
          <w:kern w:val="3"/>
          <w:sz w:val="24"/>
          <w:szCs w:val="24"/>
        </w:rPr>
        <w:t xml:space="preserve">relationship between </w:t>
      </w:r>
      <w:r w:rsidR="00494B59" w:rsidRPr="00B35761">
        <w:rPr>
          <w:rFonts w:asciiTheme="majorBidi" w:eastAsia="SimSun" w:hAnsiTheme="majorBidi" w:cstheme="majorBidi"/>
          <w:i/>
          <w:iCs/>
          <w:kern w:val="3"/>
          <w:sz w:val="24"/>
          <w:szCs w:val="24"/>
        </w:rPr>
        <w:t>managerial</w:t>
      </w:r>
      <w:r w:rsidR="000C1779" w:rsidRPr="00B35761">
        <w:rPr>
          <w:rFonts w:asciiTheme="majorBidi" w:eastAsia="SimSun" w:hAnsiTheme="majorBidi" w:cstheme="majorBidi"/>
          <w:i/>
          <w:iCs/>
          <w:kern w:val="3"/>
          <w:sz w:val="24"/>
          <w:szCs w:val="24"/>
        </w:rPr>
        <w:t xml:space="preserve"> compensation and performance. </w:t>
      </w:r>
    </w:p>
    <w:p w14:paraId="65EEAE07" w14:textId="77777777" w:rsidR="006C4901" w:rsidRPr="00B35761" w:rsidRDefault="006C4901" w:rsidP="000C1779">
      <w:pPr>
        <w:spacing w:line="360" w:lineRule="auto"/>
        <w:jc w:val="both"/>
        <w:rPr>
          <w:rFonts w:ascii="Times New Roman" w:hAnsi="Times New Roman" w:cs="Times New Roman"/>
          <w:i/>
          <w:iCs/>
          <w:color w:val="FF0000"/>
          <w:sz w:val="24"/>
          <w:szCs w:val="24"/>
        </w:rPr>
      </w:pPr>
    </w:p>
    <w:p w14:paraId="02533E1F" w14:textId="441EB827" w:rsidR="001E0DEF" w:rsidRDefault="00CE08C5" w:rsidP="001E0DEF">
      <w:pPr>
        <w:spacing w:line="360" w:lineRule="auto"/>
        <w:jc w:val="both"/>
        <w:rPr>
          <w:rFonts w:asciiTheme="majorBidi" w:hAnsiTheme="majorBidi" w:cstheme="majorBidi"/>
          <w:color w:val="000000"/>
          <w:sz w:val="24"/>
          <w:szCs w:val="24"/>
        </w:rPr>
      </w:pPr>
      <w:r w:rsidRPr="00B35761">
        <w:rPr>
          <w:rFonts w:asciiTheme="majorBidi" w:eastAsia="SimSun" w:hAnsiTheme="majorBidi" w:cstheme="majorBidi"/>
          <w:kern w:val="3"/>
          <w:sz w:val="24"/>
          <w:szCs w:val="24"/>
        </w:rPr>
        <w:t>Furthermore,</w:t>
      </w:r>
      <w:r w:rsidR="001E0DEF" w:rsidRPr="00B35761">
        <w:rPr>
          <w:rFonts w:asciiTheme="majorBidi" w:eastAsia="SimSun" w:hAnsiTheme="majorBidi" w:cstheme="majorBidi"/>
          <w:kern w:val="3"/>
          <w:sz w:val="24"/>
          <w:szCs w:val="24"/>
        </w:rPr>
        <w:t xml:space="preserve"> </w:t>
      </w:r>
      <w:r w:rsidRPr="00B35761">
        <w:rPr>
          <w:rFonts w:asciiTheme="majorBidi" w:eastAsia="SimSun" w:hAnsiTheme="majorBidi" w:cstheme="majorBidi"/>
          <w:kern w:val="3"/>
          <w:sz w:val="24"/>
          <w:szCs w:val="24"/>
        </w:rPr>
        <w:t>the literature further</w:t>
      </w:r>
      <w:r w:rsidR="001E0DEF" w:rsidRPr="00B35761">
        <w:rPr>
          <w:rFonts w:asciiTheme="majorBidi" w:eastAsia="SimSun" w:hAnsiTheme="majorBidi" w:cstheme="majorBidi"/>
          <w:kern w:val="3"/>
          <w:sz w:val="24"/>
          <w:szCs w:val="24"/>
        </w:rPr>
        <w:t xml:space="preserve"> </w:t>
      </w:r>
      <w:r w:rsidRPr="00B35761">
        <w:rPr>
          <w:rFonts w:asciiTheme="majorBidi" w:eastAsia="SimSun" w:hAnsiTheme="majorBidi" w:cstheme="majorBidi"/>
          <w:kern w:val="3"/>
          <w:sz w:val="24"/>
          <w:szCs w:val="24"/>
        </w:rPr>
        <w:t>suggests</w:t>
      </w:r>
      <w:r w:rsidR="001E0DEF" w:rsidRPr="00B35761">
        <w:rPr>
          <w:rFonts w:asciiTheme="majorBidi" w:eastAsia="SimSun" w:hAnsiTheme="majorBidi" w:cstheme="majorBidi"/>
          <w:kern w:val="3"/>
          <w:sz w:val="24"/>
          <w:szCs w:val="24"/>
        </w:rPr>
        <w:t xml:space="preserve"> that corporate governance system affects the structure and the level of </w:t>
      </w:r>
      <w:r w:rsidR="009D39F0">
        <w:rPr>
          <w:rFonts w:asciiTheme="majorBidi" w:eastAsia="SimSun" w:hAnsiTheme="majorBidi" w:cstheme="majorBidi"/>
          <w:kern w:val="3"/>
          <w:sz w:val="24"/>
          <w:szCs w:val="24"/>
        </w:rPr>
        <w:t>managerial compensation (</w:t>
      </w:r>
      <w:proofErr w:type="spellStart"/>
      <w:r w:rsidR="001E0DEF" w:rsidRPr="00B35761">
        <w:rPr>
          <w:rFonts w:asciiTheme="majorBidi" w:eastAsia="SimSun" w:hAnsiTheme="majorBidi" w:cstheme="majorBidi"/>
          <w:kern w:val="3"/>
          <w:sz w:val="24"/>
          <w:szCs w:val="24"/>
        </w:rPr>
        <w:t>Ozkan</w:t>
      </w:r>
      <w:proofErr w:type="spellEnd"/>
      <w:r w:rsidR="001E0DEF" w:rsidRPr="00B35761">
        <w:rPr>
          <w:rFonts w:asciiTheme="majorBidi" w:eastAsia="SimSun" w:hAnsiTheme="majorBidi" w:cstheme="majorBidi"/>
          <w:kern w:val="3"/>
          <w:sz w:val="24"/>
          <w:szCs w:val="24"/>
        </w:rPr>
        <w:t>, 2011</w:t>
      </w:r>
      <w:r w:rsidR="00C669E8" w:rsidRPr="00B35761">
        <w:rPr>
          <w:rFonts w:asciiTheme="majorBidi" w:eastAsia="SimSun" w:hAnsiTheme="majorBidi" w:cstheme="majorBidi"/>
          <w:kern w:val="3"/>
          <w:sz w:val="24"/>
          <w:szCs w:val="24"/>
        </w:rPr>
        <w:t xml:space="preserve">; </w:t>
      </w:r>
      <w:proofErr w:type="spellStart"/>
      <w:r w:rsidR="00C669E8" w:rsidRPr="00B35761">
        <w:rPr>
          <w:rFonts w:asciiTheme="majorBidi" w:eastAsia="Calibri" w:hAnsiTheme="majorBidi" w:cstheme="majorBidi"/>
          <w:sz w:val="24"/>
          <w:szCs w:val="24"/>
          <w:lang w:val="en-US"/>
        </w:rPr>
        <w:t>Balafas</w:t>
      </w:r>
      <w:proofErr w:type="spellEnd"/>
      <w:r w:rsidR="00C669E8" w:rsidRPr="00B35761">
        <w:rPr>
          <w:rFonts w:asciiTheme="majorBidi" w:eastAsia="Calibri" w:hAnsiTheme="majorBidi" w:cstheme="majorBidi"/>
          <w:sz w:val="24"/>
          <w:szCs w:val="24"/>
          <w:lang w:val="en-US"/>
        </w:rPr>
        <w:t xml:space="preserve"> &amp; </w:t>
      </w:r>
      <w:proofErr w:type="spellStart"/>
      <w:r w:rsidR="00C669E8" w:rsidRPr="00B35761">
        <w:rPr>
          <w:rFonts w:asciiTheme="majorBidi" w:eastAsia="Calibri" w:hAnsiTheme="majorBidi" w:cstheme="majorBidi"/>
          <w:sz w:val="24"/>
          <w:szCs w:val="24"/>
          <w:lang w:val="en-US"/>
        </w:rPr>
        <w:t>Florackis</w:t>
      </w:r>
      <w:proofErr w:type="spellEnd"/>
      <w:r w:rsidR="00C669E8" w:rsidRPr="00B35761">
        <w:rPr>
          <w:rFonts w:asciiTheme="majorBidi" w:eastAsia="Calibri" w:hAnsiTheme="majorBidi" w:cstheme="majorBidi"/>
          <w:sz w:val="24"/>
          <w:szCs w:val="24"/>
          <w:lang w:val="en-US"/>
        </w:rPr>
        <w:t>, 2014</w:t>
      </w:r>
      <w:r w:rsidR="001E0DEF" w:rsidRPr="00B35761">
        <w:rPr>
          <w:rFonts w:asciiTheme="majorBidi" w:eastAsia="SimSun" w:hAnsiTheme="majorBidi" w:cstheme="majorBidi"/>
          <w:kern w:val="3"/>
          <w:sz w:val="24"/>
          <w:szCs w:val="24"/>
        </w:rPr>
        <w:t xml:space="preserve">). For example, while </w:t>
      </w:r>
      <w:proofErr w:type="spellStart"/>
      <w:r w:rsidR="001E0DEF" w:rsidRPr="00B35761">
        <w:rPr>
          <w:rFonts w:asciiTheme="majorBidi" w:eastAsia="SimSun" w:hAnsiTheme="majorBidi" w:cstheme="majorBidi"/>
          <w:kern w:val="3"/>
          <w:sz w:val="24"/>
          <w:szCs w:val="24"/>
        </w:rPr>
        <w:t>Ozkan</w:t>
      </w:r>
      <w:proofErr w:type="spellEnd"/>
      <w:r w:rsidR="001E0DEF" w:rsidRPr="00B35761">
        <w:rPr>
          <w:rFonts w:asciiTheme="majorBidi" w:eastAsia="SimSun" w:hAnsiTheme="majorBidi" w:cstheme="majorBidi"/>
          <w:kern w:val="3"/>
          <w:sz w:val="24"/>
          <w:szCs w:val="24"/>
        </w:rPr>
        <w:t xml:space="preserve"> (2011) suggests that shareholders are likely to use less compensation packages to align their incentive with managers particularly in firms with large block-shareholders; others contend that </w:t>
      </w:r>
      <w:r w:rsidR="002D6AEA" w:rsidRPr="00B35761">
        <w:rPr>
          <w:rFonts w:asciiTheme="majorBidi" w:eastAsia="SimSun" w:hAnsiTheme="majorBidi" w:cstheme="majorBidi"/>
          <w:kern w:val="3"/>
          <w:sz w:val="24"/>
          <w:szCs w:val="24"/>
        </w:rPr>
        <w:t xml:space="preserve">block-shareholders can easily influence managerial pay (Ryan and Wiggins, 2002; </w:t>
      </w:r>
      <w:proofErr w:type="spellStart"/>
      <w:r w:rsidR="002D6AEA" w:rsidRPr="00B35761">
        <w:rPr>
          <w:rFonts w:asciiTheme="majorBidi" w:eastAsia="SimSun" w:hAnsiTheme="majorBidi" w:cstheme="majorBidi"/>
          <w:kern w:val="3"/>
          <w:sz w:val="24"/>
          <w:szCs w:val="24"/>
        </w:rPr>
        <w:t>Ntim</w:t>
      </w:r>
      <w:proofErr w:type="spellEnd"/>
      <w:r w:rsidR="002D6AEA" w:rsidRPr="00B35761">
        <w:rPr>
          <w:rFonts w:asciiTheme="majorBidi" w:eastAsia="SimSun" w:hAnsiTheme="majorBidi" w:cstheme="majorBidi"/>
          <w:kern w:val="3"/>
          <w:sz w:val="24"/>
          <w:szCs w:val="24"/>
        </w:rPr>
        <w:t xml:space="preserve"> et al., 2019)</w:t>
      </w:r>
      <w:r w:rsidR="001E0DEF" w:rsidRPr="00B35761">
        <w:rPr>
          <w:rFonts w:asciiTheme="majorBidi" w:hAnsiTheme="majorBidi" w:cstheme="majorBidi"/>
          <w:color w:val="000000"/>
          <w:sz w:val="24"/>
          <w:szCs w:val="24"/>
        </w:rPr>
        <w:t xml:space="preserve">. With this, we further argue that the existence of effective governance system will affect how managerial compensation </w:t>
      </w:r>
      <w:r w:rsidR="00FE7A59" w:rsidRPr="00B35761">
        <w:rPr>
          <w:rFonts w:asciiTheme="majorBidi" w:hAnsiTheme="majorBidi" w:cstheme="majorBidi"/>
          <w:color w:val="000000"/>
          <w:sz w:val="24"/>
          <w:szCs w:val="24"/>
        </w:rPr>
        <w:t>affect</w:t>
      </w:r>
      <w:r w:rsidR="001E0DEF" w:rsidRPr="00B35761">
        <w:rPr>
          <w:rFonts w:asciiTheme="majorBidi" w:hAnsiTheme="majorBidi" w:cstheme="majorBidi"/>
          <w:color w:val="000000"/>
          <w:sz w:val="24"/>
          <w:szCs w:val="24"/>
        </w:rPr>
        <w:t xml:space="preserve"> firm performance. </w:t>
      </w:r>
    </w:p>
    <w:p w14:paraId="5EF1022B" w14:textId="77777777" w:rsidR="006C4901" w:rsidRPr="00B35761" w:rsidRDefault="006C4901" w:rsidP="001E0DEF">
      <w:pPr>
        <w:spacing w:line="360" w:lineRule="auto"/>
        <w:jc w:val="both"/>
        <w:rPr>
          <w:rFonts w:asciiTheme="majorBidi" w:hAnsiTheme="majorBidi" w:cstheme="majorBidi"/>
          <w:color w:val="000000"/>
          <w:sz w:val="24"/>
          <w:szCs w:val="24"/>
        </w:rPr>
      </w:pPr>
    </w:p>
    <w:p w14:paraId="24A27BAE" w14:textId="477D26CF" w:rsidR="004B43BE" w:rsidRPr="00B35761" w:rsidRDefault="00C65916" w:rsidP="004B43BE">
      <w:pPr>
        <w:pStyle w:val="Heading2"/>
        <w:numPr>
          <w:ilvl w:val="0"/>
          <w:numId w:val="0"/>
        </w:numPr>
        <w:spacing w:before="240" w:after="0" w:line="360" w:lineRule="auto"/>
        <w:jc w:val="both"/>
        <w:rPr>
          <w:rFonts w:asciiTheme="majorBidi" w:hAnsiTheme="majorBidi" w:cstheme="majorBidi"/>
          <w:i/>
          <w:color w:val="000000" w:themeColor="text1"/>
          <w:sz w:val="24"/>
          <w:szCs w:val="24"/>
        </w:rPr>
      </w:pPr>
      <w:r w:rsidRPr="00B35761">
        <w:rPr>
          <w:rFonts w:asciiTheme="majorBidi" w:hAnsiTheme="majorBidi" w:cstheme="majorBidi"/>
          <w:i/>
          <w:color w:val="000000" w:themeColor="text1"/>
          <w:sz w:val="24"/>
          <w:szCs w:val="24"/>
        </w:rPr>
        <w:t>2</w:t>
      </w:r>
      <w:r w:rsidR="004B43BE" w:rsidRPr="00B35761">
        <w:rPr>
          <w:rFonts w:asciiTheme="majorBidi" w:hAnsiTheme="majorBidi" w:cstheme="majorBidi"/>
          <w:i/>
          <w:color w:val="000000" w:themeColor="text1"/>
          <w:sz w:val="24"/>
          <w:szCs w:val="24"/>
        </w:rPr>
        <w:t>.</w:t>
      </w:r>
      <w:r w:rsidRPr="00B35761">
        <w:rPr>
          <w:rFonts w:asciiTheme="majorBidi" w:hAnsiTheme="majorBidi" w:cstheme="majorBidi"/>
          <w:i/>
          <w:color w:val="000000" w:themeColor="text1"/>
          <w:sz w:val="24"/>
          <w:szCs w:val="24"/>
        </w:rPr>
        <w:t>2</w:t>
      </w:r>
      <w:r w:rsidR="004B43BE" w:rsidRPr="00B35761">
        <w:rPr>
          <w:rFonts w:asciiTheme="majorBidi" w:hAnsiTheme="majorBidi" w:cstheme="majorBidi"/>
          <w:i/>
          <w:color w:val="000000" w:themeColor="text1"/>
          <w:sz w:val="24"/>
          <w:szCs w:val="24"/>
        </w:rPr>
        <w:t xml:space="preserve">. Managerial bonus compensation and firm performance – the role of managerial ownership </w:t>
      </w:r>
    </w:p>
    <w:p w14:paraId="086F7CF5" w14:textId="74CA85C1" w:rsidR="004B43BE" w:rsidRDefault="004B43BE">
      <w:pPr>
        <w:spacing w:before="120" w:after="120" w:line="360" w:lineRule="auto"/>
        <w:jc w:val="both"/>
        <w:rPr>
          <w:rFonts w:asciiTheme="majorBidi" w:hAnsiTheme="majorBidi" w:cstheme="majorBidi"/>
          <w:color w:val="000000" w:themeColor="text1"/>
          <w:sz w:val="24"/>
          <w:szCs w:val="24"/>
        </w:rPr>
      </w:pPr>
      <w:r w:rsidRPr="00B35761">
        <w:rPr>
          <w:rFonts w:asciiTheme="majorBidi" w:hAnsiTheme="majorBidi" w:cstheme="majorBidi"/>
          <w:color w:val="000000" w:themeColor="text1"/>
          <w:sz w:val="24"/>
          <w:szCs w:val="24"/>
        </w:rPr>
        <w:t>The main idea of this study is that through efficient bonus compensation package, executives are motivated to choose value-critical policies to increase firm value. Th</w:t>
      </w:r>
      <w:r w:rsidR="00CB40C3" w:rsidRPr="00B35761">
        <w:rPr>
          <w:rFonts w:asciiTheme="majorBidi" w:hAnsiTheme="majorBidi" w:cstheme="majorBidi"/>
          <w:color w:val="000000" w:themeColor="text1"/>
          <w:sz w:val="24"/>
          <w:szCs w:val="24"/>
        </w:rPr>
        <w:t>at is,</w:t>
      </w:r>
      <w:r w:rsidRPr="00B35761">
        <w:rPr>
          <w:rFonts w:asciiTheme="majorBidi" w:hAnsiTheme="majorBidi" w:cstheme="majorBidi"/>
          <w:color w:val="000000" w:themeColor="text1"/>
          <w:sz w:val="24"/>
          <w:szCs w:val="24"/>
        </w:rPr>
        <w:t xml:space="preserve"> shareholders’ and executives’ interests are aligned via efficient compensation design (</w:t>
      </w:r>
      <w:r w:rsidR="00CB40C3" w:rsidRPr="00B35761">
        <w:rPr>
          <w:rFonts w:asciiTheme="majorBidi" w:eastAsia="Calibri" w:hAnsiTheme="majorBidi" w:cstheme="majorBidi"/>
          <w:sz w:val="24"/>
          <w:szCs w:val="24"/>
        </w:rPr>
        <w:t>Jensen &amp; Murphy</w:t>
      </w:r>
      <w:r w:rsidRPr="00B35761">
        <w:rPr>
          <w:rFonts w:asciiTheme="majorBidi" w:eastAsia="Calibri" w:hAnsiTheme="majorBidi" w:cstheme="majorBidi"/>
          <w:sz w:val="24"/>
          <w:szCs w:val="24"/>
        </w:rPr>
        <w:t>, 199</w:t>
      </w:r>
      <w:r w:rsidR="00CB40C3" w:rsidRPr="00B35761">
        <w:rPr>
          <w:rFonts w:asciiTheme="majorBidi" w:eastAsia="Calibri" w:hAnsiTheme="majorBidi" w:cstheme="majorBidi"/>
          <w:sz w:val="24"/>
          <w:szCs w:val="24"/>
        </w:rPr>
        <w:t>0</w:t>
      </w:r>
      <w:r w:rsidRPr="00B35761">
        <w:rPr>
          <w:rFonts w:asciiTheme="majorBidi" w:eastAsia="Calibri" w:hAnsiTheme="majorBidi" w:cstheme="majorBidi"/>
          <w:sz w:val="24"/>
          <w:szCs w:val="24"/>
        </w:rPr>
        <w:t>)</w:t>
      </w:r>
      <w:r w:rsidRPr="00B35761">
        <w:rPr>
          <w:rFonts w:asciiTheme="majorBidi" w:hAnsiTheme="majorBidi" w:cstheme="majorBidi"/>
          <w:color w:val="000000" w:themeColor="text1"/>
          <w:sz w:val="24"/>
          <w:szCs w:val="24"/>
        </w:rPr>
        <w:t xml:space="preserve">. Further, it has been suggested that shareholders may use less compensation incentives to align their interests with executives particularly in firms where they (executives) hold large ownership (Hartzell and Starks, 2003; </w:t>
      </w:r>
      <w:proofErr w:type="spellStart"/>
      <w:r w:rsidRPr="00B35761">
        <w:rPr>
          <w:rFonts w:asciiTheme="majorBidi" w:hAnsiTheme="majorBidi" w:cstheme="majorBidi"/>
          <w:color w:val="000000" w:themeColor="text1"/>
          <w:sz w:val="24"/>
          <w:szCs w:val="24"/>
        </w:rPr>
        <w:t>Ozkan</w:t>
      </w:r>
      <w:proofErr w:type="spellEnd"/>
      <w:r w:rsidRPr="00B35761">
        <w:rPr>
          <w:rFonts w:asciiTheme="majorBidi" w:hAnsiTheme="majorBidi" w:cstheme="majorBidi"/>
          <w:color w:val="000000" w:themeColor="text1"/>
          <w:sz w:val="24"/>
          <w:szCs w:val="24"/>
        </w:rPr>
        <w:t xml:space="preserve">, 2007; </w:t>
      </w:r>
      <w:proofErr w:type="spellStart"/>
      <w:r w:rsidRPr="00B35761">
        <w:rPr>
          <w:rFonts w:asciiTheme="majorBidi" w:eastAsia="Calibri" w:hAnsiTheme="majorBidi" w:cstheme="majorBidi"/>
          <w:sz w:val="24"/>
          <w:szCs w:val="24"/>
          <w:lang w:val="en-US"/>
        </w:rPr>
        <w:t>Janakirman</w:t>
      </w:r>
      <w:proofErr w:type="spellEnd"/>
      <w:r w:rsidRPr="00B35761">
        <w:rPr>
          <w:rFonts w:asciiTheme="majorBidi" w:eastAsia="Calibri" w:hAnsiTheme="majorBidi" w:cstheme="majorBidi"/>
          <w:sz w:val="24"/>
          <w:szCs w:val="24"/>
          <w:lang w:val="en-US"/>
        </w:rPr>
        <w:t xml:space="preserve"> </w:t>
      </w:r>
      <w:r w:rsidRPr="00B35761">
        <w:rPr>
          <w:rFonts w:asciiTheme="majorBidi" w:eastAsia="Calibri" w:hAnsiTheme="majorBidi" w:cstheme="majorBidi"/>
          <w:i/>
          <w:sz w:val="24"/>
          <w:szCs w:val="24"/>
          <w:lang w:val="en-US"/>
        </w:rPr>
        <w:t>et al.,</w:t>
      </w:r>
      <w:r w:rsidRPr="00B35761">
        <w:rPr>
          <w:rFonts w:asciiTheme="majorBidi" w:eastAsia="Calibri" w:hAnsiTheme="majorBidi" w:cstheme="majorBidi"/>
          <w:sz w:val="24"/>
          <w:szCs w:val="24"/>
          <w:lang w:val="en-US"/>
        </w:rPr>
        <w:t xml:space="preserve"> 2010</w:t>
      </w:r>
      <w:r w:rsidRPr="00B35761">
        <w:rPr>
          <w:rFonts w:asciiTheme="majorBidi" w:hAnsiTheme="majorBidi" w:cstheme="majorBidi"/>
          <w:color w:val="000000" w:themeColor="text1"/>
          <w:sz w:val="24"/>
          <w:szCs w:val="24"/>
        </w:rPr>
        <w:t>). Others also contend that executives with large ownership holdings are likely to be more entrenched in the firm. With their entrenchment power</w:t>
      </w:r>
      <w:r w:rsidR="00AE02FC">
        <w:rPr>
          <w:rFonts w:asciiTheme="majorBidi" w:hAnsiTheme="majorBidi" w:cstheme="majorBidi"/>
          <w:color w:val="000000" w:themeColor="text1"/>
          <w:sz w:val="24"/>
          <w:szCs w:val="24"/>
        </w:rPr>
        <w:t>,</w:t>
      </w:r>
      <w:r w:rsidRPr="00B35761">
        <w:rPr>
          <w:rFonts w:asciiTheme="majorBidi" w:hAnsiTheme="majorBidi" w:cstheme="majorBidi"/>
          <w:color w:val="000000" w:themeColor="text1"/>
          <w:sz w:val="24"/>
          <w:szCs w:val="24"/>
        </w:rPr>
        <w:t xml:space="preserve"> they can easily influence the board for higher bonus incentives (</w:t>
      </w:r>
      <w:proofErr w:type="spellStart"/>
      <w:r w:rsidR="004B6734" w:rsidRPr="00B35761">
        <w:rPr>
          <w:rFonts w:asciiTheme="majorBidi" w:hAnsiTheme="majorBidi" w:cstheme="majorBidi"/>
          <w:color w:val="000000" w:themeColor="text1"/>
          <w:sz w:val="24"/>
          <w:szCs w:val="24"/>
        </w:rPr>
        <w:t>Bebchuk</w:t>
      </w:r>
      <w:proofErr w:type="spellEnd"/>
      <w:r w:rsidR="004B6734" w:rsidRPr="00B35761">
        <w:rPr>
          <w:rFonts w:asciiTheme="majorBidi" w:hAnsiTheme="majorBidi" w:cstheme="majorBidi"/>
          <w:color w:val="000000" w:themeColor="text1"/>
          <w:sz w:val="24"/>
          <w:szCs w:val="24"/>
        </w:rPr>
        <w:t xml:space="preserve"> and Fried, 2003</w:t>
      </w:r>
      <w:r w:rsidRPr="00B35761">
        <w:rPr>
          <w:rFonts w:asciiTheme="majorBidi" w:hAnsiTheme="majorBidi" w:cstheme="majorBidi"/>
          <w:color w:val="000000" w:themeColor="text1"/>
          <w:sz w:val="24"/>
          <w:szCs w:val="24"/>
        </w:rPr>
        <w:t xml:space="preserve">; </w:t>
      </w:r>
      <w:proofErr w:type="spellStart"/>
      <w:r w:rsidRPr="00B35761">
        <w:rPr>
          <w:rFonts w:asciiTheme="majorBidi" w:hAnsiTheme="majorBidi" w:cstheme="majorBidi"/>
          <w:color w:val="000000" w:themeColor="text1"/>
          <w:sz w:val="24"/>
          <w:szCs w:val="24"/>
        </w:rPr>
        <w:t>Weisbach</w:t>
      </w:r>
      <w:proofErr w:type="spellEnd"/>
      <w:r w:rsidRPr="00B35761">
        <w:rPr>
          <w:rFonts w:asciiTheme="majorBidi" w:hAnsiTheme="majorBidi" w:cstheme="majorBidi"/>
          <w:color w:val="000000" w:themeColor="text1"/>
          <w:sz w:val="24"/>
          <w:szCs w:val="24"/>
        </w:rPr>
        <w:t xml:space="preserve">, 2007) and pursue policies that suit their interests (Gormley and </w:t>
      </w:r>
      <w:proofErr w:type="spellStart"/>
      <w:r w:rsidRPr="00B35761">
        <w:rPr>
          <w:rFonts w:asciiTheme="majorBidi" w:hAnsiTheme="majorBidi" w:cstheme="majorBidi"/>
          <w:color w:val="000000" w:themeColor="text1"/>
          <w:sz w:val="24"/>
          <w:szCs w:val="24"/>
        </w:rPr>
        <w:t>Matsa</w:t>
      </w:r>
      <w:proofErr w:type="spellEnd"/>
      <w:r w:rsidRPr="00B35761">
        <w:rPr>
          <w:rFonts w:asciiTheme="majorBidi" w:hAnsiTheme="majorBidi" w:cstheme="majorBidi"/>
          <w:color w:val="000000" w:themeColor="text1"/>
          <w:sz w:val="24"/>
          <w:szCs w:val="24"/>
        </w:rPr>
        <w:t xml:space="preserve">, 2016; </w:t>
      </w:r>
      <w:proofErr w:type="spellStart"/>
      <w:r w:rsidR="00B76AB2" w:rsidRPr="00B35761">
        <w:rPr>
          <w:rFonts w:asciiTheme="majorBidi" w:hAnsiTheme="majorBidi" w:cstheme="majorBidi"/>
          <w:color w:val="000000" w:themeColor="text1"/>
          <w:sz w:val="24"/>
          <w:szCs w:val="24"/>
        </w:rPr>
        <w:t>Conyon</w:t>
      </w:r>
      <w:proofErr w:type="spellEnd"/>
      <w:r w:rsidR="00B76AB2" w:rsidRPr="00B35761">
        <w:rPr>
          <w:rFonts w:asciiTheme="majorBidi" w:hAnsiTheme="majorBidi" w:cstheme="majorBidi"/>
          <w:color w:val="000000" w:themeColor="text1"/>
          <w:sz w:val="24"/>
          <w:szCs w:val="24"/>
        </w:rPr>
        <w:t xml:space="preserve"> &amp; He, 2011; </w:t>
      </w:r>
      <w:r w:rsidRPr="00B35761">
        <w:rPr>
          <w:rFonts w:asciiTheme="majorBidi" w:hAnsiTheme="majorBidi" w:cstheme="majorBidi"/>
          <w:color w:val="000000" w:themeColor="text1"/>
          <w:sz w:val="24"/>
          <w:szCs w:val="24"/>
        </w:rPr>
        <w:t>Brick</w:t>
      </w:r>
      <w:r w:rsidR="004B6734" w:rsidRPr="00B35761">
        <w:rPr>
          <w:rFonts w:asciiTheme="majorBidi" w:hAnsiTheme="majorBidi" w:cstheme="majorBidi"/>
          <w:color w:val="000000" w:themeColor="text1"/>
          <w:sz w:val="24"/>
          <w:szCs w:val="24"/>
        </w:rPr>
        <w:t xml:space="preserve"> et al., 2006</w:t>
      </w:r>
      <w:r w:rsidRPr="00B35761">
        <w:rPr>
          <w:rFonts w:asciiTheme="majorBidi" w:hAnsiTheme="majorBidi" w:cstheme="majorBidi"/>
          <w:color w:val="000000" w:themeColor="text1"/>
          <w:sz w:val="24"/>
          <w:szCs w:val="24"/>
        </w:rPr>
        <w:t xml:space="preserve">). For instance, Gormley and </w:t>
      </w:r>
      <w:proofErr w:type="spellStart"/>
      <w:r w:rsidRPr="00B35761">
        <w:rPr>
          <w:rFonts w:asciiTheme="majorBidi" w:hAnsiTheme="majorBidi" w:cstheme="majorBidi"/>
          <w:color w:val="000000" w:themeColor="text1"/>
          <w:sz w:val="24"/>
          <w:szCs w:val="24"/>
        </w:rPr>
        <w:t>Matsa</w:t>
      </w:r>
      <w:proofErr w:type="spellEnd"/>
      <w:r w:rsidRPr="00B35761">
        <w:rPr>
          <w:rFonts w:asciiTheme="majorBidi" w:hAnsiTheme="majorBidi" w:cstheme="majorBidi"/>
          <w:color w:val="000000" w:themeColor="text1"/>
          <w:sz w:val="24"/>
          <w:szCs w:val="24"/>
        </w:rPr>
        <w:t xml:space="preserve"> (2016) argue that executive may have an incentive to forgo risky but positive net present value (NPV) projects when they hold large stakes in the firm. Given that the risky policies (those relating to investment and financing) of executives determine the firm value, it is quite plausible that executive compensation in firms where executives hold large ownership stakes is likely to be inefficient in influencing value-critical decisions. With this argument, we predict that executive bonus compensation – firm value relationship is likely to be affected by the executive’s ownership holdings. Thus, we </w:t>
      </w:r>
      <w:r w:rsidR="00763F82" w:rsidRPr="00B35761">
        <w:rPr>
          <w:rFonts w:asciiTheme="majorBidi" w:hAnsiTheme="majorBidi" w:cstheme="majorBidi"/>
          <w:color w:val="000000" w:themeColor="text1"/>
          <w:sz w:val="24"/>
          <w:szCs w:val="24"/>
        </w:rPr>
        <w:t xml:space="preserve">state our second prediction as follows: </w:t>
      </w:r>
    </w:p>
    <w:p w14:paraId="69591DDA" w14:textId="77777777" w:rsidR="006C4901" w:rsidRPr="00B35761" w:rsidRDefault="006C4901">
      <w:pPr>
        <w:spacing w:before="120" w:after="120" w:line="360" w:lineRule="auto"/>
        <w:jc w:val="both"/>
        <w:rPr>
          <w:rFonts w:asciiTheme="majorBidi" w:hAnsiTheme="majorBidi" w:cstheme="majorBidi"/>
          <w:color w:val="000000" w:themeColor="text1"/>
          <w:sz w:val="24"/>
          <w:szCs w:val="24"/>
        </w:rPr>
      </w:pPr>
    </w:p>
    <w:p w14:paraId="5F502FDA" w14:textId="2224FBEA" w:rsidR="00AC2466" w:rsidRPr="00B35761" w:rsidRDefault="004B43BE" w:rsidP="001E0DEF">
      <w:pPr>
        <w:spacing w:line="360" w:lineRule="auto"/>
        <w:jc w:val="both"/>
        <w:rPr>
          <w:rFonts w:asciiTheme="majorBidi" w:hAnsiTheme="majorBidi" w:cstheme="majorBidi"/>
          <w:i/>
          <w:iCs/>
          <w:color w:val="000000"/>
          <w:sz w:val="24"/>
          <w:szCs w:val="24"/>
        </w:rPr>
      </w:pPr>
      <w:r w:rsidRPr="00B35761">
        <w:rPr>
          <w:rFonts w:asciiTheme="majorBidi" w:hAnsiTheme="majorBidi" w:cstheme="majorBidi"/>
          <w:i/>
          <w:iCs/>
          <w:color w:val="000000"/>
          <w:sz w:val="24"/>
          <w:szCs w:val="24"/>
        </w:rPr>
        <w:t xml:space="preserve">H2: The relationship between executive compensation and performance is likely to </w:t>
      </w:r>
      <w:r w:rsidR="005606B9" w:rsidRPr="00B35761">
        <w:rPr>
          <w:rFonts w:asciiTheme="majorBidi" w:hAnsiTheme="majorBidi" w:cstheme="majorBidi"/>
          <w:i/>
          <w:iCs/>
          <w:color w:val="000000"/>
          <w:sz w:val="24"/>
          <w:szCs w:val="24"/>
        </w:rPr>
        <w:t xml:space="preserve">be </w:t>
      </w:r>
      <w:r w:rsidRPr="00B35761">
        <w:rPr>
          <w:rFonts w:asciiTheme="majorBidi" w:hAnsiTheme="majorBidi" w:cstheme="majorBidi"/>
          <w:i/>
          <w:iCs/>
          <w:color w:val="000000"/>
          <w:sz w:val="24"/>
          <w:szCs w:val="24"/>
        </w:rPr>
        <w:t xml:space="preserve">accentuated by executive ownership. </w:t>
      </w:r>
    </w:p>
    <w:p w14:paraId="1005C817" w14:textId="3FEAAF0B" w:rsidR="004B43BE" w:rsidRPr="00B35761" w:rsidRDefault="004B43BE" w:rsidP="001E0DEF">
      <w:pPr>
        <w:spacing w:line="360" w:lineRule="auto"/>
        <w:jc w:val="both"/>
        <w:rPr>
          <w:rFonts w:asciiTheme="majorBidi" w:hAnsiTheme="majorBidi" w:cstheme="majorBidi"/>
          <w:color w:val="000000"/>
          <w:sz w:val="24"/>
          <w:szCs w:val="24"/>
        </w:rPr>
      </w:pPr>
    </w:p>
    <w:p w14:paraId="1B7939A1" w14:textId="07203DDE" w:rsidR="00873AD1" w:rsidRPr="00B35761" w:rsidRDefault="00C65916" w:rsidP="00873AD1">
      <w:pPr>
        <w:pStyle w:val="Heading2"/>
        <w:numPr>
          <w:ilvl w:val="0"/>
          <w:numId w:val="0"/>
        </w:numPr>
        <w:spacing w:before="240" w:after="0" w:line="360" w:lineRule="auto"/>
        <w:jc w:val="both"/>
        <w:rPr>
          <w:rFonts w:asciiTheme="majorBidi" w:hAnsiTheme="majorBidi" w:cstheme="majorBidi"/>
          <w:i/>
          <w:color w:val="000000" w:themeColor="text1"/>
          <w:sz w:val="24"/>
          <w:szCs w:val="24"/>
        </w:rPr>
      </w:pPr>
      <w:r w:rsidRPr="00B35761">
        <w:rPr>
          <w:rFonts w:asciiTheme="majorBidi" w:hAnsiTheme="majorBidi" w:cstheme="majorBidi"/>
          <w:i/>
          <w:color w:val="000000" w:themeColor="text1"/>
          <w:sz w:val="24"/>
          <w:szCs w:val="24"/>
        </w:rPr>
        <w:t>2</w:t>
      </w:r>
      <w:r w:rsidR="00873AD1" w:rsidRPr="00B35761">
        <w:rPr>
          <w:rFonts w:asciiTheme="majorBidi" w:hAnsiTheme="majorBidi" w:cstheme="majorBidi"/>
          <w:i/>
          <w:color w:val="000000" w:themeColor="text1"/>
          <w:sz w:val="24"/>
          <w:szCs w:val="24"/>
        </w:rPr>
        <w:t>.</w:t>
      </w:r>
      <w:r w:rsidRPr="00B35761">
        <w:rPr>
          <w:rFonts w:asciiTheme="majorBidi" w:hAnsiTheme="majorBidi" w:cstheme="majorBidi"/>
          <w:i/>
          <w:color w:val="000000" w:themeColor="text1"/>
          <w:sz w:val="24"/>
          <w:szCs w:val="24"/>
        </w:rPr>
        <w:t>3</w:t>
      </w:r>
      <w:r w:rsidR="00873AD1" w:rsidRPr="00B35761">
        <w:rPr>
          <w:rFonts w:asciiTheme="majorBidi" w:hAnsiTheme="majorBidi" w:cstheme="majorBidi"/>
          <w:i/>
          <w:color w:val="000000" w:themeColor="text1"/>
          <w:sz w:val="24"/>
          <w:szCs w:val="24"/>
        </w:rPr>
        <w:t xml:space="preserve">. Managerial bonus compensation and firm performance – the role of institutional ownership </w:t>
      </w:r>
    </w:p>
    <w:p w14:paraId="294A1E4D" w14:textId="50EA494B" w:rsidR="00873AD1" w:rsidRDefault="00873AD1" w:rsidP="00873AD1">
      <w:pPr>
        <w:spacing w:line="360" w:lineRule="auto"/>
        <w:jc w:val="both"/>
        <w:rPr>
          <w:rFonts w:asciiTheme="majorBidi" w:hAnsiTheme="majorBidi" w:cstheme="majorBidi"/>
          <w:color w:val="000000" w:themeColor="text1"/>
          <w:sz w:val="24"/>
          <w:szCs w:val="24"/>
        </w:rPr>
      </w:pPr>
      <w:r w:rsidRPr="00B35761">
        <w:rPr>
          <w:rFonts w:asciiTheme="majorBidi" w:eastAsia="Calibri" w:hAnsiTheme="majorBidi" w:cstheme="majorBidi"/>
          <w:sz w:val="24"/>
          <w:szCs w:val="24"/>
          <w:lang w:val="en-US"/>
        </w:rPr>
        <w:t xml:space="preserve">Compared to individual investors, institutional investors often hold a large ownership stake in their invested companies. With their large holdings stake, they may be able to restrain top executives from any expropriation </w:t>
      </w:r>
      <w:proofErr w:type="spellStart"/>
      <w:r w:rsidRPr="00B35761">
        <w:rPr>
          <w:rFonts w:asciiTheme="majorBidi" w:eastAsia="Calibri" w:hAnsiTheme="majorBidi" w:cstheme="majorBidi"/>
          <w:sz w:val="24"/>
          <w:szCs w:val="24"/>
          <w:lang w:val="en-US"/>
        </w:rPr>
        <w:t>behaviour</w:t>
      </w:r>
      <w:proofErr w:type="spellEnd"/>
      <w:r w:rsidRPr="00B35761">
        <w:rPr>
          <w:rFonts w:asciiTheme="majorBidi" w:eastAsia="Calibri" w:hAnsiTheme="majorBidi" w:cstheme="majorBidi"/>
          <w:sz w:val="24"/>
          <w:szCs w:val="24"/>
          <w:lang w:val="en-US"/>
        </w:rPr>
        <w:t xml:space="preserve"> through consumption of perquisites, awarding themselves bumper pay bonuses and other forms of </w:t>
      </w:r>
      <w:proofErr w:type="spellStart"/>
      <w:r w:rsidRPr="00B35761">
        <w:rPr>
          <w:rFonts w:asciiTheme="majorBidi" w:eastAsia="Calibri" w:hAnsiTheme="majorBidi" w:cstheme="majorBidi"/>
          <w:sz w:val="24"/>
          <w:szCs w:val="24"/>
          <w:lang w:val="en-US"/>
        </w:rPr>
        <w:t>misbehaviour</w:t>
      </w:r>
      <w:proofErr w:type="spellEnd"/>
      <w:r w:rsidRPr="00B35761">
        <w:rPr>
          <w:rFonts w:asciiTheme="majorBidi" w:eastAsia="Calibri" w:hAnsiTheme="majorBidi" w:cstheme="majorBidi"/>
          <w:sz w:val="24"/>
          <w:szCs w:val="24"/>
          <w:lang w:val="en-US"/>
        </w:rPr>
        <w:t xml:space="preserve"> that may affect corporate value (</w:t>
      </w:r>
      <w:proofErr w:type="spellStart"/>
      <w:r w:rsidR="0035770C" w:rsidRPr="00B35761">
        <w:rPr>
          <w:rFonts w:asciiTheme="majorBidi" w:eastAsia="Calibri" w:hAnsiTheme="majorBidi" w:cstheme="majorBidi"/>
          <w:sz w:val="24"/>
          <w:szCs w:val="24"/>
          <w:lang w:val="en-US"/>
        </w:rPr>
        <w:t>Ntim</w:t>
      </w:r>
      <w:proofErr w:type="spellEnd"/>
      <w:r w:rsidR="0035770C" w:rsidRPr="00B35761">
        <w:rPr>
          <w:rFonts w:asciiTheme="majorBidi" w:eastAsia="Calibri" w:hAnsiTheme="majorBidi" w:cstheme="majorBidi"/>
          <w:sz w:val="24"/>
          <w:szCs w:val="24"/>
          <w:lang w:val="en-US"/>
        </w:rPr>
        <w:t xml:space="preserve"> et al., 2019</w:t>
      </w:r>
      <w:r w:rsidRPr="00B35761">
        <w:rPr>
          <w:rFonts w:asciiTheme="majorBidi" w:eastAsia="Calibri" w:hAnsiTheme="majorBidi" w:cstheme="majorBidi"/>
          <w:sz w:val="24"/>
          <w:szCs w:val="24"/>
          <w:lang w:val="en-US"/>
        </w:rPr>
        <w:t xml:space="preserve">). For instance, in the UK, the Cadbury Report (1992) makes recommendation on the responsibilities of institutional investors as an important powerhouse to restrain managerial </w:t>
      </w:r>
      <w:proofErr w:type="spellStart"/>
      <w:r w:rsidRPr="00B35761">
        <w:rPr>
          <w:rFonts w:asciiTheme="majorBidi" w:eastAsia="Calibri" w:hAnsiTheme="majorBidi" w:cstheme="majorBidi"/>
          <w:sz w:val="24"/>
          <w:szCs w:val="24"/>
          <w:lang w:val="en-US"/>
        </w:rPr>
        <w:t>mis</w:t>
      </w:r>
      <w:r w:rsidR="00AE02FC">
        <w:rPr>
          <w:rFonts w:asciiTheme="majorBidi" w:eastAsia="Calibri" w:hAnsiTheme="majorBidi" w:cstheme="majorBidi"/>
          <w:sz w:val="24"/>
          <w:szCs w:val="24"/>
          <w:lang w:val="en-US"/>
        </w:rPr>
        <w:t>be</w:t>
      </w:r>
      <w:r w:rsidRPr="00B35761">
        <w:rPr>
          <w:rFonts w:asciiTheme="majorBidi" w:eastAsia="Calibri" w:hAnsiTheme="majorBidi" w:cstheme="majorBidi"/>
          <w:sz w:val="24"/>
          <w:szCs w:val="24"/>
          <w:lang w:val="en-US"/>
        </w:rPr>
        <w:t>haviour</w:t>
      </w:r>
      <w:proofErr w:type="spellEnd"/>
      <w:r w:rsidRPr="00B35761">
        <w:rPr>
          <w:rFonts w:asciiTheme="majorBidi" w:eastAsia="Calibri" w:hAnsiTheme="majorBidi" w:cstheme="majorBidi"/>
          <w:sz w:val="24"/>
          <w:szCs w:val="24"/>
          <w:lang w:val="en-US"/>
        </w:rPr>
        <w:t>. Following this, the UK institutional investors have become very important as their share ownership has increased and they have become more active in their ownership role (Solomon, 2010). According to the ONS (2012)</w:t>
      </w:r>
      <w:r w:rsidRPr="00B35761">
        <w:rPr>
          <w:rStyle w:val="FootnoteReference"/>
          <w:rFonts w:asciiTheme="majorBidi" w:eastAsia="Calibri" w:hAnsiTheme="majorBidi" w:cstheme="majorBidi"/>
          <w:sz w:val="24"/>
          <w:szCs w:val="24"/>
          <w:lang w:val="en-US"/>
        </w:rPr>
        <w:footnoteReference w:id="2"/>
      </w:r>
      <w:r w:rsidRPr="00B35761">
        <w:rPr>
          <w:rFonts w:asciiTheme="majorBidi" w:eastAsia="Calibri" w:hAnsiTheme="majorBidi" w:cstheme="majorBidi"/>
          <w:sz w:val="24"/>
          <w:szCs w:val="24"/>
          <w:lang w:val="en-US"/>
        </w:rPr>
        <w:t xml:space="preserve"> as of December 2012, institutional investors owned around 86.5% of UK shares compared to 30% in 1963</w:t>
      </w:r>
      <w:r w:rsidRPr="00B35761">
        <w:rPr>
          <w:rFonts w:asciiTheme="majorBidi" w:eastAsia="Calibri" w:hAnsiTheme="majorBidi" w:cstheme="majorBidi"/>
          <w:sz w:val="24"/>
          <w:szCs w:val="24"/>
        </w:rPr>
        <w:t xml:space="preserve">. </w:t>
      </w:r>
      <w:r w:rsidRPr="00B35761">
        <w:rPr>
          <w:rFonts w:asciiTheme="majorBidi" w:eastAsia="Calibri" w:hAnsiTheme="majorBidi" w:cstheme="majorBidi"/>
          <w:sz w:val="24"/>
          <w:szCs w:val="24"/>
          <w:lang w:val="en-US"/>
        </w:rPr>
        <w:t>Empirically, while some studies have found evidence to suggest effective monitoring role of institutional and block-holder shareholders on executives’ compensation</w:t>
      </w:r>
      <w:r w:rsidR="00B659D3" w:rsidRPr="00B35761">
        <w:rPr>
          <w:rFonts w:asciiTheme="majorBidi" w:eastAsia="Calibri" w:hAnsiTheme="majorBidi" w:cstheme="majorBidi"/>
          <w:sz w:val="24"/>
          <w:szCs w:val="24"/>
          <w:lang w:val="en-US"/>
        </w:rPr>
        <w:t xml:space="preserve"> (Hartzell and Starks, 2003; </w:t>
      </w:r>
      <w:proofErr w:type="spellStart"/>
      <w:r w:rsidR="00B659D3" w:rsidRPr="00B35761">
        <w:rPr>
          <w:rFonts w:asciiTheme="majorBidi" w:eastAsia="Calibri" w:hAnsiTheme="majorBidi" w:cstheme="majorBidi"/>
          <w:sz w:val="24"/>
          <w:szCs w:val="24"/>
          <w:lang w:val="en-US"/>
        </w:rPr>
        <w:t>Ozkan</w:t>
      </w:r>
      <w:proofErr w:type="spellEnd"/>
      <w:r w:rsidR="00B659D3" w:rsidRPr="00B35761">
        <w:rPr>
          <w:rFonts w:asciiTheme="majorBidi" w:eastAsia="Calibri" w:hAnsiTheme="majorBidi" w:cstheme="majorBidi"/>
          <w:sz w:val="24"/>
          <w:szCs w:val="24"/>
          <w:lang w:val="en-US"/>
        </w:rPr>
        <w:t xml:space="preserve">, 2007; Sapp, 2008), others have shown no such evidence (e.g., </w:t>
      </w:r>
      <w:proofErr w:type="spellStart"/>
      <w:r w:rsidR="00B659D3" w:rsidRPr="00B35761">
        <w:rPr>
          <w:rFonts w:asciiTheme="majorBidi" w:eastAsia="Calibri" w:hAnsiTheme="majorBidi" w:cstheme="majorBidi"/>
          <w:sz w:val="24"/>
          <w:szCs w:val="24"/>
          <w:lang w:val="en-US"/>
        </w:rPr>
        <w:t>Conyon</w:t>
      </w:r>
      <w:proofErr w:type="spellEnd"/>
      <w:r w:rsidR="00B659D3" w:rsidRPr="00B35761">
        <w:rPr>
          <w:rFonts w:asciiTheme="majorBidi" w:eastAsia="Calibri" w:hAnsiTheme="majorBidi" w:cstheme="majorBidi"/>
          <w:sz w:val="24"/>
          <w:szCs w:val="24"/>
          <w:lang w:val="en-US"/>
        </w:rPr>
        <w:t xml:space="preserve"> and Leech, 1994). Noting from the above argument, we reason that an efficient executive compensation scheme is likely to be designed particularly for those firms that have a large institutional shareholder. Th</w:t>
      </w:r>
      <w:r w:rsidR="00AE02FC">
        <w:rPr>
          <w:rFonts w:asciiTheme="majorBidi" w:eastAsia="Calibri" w:hAnsiTheme="majorBidi" w:cstheme="majorBidi"/>
          <w:sz w:val="24"/>
          <w:szCs w:val="24"/>
          <w:lang w:val="en-US"/>
        </w:rPr>
        <w:t>us,</w:t>
      </w:r>
      <w:r w:rsidR="00B659D3" w:rsidRPr="00B35761">
        <w:rPr>
          <w:rFonts w:asciiTheme="majorBidi" w:eastAsia="Calibri" w:hAnsiTheme="majorBidi" w:cstheme="majorBidi"/>
          <w:sz w:val="24"/>
          <w:szCs w:val="24"/>
          <w:lang w:val="en-US"/>
        </w:rPr>
        <w:t xml:space="preserve"> large institutional shareholders can influence efficient design of executive compensation, which may ultimately affect firm value</w:t>
      </w:r>
      <w:r w:rsidR="00CC2471" w:rsidRPr="00B35761">
        <w:rPr>
          <w:rFonts w:asciiTheme="majorBidi" w:eastAsia="Calibri" w:hAnsiTheme="majorBidi" w:cstheme="majorBidi"/>
          <w:sz w:val="24"/>
          <w:szCs w:val="24"/>
          <w:lang w:val="en-US"/>
        </w:rPr>
        <w:t xml:space="preserve"> (Ding et al., 2015)</w:t>
      </w:r>
      <w:r w:rsidR="00B659D3" w:rsidRPr="00B35761">
        <w:rPr>
          <w:rFonts w:asciiTheme="majorBidi" w:eastAsia="Calibri" w:hAnsiTheme="majorBidi" w:cstheme="majorBidi"/>
          <w:sz w:val="24"/>
          <w:szCs w:val="24"/>
          <w:lang w:val="en-US"/>
        </w:rPr>
        <w:t xml:space="preserve">. </w:t>
      </w:r>
      <w:r w:rsidR="00CC2471" w:rsidRPr="00B35761">
        <w:rPr>
          <w:rFonts w:asciiTheme="majorBidi" w:eastAsia="Calibri" w:hAnsiTheme="majorBidi" w:cstheme="majorBidi"/>
          <w:sz w:val="24"/>
          <w:szCs w:val="24"/>
          <w:lang w:val="en-US"/>
        </w:rPr>
        <w:t xml:space="preserve">In contrast, others including </w:t>
      </w:r>
      <w:proofErr w:type="spellStart"/>
      <w:r w:rsidR="00F74790" w:rsidRPr="00B35761">
        <w:rPr>
          <w:rFonts w:asciiTheme="majorBidi" w:eastAsia="Calibri" w:hAnsiTheme="majorBidi" w:cstheme="majorBidi"/>
          <w:sz w:val="24"/>
          <w:szCs w:val="24"/>
          <w:lang w:val="en-US"/>
        </w:rPr>
        <w:t>Conyon</w:t>
      </w:r>
      <w:proofErr w:type="spellEnd"/>
      <w:r w:rsidR="00F74790" w:rsidRPr="00B35761">
        <w:rPr>
          <w:rFonts w:asciiTheme="majorBidi" w:eastAsia="Calibri" w:hAnsiTheme="majorBidi" w:cstheme="majorBidi"/>
          <w:sz w:val="24"/>
          <w:szCs w:val="24"/>
          <w:lang w:val="en-US"/>
        </w:rPr>
        <w:t xml:space="preserve"> &amp; He, (2011, 2012) suggest that large shareholders and executives may connive to engage in activities to the detriment of minority shareholders. Based on</w:t>
      </w:r>
      <w:r w:rsidR="00B659D3" w:rsidRPr="00B35761">
        <w:rPr>
          <w:rFonts w:asciiTheme="majorBidi" w:eastAsia="Calibri" w:hAnsiTheme="majorBidi" w:cstheme="majorBidi"/>
          <w:sz w:val="24"/>
          <w:szCs w:val="24"/>
          <w:lang w:val="en-US"/>
        </w:rPr>
        <w:t xml:space="preserve"> th</w:t>
      </w:r>
      <w:r w:rsidR="00AE02FC">
        <w:rPr>
          <w:rFonts w:asciiTheme="majorBidi" w:eastAsia="Calibri" w:hAnsiTheme="majorBidi" w:cstheme="majorBidi"/>
          <w:sz w:val="24"/>
          <w:szCs w:val="24"/>
          <w:lang w:val="en-US"/>
        </w:rPr>
        <w:t>e</w:t>
      </w:r>
      <w:r w:rsidR="00B659D3" w:rsidRPr="00B35761">
        <w:rPr>
          <w:rFonts w:asciiTheme="majorBidi" w:eastAsia="Calibri" w:hAnsiTheme="majorBidi" w:cstheme="majorBidi"/>
          <w:sz w:val="24"/>
          <w:szCs w:val="24"/>
          <w:lang w:val="en-US"/>
        </w:rPr>
        <w:t>s</w:t>
      </w:r>
      <w:r w:rsidR="00AE02FC">
        <w:rPr>
          <w:rFonts w:asciiTheme="majorBidi" w:eastAsia="Calibri" w:hAnsiTheme="majorBidi" w:cstheme="majorBidi"/>
          <w:sz w:val="24"/>
          <w:szCs w:val="24"/>
          <w:lang w:val="en-US"/>
        </w:rPr>
        <w:t>e</w:t>
      </w:r>
      <w:r w:rsidR="00B659D3" w:rsidRPr="00B35761">
        <w:rPr>
          <w:rFonts w:asciiTheme="majorBidi" w:eastAsia="Calibri" w:hAnsiTheme="majorBidi" w:cstheme="majorBidi"/>
          <w:sz w:val="24"/>
          <w:szCs w:val="24"/>
          <w:lang w:val="en-US"/>
        </w:rPr>
        <w:t xml:space="preserve">, we </w:t>
      </w:r>
      <w:r w:rsidR="00F74790" w:rsidRPr="00B35761">
        <w:rPr>
          <w:rFonts w:asciiTheme="majorBidi" w:eastAsia="Calibri" w:hAnsiTheme="majorBidi" w:cstheme="majorBidi"/>
          <w:sz w:val="24"/>
          <w:szCs w:val="24"/>
          <w:lang w:val="en-US"/>
        </w:rPr>
        <w:t xml:space="preserve">further </w:t>
      </w:r>
      <w:r w:rsidR="00836A3E" w:rsidRPr="00B35761">
        <w:rPr>
          <w:rFonts w:asciiTheme="majorBidi" w:eastAsia="Calibri" w:hAnsiTheme="majorBidi" w:cstheme="majorBidi"/>
          <w:sz w:val="24"/>
          <w:szCs w:val="24"/>
          <w:lang w:val="en-US"/>
        </w:rPr>
        <w:t>argue</w:t>
      </w:r>
      <w:r w:rsidR="00B659D3" w:rsidRPr="00B35761">
        <w:rPr>
          <w:rFonts w:asciiTheme="majorBidi" w:eastAsia="Calibri" w:hAnsiTheme="majorBidi" w:cstheme="majorBidi"/>
          <w:sz w:val="24"/>
          <w:szCs w:val="24"/>
          <w:lang w:val="en-US"/>
        </w:rPr>
        <w:t xml:space="preserve"> that executive compensation in firms with large institutional shareholders are likely to be </w:t>
      </w:r>
      <w:r w:rsidR="00836A3E" w:rsidRPr="00B35761">
        <w:rPr>
          <w:rFonts w:asciiTheme="majorBidi" w:eastAsia="Calibri" w:hAnsiTheme="majorBidi" w:cstheme="majorBidi"/>
          <w:sz w:val="24"/>
          <w:szCs w:val="24"/>
          <w:lang w:val="en-US"/>
        </w:rPr>
        <w:t>affected.</w:t>
      </w:r>
      <w:r w:rsidR="00B659D3" w:rsidRPr="00B35761">
        <w:rPr>
          <w:rFonts w:asciiTheme="majorBidi" w:eastAsia="Calibri" w:hAnsiTheme="majorBidi" w:cstheme="majorBidi"/>
          <w:sz w:val="24"/>
          <w:szCs w:val="24"/>
          <w:lang w:val="en-US"/>
        </w:rPr>
        <w:t xml:space="preserve"> </w:t>
      </w:r>
      <w:r w:rsidR="00B659D3" w:rsidRPr="00B35761">
        <w:rPr>
          <w:rFonts w:asciiTheme="majorBidi" w:hAnsiTheme="majorBidi" w:cstheme="majorBidi"/>
          <w:color w:val="000000" w:themeColor="text1"/>
          <w:sz w:val="24"/>
          <w:szCs w:val="24"/>
        </w:rPr>
        <w:t xml:space="preserve">Thus, we </w:t>
      </w:r>
      <w:r w:rsidR="00836A3E" w:rsidRPr="00B35761">
        <w:rPr>
          <w:rFonts w:asciiTheme="majorBidi" w:hAnsiTheme="majorBidi" w:cstheme="majorBidi"/>
          <w:color w:val="000000" w:themeColor="text1"/>
          <w:sz w:val="24"/>
          <w:szCs w:val="24"/>
        </w:rPr>
        <w:t>conjecture</w:t>
      </w:r>
      <w:r w:rsidR="00B659D3" w:rsidRPr="00B35761">
        <w:rPr>
          <w:rFonts w:asciiTheme="majorBidi" w:hAnsiTheme="majorBidi" w:cstheme="majorBidi"/>
          <w:color w:val="000000" w:themeColor="text1"/>
          <w:sz w:val="24"/>
          <w:szCs w:val="24"/>
        </w:rPr>
        <w:t xml:space="preserve"> th</w:t>
      </w:r>
      <w:r w:rsidR="00836A3E" w:rsidRPr="00B35761">
        <w:rPr>
          <w:rFonts w:asciiTheme="majorBidi" w:hAnsiTheme="majorBidi" w:cstheme="majorBidi"/>
          <w:color w:val="000000" w:themeColor="text1"/>
          <w:sz w:val="24"/>
          <w:szCs w:val="24"/>
        </w:rPr>
        <w:t>at</w:t>
      </w:r>
      <w:r w:rsidR="00B659D3" w:rsidRPr="00B35761">
        <w:rPr>
          <w:rFonts w:asciiTheme="majorBidi" w:hAnsiTheme="majorBidi" w:cstheme="majorBidi"/>
          <w:color w:val="000000" w:themeColor="text1"/>
          <w:sz w:val="24"/>
          <w:szCs w:val="24"/>
        </w:rPr>
        <w:t xml:space="preserve"> </w:t>
      </w:r>
      <w:r w:rsidR="00836A3E" w:rsidRPr="00B35761">
        <w:rPr>
          <w:rFonts w:asciiTheme="majorBidi" w:hAnsiTheme="majorBidi" w:cstheme="majorBidi"/>
          <w:color w:val="000000" w:themeColor="text1"/>
          <w:sz w:val="24"/>
          <w:szCs w:val="24"/>
        </w:rPr>
        <w:t>executive compensation – performance is likely to be affected by</w:t>
      </w:r>
      <w:r w:rsidR="00B659D3" w:rsidRPr="00B35761">
        <w:rPr>
          <w:rFonts w:asciiTheme="majorBidi" w:hAnsiTheme="majorBidi" w:cstheme="majorBidi"/>
          <w:color w:val="000000" w:themeColor="text1"/>
          <w:sz w:val="24"/>
          <w:szCs w:val="24"/>
        </w:rPr>
        <w:t xml:space="preserve"> </w:t>
      </w:r>
      <w:r w:rsidR="00836A3E" w:rsidRPr="00B35761">
        <w:rPr>
          <w:rFonts w:asciiTheme="majorBidi" w:hAnsiTheme="majorBidi" w:cstheme="majorBidi"/>
          <w:color w:val="000000" w:themeColor="text1"/>
          <w:sz w:val="24"/>
          <w:szCs w:val="24"/>
        </w:rPr>
        <w:t xml:space="preserve">the level of </w:t>
      </w:r>
      <w:r w:rsidR="00B659D3" w:rsidRPr="00B35761">
        <w:rPr>
          <w:rFonts w:asciiTheme="majorBidi" w:hAnsiTheme="majorBidi" w:cstheme="majorBidi"/>
          <w:color w:val="000000" w:themeColor="text1"/>
          <w:sz w:val="24"/>
          <w:szCs w:val="24"/>
        </w:rPr>
        <w:t>institutional sharehold</w:t>
      </w:r>
      <w:r w:rsidR="00836A3E" w:rsidRPr="00B35761">
        <w:rPr>
          <w:rFonts w:asciiTheme="majorBidi" w:hAnsiTheme="majorBidi" w:cstheme="majorBidi"/>
          <w:color w:val="000000" w:themeColor="text1"/>
          <w:sz w:val="24"/>
          <w:szCs w:val="24"/>
        </w:rPr>
        <w:t xml:space="preserve">ings. </w:t>
      </w:r>
      <w:r w:rsidR="00B659D3" w:rsidRPr="00B35761">
        <w:rPr>
          <w:rFonts w:asciiTheme="majorBidi" w:hAnsiTheme="majorBidi" w:cstheme="majorBidi"/>
          <w:color w:val="000000" w:themeColor="text1"/>
          <w:sz w:val="24"/>
          <w:szCs w:val="24"/>
        </w:rPr>
        <w:t xml:space="preserve"> </w:t>
      </w:r>
    </w:p>
    <w:p w14:paraId="18848A5A" w14:textId="77777777" w:rsidR="00C85FD2" w:rsidRPr="00B35761" w:rsidRDefault="00C85FD2" w:rsidP="00873AD1">
      <w:pPr>
        <w:spacing w:line="360" w:lineRule="auto"/>
        <w:jc w:val="both"/>
        <w:rPr>
          <w:rFonts w:asciiTheme="majorBidi" w:hAnsiTheme="majorBidi" w:cstheme="majorBidi"/>
          <w:color w:val="000000"/>
          <w:sz w:val="24"/>
          <w:szCs w:val="24"/>
        </w:rPr>
      </w:pPr>
    </w:p>
    <w:p w14:paraId="04FB8359" w14:textId="4238EF85" w:rsidR="00873AD1" w:rsidRDefault="00B659D3" w:rsidP="001E0DEF">
      <w:pPr>
        <w:spacing w:line="360" w:lineRule="auto"/>
        <w:jc w:val="both"/>
        <w:rPr>
          <w:rFonts w:asciiTheme="majorBidi" w:hAnsiTheme="majorBidi" w:cstheme="majorBidi"/>
          <w:i/>
          <w:iCs/>
          <w:color w:val="000000"/>
          <w:sz w:val="24"/>
          <w:szCs w:val="24"/>
        </w:rPr>
      </w:pPr>
      <w:r w:rsidRPr="00B35761">
        <w:rPr>
          <w:rFonts w:asciiTheme="majorBidi" w:hAnsiTheme="majorBidi" w:cstheme="majorBidi"/>
          <w:i/>
          <w:iCs/>
          <w:color w:val="000000"/>
          <w:sz w:val="24"/>
          <w:szCs w:val="24"/>
        </w:rPr>
        <w:t>H3: Executive compensation and performance is likely to moderated</w:t>
      </w:r>
      <w:r w:rsidR="00836A3E" w:rsidRPr="00B35761">
        <w:rPr>
          <w:rFonts w:asciiTheme="majorBidi" w:hAnsiTheme="majorBidi" w:cstheme="majorBidi"/>
          <w:i/>
          <w:iCs/>
          <w:color w:val="000000"/>
          <w:sz w:val="24"/>
          <w:szCs w:val="24"/>
        </w:rPr>
        <w:t xml:space="preserve"> or accentuated</w:t>
      </w:r>
      <w:r w:rsidRPr="00B35761">
        <w:rPr>
          <w:rFonts w:asciiTheme="majorBidi" w:hAnsiTheme="majorBidi" w:cstheme="majorBidi"/>
          <w:i/>
          <w:iCs/>
          <w:color w:val="000000"/>
          <w:sz w:val="24"/>
          <w:szCs w:val="24"/>
        </w:rPr>
        <w:t xml:space="preserve"> by institutional ownership. </w:t>
      </w:r>
    </w:p>
    <w:p w14:paraId="1D49A426" w14:textId="77777777" w:rsidR="006C4901" w:rsidRPr="00B35761" w:rsidRDefault="006C4901" w:rsidP="001E0DEF">
      <w:pPr>
        <w:spacing w:line="360" w:lineRule="auto"/>
        <w:jc w:val="both"/>
        <w:rPr>
          <w:rFonts w:asciiTheme="majorBidi" w:hAnsiTheme="majorBidi" w:cstheme="majorBidi"/>
          <w:i/>
          <w:iCs/>
          <w:color w:val="000000"/>
          <w:sz w:val="24"/>
          <w:szCs w:val="24"/>
        </w:rPr>
      </w:pPr>
    </w:p>
    <w:p w14:paraId="79D110F8" w14:textId="75F3EC9D" w:rsidR="00FF741F" w:rsidRPr="00B35761" w:rsidRDefault="00C65916" w:rsidP="00FF741F">
      <w:pPr>
        <w:pStyle w:val="Heading2"/>
        <w:numPr>
          <w:ilvl w:val="0"/>
          <w:numId w:val="0"/>
        </w:numPr>
        <w:spacing w:before="240" w:after="0" w:line="360" w:lineRule="auto"/>
        <w:jc w:val="both"/>
        <w:rPr>
          <w:rFonts w:asciiTheme="majorBidi" w:hAnsiTheme="majorBidi" w:cstheme="majorBidi"/>
          <w:i/>
          <w:color w:val="000000" w:themeColor="text1"/>
          <w:sz w:val="24"/>
          <w:szCs w:val="24"/>
        </w:rPr>
      </w:pPr>
      <w:r w:rsidRPr="00B35761">
        <w:rPr>
          <w:rFonts w:asciiTheme="majorBidi" w:hAnsiTheme="majorBidi" w:cstheme="majorBidi"/>
          <w:i/>
          <w:color w:val="000000" w:themeColor="text1"/>
          <w:sz w:val="24"/>
          <w:szCs w:val="24"/>
        </w:rPr>
        <w:t>2</w:t>
      </w:r>
      <w:r w:rsidR="00FF741F" w:rsidRPr="00B35761">
        <w:rPr>
          <w:rFonts w:asciiTheme="majorBidi" w:hAnsiTheme="majorBidi" w:cstheme="majorBidi"/>
          <w:i/>
          <w:color w:val="000000" w:themeColor="text1"/>
          <w:sz w:val="24"/>
          <w:szCs w:val="24"/>
        </w:rPr>
        <w:t>.</w:t>
      </w:r>
      <w:r w:rsidRPr="00B35761">
        <w:rPr>
          <w:rFonts w:asciiTheme="majorBidi" w:hAnsiTheme="majorBidi" w:cstheme="majorBidi"/>
          <w:i/>
          <w:color w:val="000000" w:themeColor="text1"/>
          <w:sz w:val="24"/>
          <w:szCs w:val="24"/>
        </w:rPr>
        <w:t>4</w:t>
      </w:r>
      <w:r w:rsidR="00FF741F" w:rsidRPr="00B35761">
        <w:rPr>
          <w:rFonts w:asciiTheme="majorBidi" w:hAnsiTheme="majorBidi" w:cstheme="majorBidi"/>
          <w:i/>
          <w:color w:val="000000" w:themeColor="text1"/>
          <w:sz w:val="24"/>
          <w:szCs w:val="24"/>
        </w:rPr>
        <w:t xml:space="preserve">. Managerial bonus compensation and firm performance – the role of board size  </w:t>
      </w:r>
    </w:p>
    <w:p w14:paraId="4D6F74D9" w14:textId="4CEC6B16" w:rsidR="00FF741F" w:rsidRDefault="00FF741F" w:rsidP="00FF741F">
      <w:pPr>
        <w:spacing w:line="360" w:lineRule="auto"/>
        <w:jc w:val="both"/>
        <w:rPr>
          <w:rFonts w:asciiTheme="majorBidi" w:hAnsiTheme="majorBidi" w:cstheme="majorBidi"/>
          <w:color w:val="000000" w:themeColor="text1"/>
          <w:sz w:val="24"/>
          <w:szCs w:val="24"/>
        </w:rPr>
      </w:pPr>
      <w:r w:rsidRPr="00B35761">
        <w:rPr>
          <w:rFonts w:asciiTheme="majorBidi" w:eastAsia="Calibri" w:hAnsiTheme="majorBidi" w:cstheme="majorBidi"/>
          <w:sz w:val="24"/>
          <w:szCs w:val="24"/>
        </w:rPr>
        <w:t xml:space="preserve">The board of directors on behalf of shareholders monitor and design management compensation incentives. Such role has implications for effective monitoring of management through compensation scheme and the ultimate firm value (Cole </w:t>
      </w:r>
      <w:r w:rsidRPr="00B35761">
        <w:rPr>
          <w:rFonts w:asciiTheme="majorBidi" w:eastAsia="Calibri" w:hAnsiTheme="majorBidi" w:cstheme="majorBidi"/>
          <w:i/>
          <w:sz w:val="24"/>
          <w:szCs w:val="24"/>
        </w:rPr>
        <w:t>et al.</w:t>
      </w:r>
      <w:r w:rsidRPr="00B35761">
        <w:rPr>
          <w:rFonts w:asciiTheme="majorBidi" w:eastAsia="Calibri" w:hAnsiTheme="majorBidi" w:cstheme="majorBidi"/>
          <w:sz w:val="24"/>
          <w:szCs w:val="24"/>
        </w:rPr>
        <w:t xml:space="preserve">, 2008; </w:t>
      </w:r>
      <w:proofErr w:type="spellStart"/>
      <w:r w:rsidRPr="00B35761">
        <w:rPr>
          <w:rFonts w:asciiTheme="majorBidi" w:eastAsia="Calibri" w:hAnsiTheme="majorBidi" w:cstheme="majorBidi"/>
          <w:sz w:val="24"/>
          <w:szCs w:val="24"/>
        </w:rPr>
        <w:t>Ozkan</w:t>
      </w:r>
      <w:proofErr w:type="spellEnd"/>
      <w:r w:rsidRPr="00B35761">
        <w:rPr>
          <w:rFonts w:asciiTheme="majorBidi" w:eastAsia="Calibri" w:hAnsiTheme="majorBidi" w:cstheme="majorBidi"/>
          <w:sz w:val="24"/>
          <w:szCs w:val="24"/>
        </w:rPr>
        <w:t xml:space="preserve">, 2007). </w:t>
      </w:r>
      <w:r w:rsidR="001158E8">
        <w:rPr>
          <w:rFonts w:asciiTheme="majorBidi" w:eastAsia="Calibri" w:hAnsiTheme="majorBidi" w:cstheme="majorBidi"/>
          <w:sz w:val="24"/>
          <w:szCs w:val="24"/>
        </w:rPr>
        <w:t>P</w:t>
      </w:r>
      <w:r w:rsidRPr="00B35761">
        <w:rPr>
          <w:rFonts w:asciiTheme="majorBidi" w:eastAsia="Calibri" w:hAnsiTheme="majorBidi" w:cstheme="majorBidi"/>
          <w:sz w:val="24"/>
          <w:szCs w:val="24"/>
        </w:rPr>
        <w:t>rior studies show that the shareholders (via the board) in firms with large board size use more compensation incentives to motivate top executives (</w:t>
      </w:r>
      <w:proofErr w:type="spellStart"/>
      <w:r w:rsidRPr="00B35761">
        <w:rPr>
          <w:rFonts w:asciiTheme="majorBidi" w:eastAsia="Calibri" w:hAnsiTheme="majorBidi" w:cstheme="majorBidi"/>
          <w:sz w:val="24"/>
          <w:szCs w:val="24"/>
        </w:rPr>
        <w:t>Ozkan</w:t>
      </w:r>
      <w:proofErr w:type="spellEnd"/>
      <w:r w:rsidRPr="00B35761">
        <w:rPr>
          <w:rFonts w:asciiTheme="majorBidi" w:eastAsia="Calibri" w:hAnsiTheme="majorBidi" w:cstheme="majorBidi"/>
          <w:sz w:val="24"/>
          <w:szCs w:val="24"/>
        </w:rPr>
        <w:t>, 2007). In contrast, others report that larger boards have minimal effects on managerial compensation design (</w:t>
      </w:r>
      <w:proofErr w:type="spellStart"/>
      <w:r w:rsidRPr="00B35761">
        <w:rPr>
          <w:rFonts w:asciiTheme="majorBidi" w:eastAsia="Calibri" w:hAnsiTheme="majorBidi" w:cstheme="majorBidi"/>
          <w:sz w:val="24"/>
          <w:szCs w:val="24"/>
        </w:rPr>
        <w:t>Ozdemir</w:t>
      </w:r>
      <w:proofErr w:type="spellEnd"/>
      <w:r w:rsidRPr="00B35761">
        <w:rPr>
          <w:rFonts w:asciiTheme="majorBidi" w:eastAsia="Calibri" w:hAnsiTheme="majorBidi" w:cstheme="majorBidi"/>
          <w:sz w:val="24"/>
          <w:szCs w:val="24"/>
        </w:rPr>
        <w:t xml:space="preserve"> and </w:t>
      </w:r>
      <w:proofErr w:type="spellStart"/>
      <w:r w:rsidRPr="00B35761">
        <w:rPr>
          <w:rFonts w:asciiTheme="majorBidi" w:eastAsia="Calibri" w:hAnsiTheme="majorBidi" w:cstheme="majorBidi"/>
          <w:sz w:val="24"/>
          <w:szCs w:val="24"/>
        </w:rPr>
        <w:t>Upneja</w:t>
      </w:r>
      <w:proofErr w:type="spellEnd"/>
      <w:r w:rsidRPr="00B35761">
        <w:rPr>
          <w:rFonts w:asciiTheme="majorBidi" w:eastAsia="Calibri" w:hAnsiTheme="majorBidi" w:cstheme="majorBidi"/>
          <w:sz w:val="24"/>
          <w:szCs w:val="24"/>
        </w:rPr>
        <w:t>, 2012). The authors argue that larger boards are less effective in coordinating and monitoring managerial activities. Given that</w:t>
      </w:r>
      <w:r w:rsidRPr="00B35761">
        <w:rPr>
          <w:rFonts w:asciiTheme="majorBidi" w:eastAsia="Calibri" w:hAnsiTheme="majorBidi" w:cstheme="majorBidi"/>
          <w:sz w:val="24"/>
          <w:szCs w:val="24"/>
          <w:lang w:val="en-US"/>
        </w:rPr>
        <w:t xml:space="preserve"> the boards can influence executive compensation design, it is likely that executives in firms with large boards may efficiently design compensation to influence managers to increase firm’s value. </w:t>
      </w:r>
      <w:r w:rsidRPr="00B35761">
        <w:rPr>
          <w:rFonts w:asciiTheme="majorBidi" w:hAnsiTheme="majorBidi" w:cstheme="majorBidi"/>
          <w:color w:val="000000" w:themeColor="text1"/>
          <w:sz w:val="24"/>
          <w:szCs w:val="24"/>
        </w:rPr>
        <w:t>Thus, in this section, we further examine the extent to which board size affects executive bonus compensation–firm value relationship.</w:t>
      </w:r>
      <w:r w:rsidR="001C578F" w:rsidRPr="00B35761">
        <w:rPr>
          <w:rFonts w:asciiTheme="majorBidi" w:hAnsiTheme="majorBidi" w:cstheme="majorBidi"/>
          <w:color w:val="000000" w:themeColor="text1"/>
          <w:sz w:val="24"/>
          <w:szCs w:val="24"/>
        </w:rPr>
        <w:t xml:space="preserve"> We make our fourth prediction:</w:t>
      </w:r>
    </w:p>
    <w:p w14:paraId="191A36D2" w14:textId="77777777" w:rsidR="00C85FD2" w:rsidRPr="00B35761" w:rsidRDefault="00C85FD2" w:rsidP="00FF741F">
      <w:pPr>
        <w:spacing w:line="360" w:lineRule="auto"/>
        <w:jc w:val="both"/>
        <w:rPr>
          <w:rFonts w:asciiTheme="majorBidi" w:hAnsiTheme="majorBidi" w:cstheme="majorBidi"/>
          <w:color w:val="000000" w:themeColor="text1"/>
          <w:sz w:val="24"/>
          <w:szCs w:val="24"/>
        </w:rPr>
      </w:pPr>
    </w:p>
    <w:p w14:paraId="2B1CE094" w14:textId="3A3E908F" w:rsidR="000738AE" w:rsidRDefault="00FF741F" w:rsidP="001E0DEF">
      <w:pPr>
        <w:spacing w:line="360" w:lineRule="auto"/>
        <w:jc w:val="both"/>
        <w:rPr>
          <w:rFonts w:asciiTheme="majorBidi" w:hAnsiTheme="majorBidi" w:cstheme="majorBidi"/>
          <w:i/>
          <w:iCs/>
          <w:color w:val="000000"/>
          <w:sz w:val="24"/>
          <w:szCs w:val="24"/>
        </w:rPr>
      </w:pPr>
      <w:r w:rsidRPr="00B35761">
        <w:rPr>
          <w:rFonts w:asciiTheme="majorBidi" w:hAnsiTheme="majorBidi" w:cstheme="majorBidi"/>
          <w:i/>
          <w:iCs/>
          <w:color w:val="000000"/>
          <w:sz w:val="24"/>
          <w:szCs w:val="24"/>
        </w:rPr>
        <w:t xml:space="preserve">H4: Executive compensation and performance is likely to </w:t>
      </w:r>
      <w:r w:rsidR="00372451">
        <w:rPr>
          <w:rFonts w:asciiTheme="majorBidi" w:hAnsiTheme="majorBidi" w:cstheme="majorBidi"/>
          <w:i/>
          <w:iCs/>
          <w:color w:val="000000"/>
          <w:sz w:val="24"/>
          <w:szCs w:val="24"/>
        </w:rPr>
        <w:t xml:space="preserve">be </w:t>
      </w:r>
      <w:r w:rsidRPr="00B35761">
        <w:rPr>
          <w:rFonts w:asciiTheme="majorBidi" w:hAnsiTheme="majorBidi" w:cstheme="majorBidi"/>
          <w:i/>
          <w:iCs/>
          <w:color w:val="000000"/>
          <w:sz w:val="24"/>
          <w:szCs w:val="24"/>
        </w:rPr>
        <w:t xml:space="preserve">moderated by board size. </w:t>
      </w:r>
    </w:p>
    <w:p w14:paraId="0D3CA009" w14:textId="77777777" w:rsidR="00561C53" w:rsidRPr="00561C53" w:rsidRDefault="00561C53" w:rsidP="001E0DEF">
      <w:pPr>
        <w:spacing w:line="360" w:lineRule="auto"/>
        <w:jc w:val="both"/>
        <w:rPr>
          <w:rFonts w:asciiTheme="majorBidi" w:hAnsiTheme="majorBidi" w:cstheme="majorBidi"/>
          <w:i/>
          <w:iCs/>
          <w:color w:val="000000"/>
          <w:sz w:val="24"/>
          <w:szCs w:val="24"/>
        </w:rPr>
      </w:pPr>
    </w:p>
    <w:p w14:paraId="03B32031" w14:textId="0566BC78" w:rsidR="00FF741F" w:rsidRPr="00B35761" w:rsidRDefault="00C65916" w:rsidP="00FF741F">
      <w:pPr>
        <w:pStyle w:val="Heading2"/>
        <w:numPr>
          <w:ilvl w:val="0"/>
          <w:numId w:val="0"/>
        </w:numPr>
        <w:spacing w:before="240" w:after="0" w:line="360" w:lineRule="auto"/>
        <w:jc w:val="both"/>
        <w:rPr>
          <w:rFonts w:asciiTheme="majorBidi" w:hAnsiTheme="majorBidi" w:cstheme="majorBidi"/>
          <w:i/>
          <w:color w:val="000000" w:themeColor="text1"/>
          <w:sz w:val="24"/>
          <w:szCs w:val="24"/>
        </w:rPr>
      </w:pPr>
      <w:r w:rsidRPr="00B35761">
        <w:rPr>
          <w:rFonts w:asciiTheme="majorBidi" w:hAnsiTheme="majorBidi" w:cstheme="majorBidi"/>
          <w:i/>
          <w:color w:val="000000" w:themeColor="text1"/>
          <w:sz w:val="24"/>
          <w:szCs w:val="24"/>
        </w:rPr>
        <w:t>2</w:t>
      </w:r>
      <w:r w:rsidR="00FF741F" w:rsidRPr="00B35761">
        <w:rPr>
          <w:rFonts w:asciiTheme="majorBidi" w:hAnsiTheme="majorBidi" w:cstheme="majorBidi"/>
          <w:i/>
          <w:color w:val="000000" w:themeColor="text1"/>
          <w:sz w:val="24"/>
          <w:szCs w:val="24"/>
        </w:rPr>
        <w:t>.</w:t>
      </w:r>
      <w:r w:rsidRPr="00B35761">
        <w:rPr>
          <w:rFonts w:asciiTheme="majorBidi" w:hAnsiTheme="majorBidi" w:cstheme="majorBidi"/>
          <w:i/>
          <w:color w:val="000000" w:themeColor="text1"/>
          <w:sz w:val="24"/>
          <w:szCs w:val="24"/>
        </w:rPr>
        <w:t>5</w:t>
      </w:r>
      <w:r w:rsidR="00FF741F" w:rsidRPr="00B35761">
        <w:rPr>
          <w:rFonts w:asciiTheme="majorBidi" w:hAnsiTheme="majorBidi" w:cstheme="majorBidi"/>
          <w:i/>
          <w:color w:val="000000" w:themeColor="text1"/>
          <w:sz w:val="24"/>
          <w:szCs w:val="24"/>
        </w:rPr>
        <w:t xml:space="preserve">. Managerial bonus compensation and firm performance – the role of non-executive board  </w:t>
      </w:r>
    </w:p>
    <w:p w14:paraId="09E6BA1E" w14:textId="5AF6B9BD" w:rsidR="00FF741F" w:rsidRDefault="00FF741F">
      <w:pPr>
        <w:spacing w:line="360" w:lineRule="auto"/>
        <w:jc w:val="both"/>
        <w:rPr>
          <w:rFonts w:asciiTheme="majorBidi" w:eastAsia="Calibri" w:hAnsiTheme="majorBidi" w:cstheme="majorBidi"/>
          <w:sz w:val="24"/>
          <w:szCs w:val="24"/>
        </w:rPr>
      </w:pPr>
      <w:r w:rsidRPr="00B35761">
        <w:rPr>
          <w:rFonts w:asciiTheme="majorBidi" w:eastAsia="Calibri" w:hAnsiTheme="majorBidi" w:cstheme="majorBidi"/>
          <w:sz w:val="24"/>
          <w:szCs w:val="24"/>
        </w:rPr>
        <w:t xml:space="preserve">Non-executive directors play a crucial role </w:t>
      </w:r>
      <w:r w:rsidR="001158E8">
        <w:rPr>
          <w:rFonts w:asciiTheme="majorBidi" w:eastAsia="Calibri" w:hAnsiTheme="majorBidi" w:cstheme="majorBidi"/>
          <w:sz w:val="24"/>
          <w:szCs w:val="24"/>
        </w:rPr>
        <w:t xml:space="preserve">in </w:t>
      </w:r>
      <w:r w:rsidRPr="00B35761">
        <w:rPr>
          <w:rFonts w:asciiTheme="majorBidi" w:eastAsia="Calibri" w:hAnsiTheme="majorBidi" w:cstheme="majorBidi"/>
          <w:sz w:val="24"/>
          <w:szCs w:val="24"/>
        </w:rPr>
        <w:t xml:space="preserve">influencing executives’ pay and the ultimate managerial value-enhancing corporate decisions (Mehran, 1995). In the UK, the Hampel Report (1998) highlights the responsibilities of non-executive directors in influencing </w:t>
      </w:r>
      <w:r w:rsidR="001158E8" w:rsidRPr="00B35761">
        <w:rPr>
          <w:rFonts w:asciiTheme="majorBidi" w:eastAsia="Calibri" w:hAnsiTheme="majorBidi" w:cstheme="majorBidi"/>
          <w:sz w:val="24"/>
          <w:szCs w:val="24"/>
        </w:rPr>
        <w:t>managers’</w:t>
      </w:r>
      <w:r w:rsidRPr="00B35761">
        <w:rPr>
          <w:rFonts w:asciiTheme="majorBidi" w:eastAsia="Calibri" w:hAnsiTheme="majorBidi" w:cstheme="majorBidi"/>
          <w:sz w:val="24"/>
          <w:szCs w:val="24"/>
        </w:rPr>
        <w:t xml:space="preserve"> decisions to achieve shareholders value maximization. For instance, Mehran (1995) argues that outsider (non-executives) dominated boards are more aligned with shareholders’ interests. That is, the outsiders through efficient compensation design can induce managers to select value-maximizing activities. Based on the above discussion</w:t>
      </w:r>
      <w:r w:rsidR="001158E8">
        <w:rPr>
          <w:rFonts w:asciiTheme="majorBidi" w:eastAsia="Calibri" w:hAnsiTheme="majorBidi" w:cstheme="majorBidi"/>
          <w:sz w:val="24"/>
          <w:szCs w:val="24"/>
        </w:rPr>
        <w:t>s</w:t>
      </w:r>
      <w:r w:rsidRPr="00B35761">
        <w:rPr>
          <w:rFonts w:asciiTheme="majorBidi" w:eastAsia="Calibri" w:hAnsiTheme="majorBidi" w:cstheme="majorBidi"/>
          <w:sz w:val="24"/>
          <w:szCs w:val="24"/>
        </w:rPr>
        <w:t xml:space="preserve">, we further predict that non-executive directors may be able to influence managerial activities thereby increase corporate value. </w:t>
      </w:r>
    </w:p>
    <w:p w14:paraId="46407DF9" w14:textId="77777777" w:rsidR="00C85FD2" w:rsidRPr="00B35761" w:rsidRDefault="00C85FD2">
      <w:pPr>
        <w:spacing w:line="360" w:lineRule="auto"/>
        <w:jc w:val="both"/>
        <w:rPr>
          <w:rFonts w:asciiTheme="majorBidi" w:eastAsia="Calibri" w:hAnsiTheme="majorBidi" w:cstheme="majorBidi"/>
          <w:sz w:val="24"/>
          <w:szCs w:val="24"/>
        </w:rPr>
      </w:pPr>
    </w:p>
    <w:p w14:paraId="5FD358F8" w14:textId="396FF95D" w:rsidR="00FF741F" w:rsidRPr="00B35761" w:rsidRDefault="00FF741F" w:rsidP="00FF741F">
      <w:pPr>
        <w:spacing w:line="360" w:lineRule="auto"/>
        <w:jc w:val="both"/>
        <w:rPr>
          <w:rFonts w:asciiTheme="majorBidi" w:hAnsiTheme="majorBidi" w:cstheme="majorBidi"/>
          <w:i/>
          <w:iCs/>
          <w:color w:val="000000"/>
          <w:sz w:val="24"/>
          <w:szCs w:val="24"/>
        </w:rPr>
      </w:pPr>
      <w:r w:rsidRPr="00B35761">
        <w:rPr>
          <w:rFonts w:asciiTheme="majorBidi" w:hAnsiTheme="majorBidi" w:cstheme="majorBidi"/>
          <w:i/>
          <w:iCs/>
          <w:color w:val="000000"/>
          <w:sz w:val="24"/>
          <w:szCs w:val="24"/>
        </w:rPr>
        <w:t xml:space="preserve">H5: </w:t>
      </w:r>
      <w:r w:rsidR="00483A27" w:rsidRPr="00B35761">
        <w:rPr>
          <w:rFonts w:asciiTheme="majorBidi" w:hAnsiTheme="majorBidi" w:cstheme="majorBidi"/>
          <w:i/>
          <w:iCs/>
          <w:color w:val="000000"/>
          <w:sz w:val="24"/>
          <w:szCs w:val="24"/>
        </w:rPr>
        <w:t>The number of non-</w:t>
      </w:r>
      <w:r w:rsidR="00C65916" w:rsidRPr="00B35761">
        <w:rPr>
          <w:rFonts w:asciiTheme="majorBidi" w:hAnsiTheme="majorBidi" w:cstheme="majorBidi"/>
          <w:i/>
          <w:iCs/>
          <w:color w:val="000000"/>
          <w:sz w:val="24"/>
          <w:szCs w:val="24"/>
        </w:rPr>
        <w:t>executives’</w:t>
      </w:r>
      <w:r w:rsidR="00483A27" w:rsidRPr="00B35761">
        <w:rPr>
          <w:rFonts w:asciiTheme="majorBidi" w:hAnsiTheme="majorBidi" w:cstheme="majorBidi"/>
          <w:i/>
          <w:iCs/>
          <w:color w:val="000000"/>
          <w:sz w:val="24"/>
          <w:szCs w:val="24"/>
        </w:rPr>
        <w:t xml:space="preserve"> directors will moderate e</w:t>
      </w:r>
      <w:r w:rsidRPr="00B35761">
        <w:rPr>
          <w:rFonts w:asciiTheme="majorBidi" w:hAnsiTheme="majorBidi" w:cstheme="majorBidi"/>
          <w:i/>
          <w:iCs/>
          <w:color w:val="000000"/>
          <w:sz w:val="24"/>
          <w:szCs w:val="24"/>
        </w:rPr>
        <w:t>xecutive compensation</w:t>
      </w:r>
      <w:r w:rsidR="00483A27" w:rsidRPr="00B35761">
        <w:rPr>
          <w:rFonts w:asciiTheme="majorBidi" w:hAnsiTheme="majorBidi" w:cstheme="majorBidi"/>
          <w:i/>
          <w:iCs/>
          <w:color w:val="000000"/>
          <w:sz w:val="24"/>
          <w:szCs w:val="24"/>
        </w:rPr>
        <w:t>-</w:t>
      </w:r>
      <w:r w:rsidRPr="00B35761">
        <w:rPr>
          <w:rFonts w:asciiTheme="majorBidi" w:hAnsiTheme="majorBidi" w:cstheme="majorBidi"/>
          <w:i/>
          <w:iCs/>
          <w:color w:val="000000"/>
          <w:sz w:val="24"/>
          <w:szCs w:val="24"/>
        </w:rPr>
        <w:t xml:space="preserve"> performance </w:t>
      </w:r>
      <w:r w:rsidR="00483A27" w:rsidRPr="00B35761">
        <w:rPr>
          <w:rFonts w:asciiTheme="majorBidi" w:hAnsiTheme="majorBidi" w:cstheme="majorBidi"/>
          <w:i/>
          <w:iCs/>
          <w:color w:val="000000"/>
          <w:sz w:val="24"/>
          <w:szCs w:val="24"/>
        </w:rPr>
        <w:t>linkage.</w:t>
      </w:r>
    </w:p>
    <w:p w14:paraId="76F42320" w14:textId="77777777" w:rsidR="00C65916" w:rsidRPr="00D5505E" w:rsidRDefault="00C65916" w:rsidP="001E0DEF">
      <w:pPr>
        <w:spacing w:line="360" w:lineRule="auto"/>
        <w:jc w:val="both"/>
        <w:rPr>
          <w:rFonts w:asciiTheme="majorBidi" w:hAnsiTheme="majorBidi" w:cstheme="majorBidi"/>
          <w:color w:val="000000"/>
          <w:sz w:val="24"/>
          <w:szCs w:val="24"/>
        </w:rPr>
      </w:pPr>
    </w:p>
    <w:p w14:paraId="42E2B7E3" w14:textId="43EDDDB4" w:rsidR="004C4843" w:rsidRPr="00D5505E" w:rsidRDefault="00D5505E" w:rsidP="00D5505E">
      <w:pPr>
        <w:spacing w:before="240" w:line="360" w:lineRule="auto"/>
        <w:jc w:val="center"/>
        <w:rPr>
          <w:rFonts w:asciiTheme="majorBidi" w:hAnsiTheme="majorBidi" w:cstheme="majorBidi"/>
          <w:b/>
          <w:color w:val="000000"/>
          <w:sz w:val="24"/>
          <w:szCs w:val="24"/>
        </w:rPr>
      </w:pPr>
      <w:r w:rsidRPr="00D5505E">
        <w:rPr>
          <w:rFonts w:asciiTheme="majorBidi" w:hAnsiTheme="majorBidi" w:cstheme="majorBidi"/>
          <w:b/>
          <w:color w:val="000000"/>
          <w:sz w:val="24"/>
          <w:szCs w:val="24"/>
        </w:rPr>
        <w:t>3. R</w:t>
      </w:r>
      <w:r>
        <w:rPr>
          <w:rFonts w:asciiTheme="majorBidi" w:hAnsiTheme="majorBidi" w:cstheme="majorBidi"/>
          <w:b/>
          <w:color w:val="000000"/>
          <w:sz w:val="24"/>
          <w:szCs w:val="24"/>
        </w:rPr>
        <w:t>ESEARCH METHOD</w:t>
      </w:r>
    </w:p>
    <w:p w14:paraId="2FCCA770" w14:textId="191F4EB5" w:rsidR="00010EE0" w:rsidRPr="00072426" w:rsidRDefault="005C349B" w:rsidP="00010EE0">
      <w:pPr>
        <w:adjustRightInd w:val="0"/>
        <w:snapToGrid w:val="0"/>
        <w:spacing w:after="0" w:line="360" w:lineRule="auto"/>
        <w:jc w:val="both"/>
        <w:rPr>
          <w:rFonts w:ascii="Times New Roman" w:eastAsia="Calibri" w:hAnsi="Times New Roman" w:cs="Times New Roman"/>
          <w:sz w:val="24"/>
          <w:szCs w:val="24"/>
        </w:rPr>
      </w:pPr>
      <w:r w:rsidRPr="00B35761">
        <w:rPr>
          <w:rFonts w:ascii="Times New Roman" w:eastAsia="Calibri" w:hAnsi="Times New Roman" w:cs="Times New Roman"/>
          <w:sz w:val="24"/>
          <w:szCs w:val="24"/>
          <w:lang w:val="en-US"/>
        </w:rPr>
        <w:t xml:space="preserve">This study utilizes FTSE 100 companies listed on the London Stock Exchange (LSE) for the period of 2007-2012. </w:t>
      </w:r>
      <w:r w:rsidR="00873086" w:rsidRPr="00B35761">
        <w:rPr>
          <w:rFonts w:ascii="Times New Roman" w:eastAsia="Calibri" w:hAnsi="Times New Roman" w:cs="Times New Roman"/>
          <w:sz w:val="24"/>
          <w:szCs w:val="24"/>
          <w:lang w:val="en-US"/>
        </w:rPr>
        <w:t>Our analysis was limited to FTSE100 for these reasons: it represents top</w:t>
      </w:r>
      <w:r w:rsidR="003313C4" w:rsidRPr="00B35761">
        <w:rPr>
          <w:rFonts w:ascii="Times New Roman" w:eastAsia="Calibri" w:hAnsi="Times New Roman" w:cs="Times New Roman"/>
          <w:sz w:val="24"/>
          <w:szCs w:val="24"/>
          <w:lang w:val="en-US"/>
        </w:rPr>
        <w:t xml:space="preserve">-listed UK firms, and the firms provide comprehensive data on managerial compensation, governance indicators and other firm characteristics data. </w:t>
      </w:r>
      <w:r w:rsidR="0098656A" w:rsidRPr="00B35761">
        <w:rPr>
          <w:rFonts w:ascii="Times New Roman" w:eastAsia="Calibri" w:hAnsi="Times New Roman" w:cs="Times New Roman"/>
          <w:sz w:val="24"/>
          <w:szCs w:val="24"/>
          <w:lang w:val="en-US"/>
        </w:rPr>
        <w:t xml:space="preserve">More specifically, the </w:t>
      </w:r>
      <w:r w:rsidR="0098656A" w:rsidRPr="00B35761">
        <w:rPr>
          <w:rFonts w:ascii="Times New Roman" w:eastAsia="Calibri" w:hAnsi="Times New Roman" w:cs="Times New Roman"/>
          <w:sz w:val="24"/>
          <w:szCs w:val="24"/>
        </w:rPr>
        <w:t xml:space="preserve">data for the study were collected from variety of sources. Data for executive or </w:t>
      </w:r>
      <w:r w:rsidR="001C578F" w:rsidRPr="00B35761">
        <w:rPr>
          <w:rFonts w:ascii="Times New Roman" w:eastAsia="Calibri" w:hAnsi="Times New Roman" w:cs="Times New Roman"/>
          <w:sz w:val="24"/>
          <w:szCs w:val="24"/>
        </w:rPr>
        <w:t>managerial</w:t>
      </w:r>
      <w:r w:rsidR="0098656A" w:rsidRPr="00B35761">
        <w:rPr>
          <w:rFonts w:ascii="Times New Roman" w:eastAsia="Calibri" w:hAnsi="Times New Roman" w:cs="Times New Roman"/>
          <w:sz w:val="24"/>
          <w:szCs w:val="24"/>
        </w:rPr>
        <w:t xml:space="preserve"> pay packages, corporate governance and ownership characteristics were taken </w:t>
      </w:r>
      <w:r w:rsidR="001B6D64" w:rsidRPr="00B35761">
        <w:rPr>
          <w:rFonts w:ascii="Times New Roman" w:eastAsia="Calibri" w:hAnsi="Times New Roman" w:cs="Times New Roman"/>
          <w:sz w:val="24"/>
          <w:szCs w:val="24"/>
        </w:rPr>
        <w:t xml:space="preserve">from </w:t>
      </w:r>
      <w:r w:rsidR="0098656A" w:rsidRPr="00B35761">
        <w:rPr>
          <w:rFonts w:ascii="Times New Roman" w:eastAsia="Calibri" w:hAnsi="Times New Roman" w:cs="Times New Roman"/>
          <w:sz w:val="24"/>
          <w:szCs w:val="24"/>
        </w:rPr>
        <w:t>Bloomberg</w:t>
      </w:r>
      <w:r w:rsidR="001B6D64" w:rsidRPr="00B35761">
        <w:rPr>
          <w:rFonts w:ascii="Times New Roman" w:eastAsia="Calibri" w:hAnsi="Times New Roman" w:cs="Times New Roman"/>
          <w:sz w:val="24"/>
          <w:szCs w:val="24"/>
        </w:rPr>
        <w:t xml:space="preserve"> </w:t>
      </w:r>
      <w:r w:rsidR="0098656A" w:rsidRPr="00B35761">
        <w:rPr>
          <w:rFonts w:ascii="Times New Roman" w:eastAsia="Calibri" w:hAnsi="Times New Roman" w:cs="Times New Roman"/>
          <w:sz w:val="24"/>
          <w:szCs w:val="24"/>
        </w:rPr>
        <w:t>database</w:t>
      </w:r>
      <w:r w:rsidR="0098656A" w:rsidRPr="00B35761">
        <w:rPr>
          <w:rFonts w:ascii="Times New Roman" w:eastAsia="Calibri" w:hAnsi="Times New Roman" w:cs="Times New Roman"/>
          <w:sz w:val="24"/>
          <w:szCs w:val="24"/>
          <w:vertAlign w:val="superscript"/>
        </w:rPr>
        <w:footnoteReference w:id="3"/>
      </w:r>
      <w:r w:rsidR="001B6D64" w:rsidRPr="00B35761">
        <w:rPr>
          <w:rFonts w:ascii="Times New Roman" w:eastAsia="Calibri" w:hAnsi="Times New Roman" w:cs="Times New Roman"/>
          <w:sz w:val="24"/>
          <w:szCs w:val="24"/>
        </w:rPr>
        <w:t xml:space="preserve"> while t</w:t>
      </w:r>
      <w:r w:rsidR="0098656A" w:rsidRPr="00B35761">
        <w:rPr>
          <w:rFonts w:ascii="Times New Roman" w:eastAsia="Calibri" w:hAnsi="Times New Roman" w:cs="Times New Roman"/>
          <w:sz w:val="24"/>
          <w:szCs w:val="24"/>
        </w:rPr>
        <w:t>he financial data and other firm specific characteristics were collected from the FAME</w:t>
      </w:r>
      <w:r w:rsidR="0098656A" w:rsidRPr="00B35761">
        <w:rPr>
          <w:rFonts w:ascii="Times New Roman" w:eastAsia="Calibri" w:hAnsi="Times New Roman" w:cs="Times New Roman"/>
          <w:sz w:val="24"/>
          <w:szCs w:val="24"/>
          <w:vertAlign w:val="superscript"/>
        </w:rPr>
        <w:footnoteReference w:id="4"/>
      </w:r>
      <w:r w:rsidR="0098656A" w:rsidRPr="00B35761">
        <w:rPr>
          <w:rFonts w:ascii="Times New Roman" w:eastAsia="Calibri" w:hAnsi="Times New Roman" w:cs="Times New Roman"/>
          <w:sz w:val="24"/>
          <w:szCs w:val="24"/>
        </w:rPr>
        <w:t xml:space="preserve"> database.</w:t>
      </w:r>
      <w:r w:rsidR="001B6D64" w:rsidRPr="00B35761">
        <w:rPr>
          <w:rFonts w:ascii="Times New Roman" w:eastAsia="Calibri" w:hAnsi="Times New Roman" w:cs="Times New Roman"/>
          <w:sz w:val="24"/>
          <w:szCs w:val="24"/>
        </w:rPr>
        <w:t xml:space="preserve"> </w:t>
      </w:r>
      <w:r w:rsidR="00D9640E" w:rsidRPr="00B35761">
        <w:rPr>
          <w:rFonts w:ascii="Times New Roman" w:eastAsia="Calibri" w:hAnsi="Times New Roman" w:cs="Times New Roman"/>
          <w:sz w:val="24"/>
          <w:szCs w:val="24"/>
          <w:lang w:val="en-US"/>
        </w:rPr>
        <w:t>B</w:t>
      </w:r>
      <w:r w:rsidRPr="00B35761">
        <w:rPr>
          <w:rFonts w:ascii="Times New Roman" w:eastAsia="Calibri" w:hAnsi="Times New Roman" w:cs="Times New Roman"/>
          <w:sz w:val="24"/>
          <w:szCs w:val="24"/>
          <w:lang w:val="en-US"/>
        </w:rPr>
        <w:t>ased on the ‘Global Industrial Classification’ (GIC)</w:t>
      </w:r>
      <w:r w:rsidR="00D9640E" w:rsidRPr="00B35761">
        <w:rPr>
          <w:rFonts w:ascii="Times New Roman" w:eastAsia="Calibri" w:hAnsi="Times New Roman" w:cs="Times New Roman"/>
          <w:sz w:val="24"/>
          <w:szCs w:val="24"/>
          <w:lang w:val="en-US"/>
        </w:rPr>
        <w:t>,</w:t>
      </w:r>
      <w:r w:rsidR="001B6D64" w:rsidRPr="00B35761">
        <w:rPr>
          <w:rFonts w:ascii="Times New Roman" w:eastAsia="Calibri" w:hAnsi="Times New Roman" w:cs="Times New Roman"/>
          <w:sz w:val="24"/>
          <w:szCs w:val="24"/>
          <w:lang w:val="en-US"/>
        </w:rPr>
        <w:t xml:space="preserve"> a</w:t>
      </w:r>
      <w:r w:rsidRPr="00B35761">
        <w:rPr>
          <w:rFonts w:ascii="Times New Roman" w:eastAsia="Calibri" w:hAnsi="Times New Roman" w:cs="Times New Roman"/>
          <w:sz w:val="24"/>
          <w:szCs w:val="24"/>
          <w:lang w:val="en-US"/>
        </w:rPr>
        <w:t xml:space="preserve"> total of 575 firm</w:t>
      </w:r>
      <w:r w:rsidR="00D9640E" w:rsidRPr="00B35761">
        <w:rPr>
          <w:rFonts w:ascii="Times New Roman" w:eastAsia="Calibri" w:hAnsi="Times New Roman" w:cs="Times New Roman"/>
          <w:sz w:val="24"/>
          <w:szCs w:val="24"/>
          <w:lang w:val="en-US"/>
        </w:rPr>
        <w:t>-</w:t>
      </w:r>
      <w:r w:rsidRPr="00B35761">
        <w:rPr>
          <w:rFonts w:ascii="Times New Roman" w:eastAsia="Calibri" w:hAnsi="Times New Roman" w:cs="Times New Roman"/>
          <w:sz w:val="24"/>
          <w:szCs w:val="24"/>
          <w:lang w:val="en-US"/>
        </w:rPr>
        <w:t xml:space="preserve">year </w:t>
      </w:r>
      <w:r w:rsidR="001B6D64" w:rsidRPr="00B35761">
        <w:rPr>
          <w:rFonts w:ascii="Times New Roman" w:eastAsia="Calibri" w:hAnsi="Times New Roman" w:cs="Times New Roman"/>
          <w:sz w:val="24"/>
          <w:szCs w:val="24"/>
          <w:lang w:val="en-US"/>
        </w:rPr>
        <w:t xml:space="preserve">observations were </w:t>
      </w:r>
      <w:r w:rsidR="006114DD" w:rsidRPr="00B35761">
        <w:rPr>
          <w:rFonts w:ascii="Times New Roman" w:eastAsia="Calibri" w:hAnsi="Times New Roman" w:cs="Times New Roman"/>
          <w:sz w:val="24"/>
          <w:szCs w:val="24"/>
          <w:lang w:val="en-US"/>
        </w:rPr>
        <w:t>used in the analyses</w:t>
      </w:r>
      <w:r w:rsidR="001B6D64" w:rsidRPr="00B35761">
        <w:rPr>
          <w:rFonts w:ascii="Times New Roman" w:eastAsia="Calibri" w:hAnsi="Times New Roman" w:cs="Times New Roman"/>
          <w:sz w:val="24"/>
          <w:szCs w:val="24"/>
          <w:lang w:val="en-US"/>
        </w:rPr>
        <w:t xml:space="preserve">. Thus, </w:t>
      </w:r>
      <w:r w:rsidRPr="00B35761">
        <w:rPr>
          <w:rFonts w:ascii="Times New Roman" w:eastAsia="Calibri" w:hAnsi="Times New Roman" w:cs="Times New Roman"/>
          <w:sz w:val="24"/>
          <w:szCs w:val="24"/>
          <w:lang w:val="en-US"/>
        </w:rPr>
        <w:t>Table 2 shows the sample size and number of observation years for each sector over the period under investigation.</w:t>
      </w:r>
      <w:r w:rsidR="001B6D64" w:rsidRPr="00B35761">
        <w:rPr>
          <w:rFonts w:ascii="Times New Roman" w:eastAsia="Calibri" w:hAnsi="Times New Roman" w:cs="Times New Roman"/>
          <w:sz w:val="24"/>
          <w:szCs w:val="24"/>
          <w:lang w:val="en-US"/>
        </w:rPr>
        <w:t xml:space="preserve"> </w:t>
      </w:r>
      <w:r w:rsidR="00010EE0" w:rsidRPr="00B35761">
        <w:rPr>
          <w:rFonts w:ascii="Times New Roman" w:eastAsia="Calibri" w:hAnsi="Times New Roman" w:cs="Times New Roman"/>
          <w:sz w:val="24"/>
          <w:szCs w:val="24"/>
          <w:lang w:val="en-US"/>
        </w:rPr>
        <w:t xml:space="preserve">The definitions and measurement of variables can be found in Table 1. </w:t>
      </w:r>
    </w:p>
    <w:p w14:paraId="52ACBB40" w14:textId="77777777" w:rsidR="00C10938" w:rsidRPr="00B35761" w:rsidRDefault="00C10938" w:rsidP="00010EE0">
      <w:pPr>
        <w:adjustRightInd w:val="0"/>
        <w:snapToGrid w:val="0"/>
        <w:spacing w:after="0" w:line="360" w:lineRule="auto"/>
        <w:jc w:val="both"/>
        <w:rPr>
          <w:rFonts w:ascii="Times New Roman" w:eastAsia="Calibri" w:hAnsi="Times New Roman" w:cs="Times New Roman"/>
          <w:sz w:val="24"/>
          <w:szCs w:val="24"/>
          <w:lang w:val="en-US"/>
        </w:rPr>
      </w:pPr>
    </w:p>
    <w:p w14:paraId="3745EBE2" w14:textId="7C41F7E3" w:rsidR="001E0DEF" w:rsidRPr="00B35761" w:rsidRDefault="001E0DEF" w:rsidP="001E0DEF">
      <w:pPr>
        <w:spacing w:before="240" w:line="360" w:lineRule="auto"/>
        <w:rPr>
          <w:rFonts w:asciiTheme="majorBidi" w:hAnsiTheme="majorBidi" w:cstheme="majorBidi"/>
          <w:b/>
          <w:i/>
          <w:color w:val="000000"/>
          <w:sz w:val="24"/>
          <w:szCs w:val="24"/>
        </w:rPr>
      </w:pPr>
      <w:r w:rsidRPr="00B35761">
        <w:rPr>
          <w:rFonts w:asciiTheme="majorBidi" w:hAnsiTheme="majorBidi" w:cstheme="majorBidi"/>
          <w:b/>
          <w:i/>
          <w:color w:val="000000"/>
          <w:sz w:val="24"/>
          <w:szCs w:val="24"/>
        </w:rPr>
        <w:t>3.</w:t>
      </w:r>
      <w:r w:rsidR="004C4843" w:rsidRPr="00B35761">
        <w:rPr>
          <w:rFonts w:asciiTheme="majorBidi" w:hAnsiTheme="majorBidi" w:cstheme="majorBidi"/>
          <w:b/>
          <w:i/>
          <w:color w:val="000000"/>
          <w:sz w:val="24"/>
          <w:szCs w:val="24"/>
        </w:rPr>
        <w:t>1</w:t>
      </w:r>
      <w:r w:rsidRPr="00B35761">
        <w:rPr>
          <w:rFonts w:asciiTheme="majorBidi" w:hAnsiTheme="majorBidi" w:cstheme="majorBidi"/>
          <w:b/>
          <w:i/>
          <w:color w:val="000000"/>
          <w:sz w:val="24"/>
          <w:szCs w:val="24"/>
        </w:rPr>
        <w:t>. Model specification</w:t>
      </w:r>
    </w:p>
    <w:p w14:paraId="10771D8A" w14:textId="3D00E81A" w:rsidR="001E0DEF" w:rsidRPr="00B35761" w:rsidRDefault="001E0DEF" w:rsidP="001E0DEF">
      <w:pPr>
        <w:widowControl w:val="0"/>
        <w:autoSpaceDE w:val="0"/>
        <w:autoSpaceDN w:val="0"/>
        <w:adjustRightInd w:val="0"/>
        <w:spacing w:line="360" w:lineRule="auto"/>
        <w:jc w:val="both"/>
        <w:rPr>
          <w:rFonts w:asciiTheme="majorBidi" w:hAnsiTheme="majorBidi" w:cstheme="majorBidi"/>
          <w:color w:val="000000" w:themeColor="text1"/>
          <w:sz w:val="24"/>
          <w:szCs w:val="24"/>
        </w:rPr>
      </w:pPr>
      <w:r w:rsidRPr="00B35761">
        <w:rPr>
          <w:rFonts w:asciiTheme="majorBidi" w:hAnsiTheme="majorBidi" w:cstheme="majorBidi"/>
          <w:color w:val="000000" w:themeColor="text1"/>
          <w:sz w:val="24"/>
          <w:szCs w:val="24"/>
        </w:rPr>
        <w:t xml:space="preserve">The empirical model to establish the link between executive bonus compensation and firm performance is stated below. </w:t>
      </w:r>
      <w:r w:rsidR="00D1018A">
        <w:rPr>
          <w:rFonts w:asciiTheme="majorBidi" w:hAnsiTheme="majorBidi" w:cstheme="majorBidi"/>
          <w:color w:val="000000" w:themeColor="text1"/>
          <w:sz w:val="24"/>
          <w:szCs w:val="24"/>
        </w:rPr>
        <w:t>W</w:t>
      </w:r>
      <w:r w:rsidRPr="00B35761">
        <w:rPr>
          <w:rFonts w:asciiTheme="majorBidi" w:hAnsiTheme="majorBidi" w:cstheme="majorBidi"/>
          <w:color w:val="000000" w:themeColor="text1"/>
          <w:sz w:val="24"/>
          <w:szCs w:val="24"/>
        </w:rPr>
        <w:t>e use Ordinary Least Square (OLS) regression estimator.</w:t>
      </w:r>
    </w:p>
    <w:p w14:paraId="44B4E1D8" w14:textId="77777777" w:rsidR="001E0DEF" w:rsidRPr="00B35761" w:rsidRDefault="00577761" w:rsidP="001E0DEF">
      <w:pPr>
        <w:pStyle w:val="NormalWeb"/>
        <w:spacing w:before="120" w:beforeAutospacing="0" w:after="120" w:afterAutospacing="0" w:line="360" w:lineRule="auto"/>
        <w:jc w:val="both"/>
        <w:rPr>
          <w:rFonts w:asciiTheme="majorBidi" w:hAnsiTheme="majorBidi" w:cstheme="majorBidi"/>
          <w:color w:val="000000" w:themeColor="text1"/>
        </w:rPr>
      </w:pPr>
      <m:oMath>
        <m:sSub>
          <m:sSubPr>
            <m:ctrlPr>
              <w:rPr>
                <w:rFonts w:ascii="Cambria Math" w:hAnsi="Cambria Math" w:cstheme="majorBidi"/>
                <w:i/>
                <w:color w:val="000000" w:themeColor="text1"/>
              </w:rPr>
            </m:ctrlPr>
          </m:sSubPr>
          <m:e>
            <m:r>
              <w:rPr>
                <w:rFonts w:ascii="Cambria Math" w:hAnsi="Cambria Math" w:cstheme="majorBidi"/>
                <w:color w:val="000000" w:themeColor="text1"/>
              </w:rPr>
              <m:t>ROA</m:t>
            </m:r>
          </m:e>
          <m:sub>
            <m:r>
              <w:rPr>
                <w:rFonts w:ascii="Cambria Math" w:hAnsi="Cambria Math" w:cstheme="majorBidi"/>
                <w:color w:val="000000" w:themeColor="text1"/>
              </w:rPr>
              <m:t>i,t</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a</m:t>
            </m:r>
          </m:e>
          <m:sub>
            <m:r>
              <w:rPr>
                <w:rFonts w:ascii="Cambria Math" w:hAnsi="Cambria Math" w:cstheme="majorBidi"/>
                <w:color w:val="000000" w:themeColor="text1"/>
              </w:rPr>
              <m:t>i</m:t>
            </m:r>
          </m:sub>
        </m:sSub>
        <m:r>
          <w:rPr>
            <w:rFonts w:ascii="Cambria Math" w:hAnsi="Cambria Math" w:cstheme="majorBidi"/>
            <w:color w:val="000000" w:themeColor="text1"/>
          </w:rPr>
          <m:t>+</m:t>
        </m:r>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β</m:t>
            </m:r>
          </m:e>
          <m:sub>
            <m:r>
              <w:rPr>
                <w:rFonts w:ascii="Cambria Math" w:eastAsiaTheme="minorEastAsia" w:hAnsi="Cambria Math" w:cstheme="majorBidi"/>
                <w:color w:val="000000" w:themeColor="text1"/>
              </w:rPr>
              <m:t>1</m:t>
            </m:r>
          </m:sub>
        </m:sSub>
        <m:sSub>
          <m:sSubPr>
            <m:ctrlPr>
              <w:rPr>
                <w:rFonts w:ascii="Cambria Math" w:eastAsiaTheme="minorEastAsia" w:hAnsi="Cambria Math" w:cstheme="majorBidi"/>
                <w:i/>
                <w:color w:val="000000" w:themeColor="text1"/>
              </w:rPr>
            </m:ctrlPr>
          </m:sSubPr>
          <m:e>
            <m:r>
              <w:rPr>
                <w:rFonts w:ascii="Cambria Math" w:hAnsi="Cambria Math" w:cstheme="majorBidi"/>
                <w:color w:val="000000" w:themeColor="text1"/>
              </w:rPr>
              <m:t>TVP</m:t>
            </m:r>
          </m:e>
          <m:sub>
            <m:r>
              <w:rPr>
                <w:rFonts w:ascii="Cambria Math" w:eastAsiaTheme="minorEastAsia" w:hAnsi="Cambria Math" w:cstheme="majorBidi"/>
                <w:color w:val="000000" w:themeColor="text1"/>
              </w:rPr>
              <m:t>it</m:t>
            </m:r>
          </m:sub>
        </m:sSub>
        <m:r>
          <w:rPr>
            <w:rFonts w:ascii="Cambria Math" w:hAnsi="Cambria Math" w:cstheme="majorBidi"/>
            <w:color w:val="000000" w:themeColor="text1"/>
          </w:rPr>
          <m:t>+</m:t>
        </m:r>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β</m:t>
            </m:r>
          </m:e>
          <m:sub>
            <m:r>
              <w:rPr>
                <w:rFonts w:ascii="Cambria Math" w:hAnsi="Cambria Math" w:cstheme="majorBidi"/>
                <w:color w:val="000000" w:themeColor="text1"/>
              </w:rPr>
              <m:t>2</m:t>
            </m:r>
          </m:sub>
        </m:sSub>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X</m:t>
            </m:r>
          </m:e>
          <m:sub>
            <m:r>
              <w:rPr>
                <w:rFonts w:ascii="Cambria Math" w:eastAsiaTheme="minorEastAsia" w:hAnsi="Cambria Math" w:cstheme="majorBidi"/>
                <w:color w:val="000000" w:themeColor="text1"/>
              </w:rPr>
              <m:t>it</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ε</m:t>
            </m:r>
          </m:e>
          <m:sub>
            <m:r>
              <w:rPr>
                <w:rFonts w:ascii="Cambria Math" w:hAnsi="Cambria Math" w:cstheme="majorBidi"/>
                <w:color w:val="000000" w:themeColor="text1"/>
              </w:rPr>
              <m:t>i,t</m:t>
            </m:r>
          </m:sub>
        </m:sSub>
      </m:oMath>
      <w:r w:rsidR="001E0DEF" w:rsidRPr="00B35761">
        <w:rPr>
          <w:rFonts w:asciiTheme="majorBidi" w:hAnsiTheme="majorBidi" w:cstheme="majorBidi"/>
          <w:color w:val="000000" w:themeColor="text1"/>
        </w:rPr>
        <w:t>………………….…...….……...................................(1)</w:t>
      </w:r>
    </w:p>
    <w:p w14:paraId="6A48E379" w14:textId="3F23EC17" w:rsidR="001E0DEF" w:rsidRPr="00B35761" w:rsidRDefault="00FE7A59" w:rsidP="001E0DEF">
      <w:pPr>
        <w:widowControl w:val="0"/>
        <w:autoSpaceDE w:val="0"/>
        <w:autoSpaceDN w:val="0"/>
        <w:adjustRightInd w:val="0"/>
        <w:spacing w:line="360" w:lineRule="auto"/>
        <w:jc w:val="both"/>
        <w:rPr>
          <w:rFonts w:asciiTheme="majorBidi" w:hAnsiTheme="majorBidi" w:cstheme="majorBidi"/>
          <w:color w:val="000000" w:themeColor="text1"/>
          <w:sz w:val="24"/>
          <w:szCs w:val="24"/>
        </w:rPr>
      </w:pPr>
      <w:r w:rsidRPr="00B35761">
        <w:rPr>
          <w:rFonts w:asciiTheme="majorBidi" w:hAnsiTheme="majorBidi" w:cstheme="majorBidi"/>
          <w:color w:val="000000" w:themeColor="text1"/>
          <w:sz w:val="24"/>
          <w:szCs w:val="24"/>
        </w:rPr>
        <w:t>We use Fixed Effects (FE) as an alternative specification.</w:t>
      </w:r>
    </w:p>
    <w:p w14:paraId="31B308ED" w14:textId="33B9EE97" w:rsidR="001E0DEF" w:rsidRPr="00B35761" w:rsidRDefault="00577761" w:rsidP="00FE7A59">
      <w:pPr>
        <w:spacing w:before="120" w:after="120" w:line="360" w:lineRule="auto"/>
        <w:rPr>
          <w:rFonts w:asciiTheme="majorBidi" w:hAnsiTheme="majorBidi" w:cstheme="majorBidi"/>
          <w:color w:val="000000" w:themeColor="text1"/>
          <w:sz w:val="24"/>
          <w:szCs w:val="24"/>
        </w:rPr>
      </w:pP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ROA</m:t>
            </m:r>
          </m:e>
          <m:sub>
            <m:r>
              <w:rPr>
                <w:rFonts w:ascii="Cambria Math" w:hAnsi="Cambria Math" w:cstheme="majorBidi"/>
                <w:color w:val="000000" w:themeColor="text1"/>
                <w:sz w:val="24"/>
                <w:szCs w:val="24"/>
              </w:rPr>
              <m:t>t</m:t>
            </m:r>
          </m:sub>
        </m:sSub>
      </m:oMath>
      <w:r w:rsidR="001E0DEF" w:rsidRPr="00B35761">
        <w:rPr>
          <w:rFonts w:asciiTheme="majorBidi" w:hAnsiTheme="majorBidi" w:cstheme="majorBidi"/>
          <w:color w:val="000000" w:themeColor="text1"/>
          <w:sz w:val="24"/>
          <w:szCs w:val="24"/>
        </w:rPr>
        <w:t xml:space="preserve"> = </w:t>
      </w:r>
      <m:oMath>
        <m:r>
          <w:rPr>
            <w:rFonts w:ascii="Cambria Math" w:hAnsi="Cambria Math" w:cstheme="majorBidi"/>
            <w:color w:val="000000" w:themeColor="text1"/>
            <w:sz w:val="24"/>
            <w:szCs w:val="24"/>
          </w:rPr>
          <m:t>α</m:t>
        </m:r>
      </m:oMath>
      <w:r w:rsidR="001E0DEF" w:rsidRPr="00B35761">
        <w:rPr>
          <w:rFonts w:asciiTheme="majorBidi" w:hAnsiTheme="majorBidi" w:cstheme="majorBidi"/>
          <w:color w:val="000000" w:themeColor="text1"/>
          <w:sz w:val="24"/>
          <w:szCs w:val="24"/>
        </w:rPr>
        <w:t xml:space="preserve"> +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β</m:t>
            </m:r>
          </m:e>
          <m:sub>
            <m:r>
              <w:rPr>
                <w:rFonts w:ascii="Cambria Math" w:hAnsi="Cambria Math" w:cstheme="majorBidi"/>
                <w:color w:val="000000" w:themeColor="text1"/>
                <w:sz w:val="24"/>
                <w:szCs w:val="24"/>
              </w:rPr>
              <m:t>1</m:t>
            </m:r>
          </m:sub>
        </m:sSub>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TVP</m:t>
            </m:r>
          </m:e>
          <m:sub>
            <m:r>
              <w:rPr>
                <w:rFonts w:ascii="Cambria Math" w:hAnsi="Cambria Math" w:cstheme="majorBidi"/>
                <w:color w:val="000000" w:themeColor="text1"/>
                <w:sz w:val="24"/>
                <w:szCs w:val="24"/>
              </w:rPr>
              <m:t>it</m:t>
            </m:r>
          </m:sub>
        </m:sSub>
      </m:oMath>
      <w:r w:rsidR="001E0DEF" w:rsidRPr="00B35761">
        <w:rPr>
          <w:rFonts w:asciiTheme="majorBidi" w:hAnsiTheme="majorBidi" w:cstheme="majorBidi"/>
          <w:color w:val="000000" w:themeColor="text1"/>
          <w:sz w:val="24"/>
          <w:szCs w:val="24"/>
        </w:rPr>
        <w:t xml:space="preserve"> +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β</m:t>
            </m:r>
          </m:e>
          <m:sub>
            <m:r>
              <w:rPr>
                <w:rFonts w:ascii="Cambria Math" w:hAnsi="Cambria Math" w:cstheme="majorBidi"/>
                <w:color w:val="000000" w:themeColor="text1"/>
                <w:sz w:val="24"/>
                <w:szCs w:val="24"/>
              </w:rPr>
              <m:t>2</m:t>
            </m:r>
          </m:sub>
        </m:sSub>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it</m:t>
            </m:r>
          </m:sub>
        </m:sSub>
      </m:oMath>
      <w:r w:rsidR="001E0DEF" w:rsidRPr="00B35761">
        <w:rPr>
          <w:rFonts w:asciiTheme="majorBidi" w:hAnsiTheme="majorBidi" w:cstheme="majorBidi"/>
          <w:color w:val="000000" w:themeColor="text1"/>
          <w:sz w:val="24"/>
          <w:szCs w:val="24"/>
        </w:rPr>
        <w:t xml:space="preserve">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 xml:space="preserve">  </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θ</m:t>
                </m:r>
              </m:e>
              <m:sub>
                <m:r>
                  <w:rPr>
                    <w:rFonts w:ascii="Cambria Math" w:hAnsi="Cambria Math" w:cstheme="majorBidi"/>
                    <w:color w:val="000000" w:themeColor="text1"/>
                    <w:sz w:val="24"/>
                    <w:szCs w:val="24"/>
                  </w:rPr>
                  <m:t>i</m:t>
                </m:r>
              </m:sub>
            </m:sSub>
            <m:r>
              <w:rPr>
                <w:rFonts w:ascii="Cambria Math" w:hAnsi="Cambria Math" w:cstheme="majorBidi"/>
                <w:color w:val="000000" w:themeColor="text1"/>
                <w:sz w:val="24"/>
                <w:szCs w:val="24"/>
              </w:rPr>
              <m:t xml:space="preserve"> +δ</m:t>
            </m:r>
          </m:e>
          <m:sub>
            <m:r>
              <w:rPr>
                <w:rFonts w:ascii="Cambria Math" w:hAnsi="Cambria Math" w:cstheme="majorBidi"/>
                <w:color w:val="000000" w:themeColor="text1"/>
                <w:sz w:val="24"/>
                <w:szCs w:val="24"/>
              </w:rPr>
              <m:t>t</m:t>
            </m:r>
          </m:sub>
        </m:sSub>
      </m:oMath>
      <w:r w:rsidR="001E0DEF" w:rsidRPr="00B35761">
        <w:rPr>
          <w:rFonts w:asciiTheme="majorBidi" w:hAnsiTheme="majorBidi" w:cstheme="majorBidi"/>
          <w:color w:val="000000" w:themeColor="text1"/>
          <w:sz w:val="24"/>
          <w:szCs w:val="24"/>
        </w:rPr>
        <w:t xml:space="preserve"> </w:t>
      </w:r>
      <m:oMath>
        <m:r>
          <w:rPr>
            <w:rFonts w:ascii="Cambria Math" w:hAnsi="Cambria Math" w:cstheme="majorBidi"/>
            <w:color w:val="000000" w:themeColor="text1"/>
            <w:sz w:val="24"/>
            <w:szCs w:val="24"/>
          </w:rPr>
          <m:t xml:space="preserve">+ </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μ</m:t>
            </m:r>
          </m:e>
          <m:sub>
            <m:r>
              <w:rPr>
                <w:rFonts w:ascii="Cambria Math" w:hAnsi="Cambria Math" w:cstheme="majorBidi"/>
                <w:color w:val="000000" w:themeColor="text1"/>
                <w:sz w:val="24"/>
                <w:szCs w:val="24"/>
              </w:rPr>
              <m:t>it</m:t>
            </m:r>
          </m:sub>
        </m:sSub>
      </m:oMath>
      <w:r w:rsidR="001E0DEF" w:rsidRPr="00B35761">
        <w:rPr>
          <w:rFonts w:asciiTheme="majorBidi" w:hAnsiTheme="majorBidi" w:cstheme="majorBidi"/>
          <w:color w:val="000000" w:themeColor="text1"/>
          <w:sz w:val="24"/>
          <w:szCs w:val="24"/>
        </w:rPr>
        <w:t xml:space="preserve"> ..........</w:t>
      </w:r>
      <w:r w:rsidR="00C75A24" w:rsidRPr="00B35761">
        <w:rPr>
          <w:rFonts w:asciiTheme="majorBidi" w:hAnsiTheme="majorBidi" w:cstheme="majorBidi"/>
          <w:color w:val="000000" w:themeColor="text1"/>
          <w:sz w:val="24"/>
          <w:szCs w:val="24"/>
        </w:rPr>
        <w:t>........................</w:t>
      </w:r>
      <w:r w:rsidR="00032F23" w:rsidRPr="00B35761">
        <w:rPr>
          <w:rFonts w:asciiTheme="majorBidi" w:hAnsiTheme="majorBidi" w:cstheme="majorBidi"/>
          <w:color w:val="000000" w:themeColor="text1"/>
          <w:sz w:val="24"/>
          <w:szCs w:val="24"/>
        </w:rPr>
        <w:t>..</w:t>
      </w:r>
      <w:r w:rsidR="00C75A24" w:rsidRPr="00B35761">
        <w:rPr>
          <w:rFonts w:asciiTheme="majorBidi" w:hAnsiTheme="majorBidi" w:cstheme="majorBidi"/>
          <w:color w:val="000000" w:themeColor="text1"/>
          <w:sz w:val="24"/>
          <w:szCs w:val="24"/>
        </w:rPr>
        <w:t>............</w:t>
      </w:r>
      <w:r w:rsidR="001E0DEF" w:rsidRPr="00B35761">
        <w:rPr>
          <w:rFonts w:asciiTheme="majorBidi" w:hAnsiTheme="majorBidi" w:cstheme="majorBidi"/>
          <w:color w:val="000000" w:themeColor="text1"/>
          <w:sz w:val="24"/>
          <w:szCs w:val="24"/>
        </w:rPr>
        <w:t>…</w:t>
      </w:r>
      <w:r w:rsidR="00FE7A59" w:rsidRPr="00B35761">
        <w:rPr>
          <w:rFonts w:asciiTheme="majorBidi" w:hAnsiTheme="majorBidi" w:cstheme="majorBidi"/>
          <w:color w:val="000000" w:themeColor="text1"/>
          <w:sz w:val="24"/>
          <w:szCs w:val="24"/>
        </w:rPr>
        <w:t>….</w:t>
      </w:r>
      <w:r w:rsidR="001E0DEF" w:rsidRPr="00B35761">
        <w:rPr>
          <w:rFonts w:asciiTheme="majorBidi" w:hAnsiTheme="majorBidi" w:cstheme="majorBidi"/>
          <w:color w:val="000000" w:themeColor="text1"/>
          <w:sz w:val="24"/>
          <w:szCs w:val="24"/>
        </w:rPr>
        <w:t>……... (2)</w:t>
      </w:r>
    </w:p>
    <w:p w14:paraId="1B8CEA31" w14:textId="08BB4F71" w:rsidR="001E0DEF" w:rsidRPr="00B35761" w:rsidRDefault="001E0DEF" w:rsidP="001E0DEF">
      <w:pPr>
        <w:widowControl w:val="0"/>
        <w:autoSpaceDE w:val="0"/>
        <w:autoSpaceDN w:val="0"/>
        <w:adjustRightInd w:val="0"/>
        <w:spacing w:line="360" w:lineRule="auto"/>
        <w:jc w:val="both"/>
        <w:rPr>
          <w:rFonts w:asciiTheme="majorBidi" w:hAnsiTheme="majorBidi" w:cstheme="majorBidi"/>
          <w:color w:val="000000" w:themeColor="text1"/>
          <w:sz w:val="24"/>
          <w:szCs w:val="24"/>
        </w:rPr>
      </w:pPr>
      <w:r w:rsidRPr="00B35761">
        <w:rPr>
          <w:rFonts w:asciiTheme="majorBidi" w:hAnsiTheme="majorBidi" w:cstheme="majorBidi"/>
          <w:color w:val="000000" w:themeColor="text1"/>
          <w:sz w:val="24"/>
          <w:szCs w:val="24"/>
        </w:rPr>
        <w:t xml:space="preserve">In equation (1), </w:t>
      </w:r>
      <w:r w:rsidRPr="00B35761">
        <w:rPr>
          <w:rFonts w:asciiTheme="majorBidi" w:hAnsiTheme="majorBidi" w:cstheme="majorBidi"/>
          <w:i/>
          <w:iCs/>
          <w:color w:val="000000" w:themeColor="text1"/>
          <w:sz w:val="24"/>
          <w:szCs w:val="24"/>
        </w:rPr>
        <w:t>ROA</w:t>
      </w:r>
      <w:r w:rsidRPr="00B35761">
        <w:rPr>
          <w:rFonts w:asciiTheme="majorBidi" w:hAnsiTheme="majorBidi" w:cstheme="majorBidi"/>
          <w:color w:val="000000" w:themeColor="text1"/>
          <w:sz w:val="24"/>
          <w:szCs w:val="24"/>
        </w:rPr>
        <w:t xml:space="preserve"> is the return on assets (performance), </w:t>
      </w:r>
      <w:r w:rsidRPr="00B35761">
        <w:rPr>
          <w:rFonts w:asciiTheme="majorBidi" w:hAnsiTheme="majorBidi" w:cstheme="majorBidi"/>
          <w:i/>
          <w:iCs/>
          <w:color w:val="000000" w:themeColor="text1"/>
          <w:sz w:val="24"/>
          <w:szCs w:val="24"/>
        </w:rPr>
        <w:t>TVP</w:t>
      </w:r>
      <w:r w:rsidRPr="00B35761">
        <w:rPr>
          <w:rFonts w:asciiTheme="majorBidi" w:hAnsiTheme="majorBidi" w:cstheme="majorBidi"/>
          <w:color w:val="000000" w:themeColor="text1"/>
          <w:sz w:val="24"/>
          <w:szCs w:val="24"/>
        </w:rPr>
        <w:t xml:space="preserve"> are executives’ total variable compensation and </w:t>
      </w:r>
      <w:proofErr w:type="spellStart"/>
      <w:r w:rsidRPr="00B35761">
        <w:rPr>
          <w:rFonts w:asciiTheme="majorBidi" w:hAnsiTheme="majorBidi" w:cstheme="majorBidi"/>
          <w:color w:val="000000" w:themeColor="text1"/>
          <w:sz w:val="24"/>
          <w:szCs w:val="24"/>
        </w:rPr>
        <w:t>X</w:t>
      </w:r>
      <w:r w:rsidRPr="00B35761">
        <w:rPr>
          <w:rFonts w:asciiTheme="majorBidi" w:hAnsiTheme="majorBidi" w:cstheme="majorBidi"/>
          <w:color w:val="000000" w:themeColor="text1"/>
          <w:sz w:val="24"/>
          <w:szCs w:val="24"/>
          <w:vertAlign w:val="subscript"/>
        </w:rPr>
        <w:t>it</w:t>
      </w:r>
      <w:proofErr w:type="spellEnd"/>
      <w:r w:rsidRPr="00B35761">
        <w:rPr>
          <w:rFonts w:asciiTheme="majorBidi" w:hAnsiTheme="majorBidi" w:cstheme="majorBidi"/>
          <w:color w:val="000000" w:themeColor="text1"/>
          <w:sz w:val="24"/>
          <w:szCs w:val="24"/>
        </w:rPr>
        <w:t xml:space="preserve"> </w:t>
      </w:r>
      <w:r w:rsidR="00D1018A">
        <w:rPr>
          <w:rFonts w:asciiTheme="majorBidi" w:hAnsiTheme="majorBidi" w:cstheme="majorBidi"/>
          <w:color w:val="000000" w:themeColor="text1"/>
          <w:sz w:val="24"/>
          <w:szCs w:val="24"/>
        </w:rPr>
        <w:t xml:space="preserve">is a vector of </w:t>
      </w:r>
      <w:r w:rsidRPr="00B35761">
        <w:rPr>
          <w:rFonts w:asciiTheme="majorBidi" w:hAnsiTheme="majorBidi" w:cstheme="majorBidi"/>
          <w:color w:val="000000" w:themeColor="text1"/>
          <w:sz w:val="24"/>
          <w:szCs w:val="24"/>
        </w:rPr>
        <w:t>control variable</w:t>
      </w:r>
      <w:r w:rsidR="00D1018A">
        <w:rPr>
          <w:rFonts w:asciiTheme="majorBidi" w:hAnsiTheme="majorBidi" w:cstheme="majorBidi"/>
          <w:color w:val="000000" w:themeColor="text1"/>
          <w:sz w:val="24"/>
          <w:szCs w:val="24"/>
        </w:rPr>
        <w:t>s</w:t>
      </w:r>
      <w:r w:rsidRPr="00B35761">
        <w:rPr>
          <w:rFonts w:asciiTheme="majorBidi" w:hAnsiTheme="majorBidi" w:cstheme="majorBidi"/>
          <w:color w:val="000000" w:themeColor="text1"/>
          <w:sz w:val="24"/>
          <w:szCs w:val="24"/>
        </w:rPr>
        <w:t xml:space="preserve"> respectively. All variables are defined in Table I. For robustness checks, we use Tobin’s Q as our alternative dependent variable. We also adopt a simultaneous system of equations (using 3SLS) technique to account for possible endogeneity issues (</w:t>
      </w:r>
      <w:proofErr w:type="spellStart"/>
      <w:r w:rsidR="001C578F" w:rsidRPr="00B35761">
        <w:rPr>
          <w:rFonts w:asciiTheme="majorBidi" w:hAnsiTheme="majorBidi" w:cstheme="majorBidi"/>
          <w:color w:val="000000" w:themeColor="text1"/>
          <w:sz w:val="24"/>
          <w:szCs w:val="24"/>
        </w:rPr>
        <w:t>Ntim</w:t>
      </w:r>
      <w:proofErr w:type="spellEnd"/>
      <w:r w:rsidR="001C578F" w:rsidRPr="00B35761">
        <w:rPr>
          <w:rFonts w:asciiTheme="majorBidi" w:hAnsiTheme="majorBidi" w:cstheme="majorBidi"/>
          <w:color w:val="000000" w:themeColor="text1"/>
          <w:sz w:val="24"/>
          <w:szCs w:val="24"/>
        </w:rPr>
        <w:t xml:space="preserve"> et al., 2019</w:t>
      </w:r>
      <w:r w:rsidRPr="00B35761">
        <w:rPr>
          <w:rFonts w:asciiTheme="majorBidi" w:hAnsiTheme="majorBidi" w:cstheme="majorBidi"/>
          <w:color w:val="000000" w:themeColor="text1"/>
          <w:sz w:val="24"/>
          <w:szCs w:val="24"/>
        </w:rPr>
        <w:t xml:space="preserve">). </w:t>
      </w:r>
    </w:p>
    <w:p w14:paraId="08010F3A" w14:textId="14E35E4C" w:rsidR="001E0DEF" w:rsidRPr="00B35761" w:rsidRDefault="00D1018A" w:rsidP="001E0DEF">
      <w:pPr>
        <w:pStyle w:val="NormalWeb"/>
        <w:spacing w:before="120" w:beforeAutospacing="0" w:after="12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O</w:t>
      </w:r>
      <w:r w:rsidR="001E0DEF" w:rsidRPr="00B35761">
        <w:rPr>
          <w:rFonts w:asciiTheme="majorBidi" w:hAnsiTheme="majorBidi" w:cstheme="majorBidi"/>
          <w:color w:val="000000" w:themeColor="text1"/>
        </w:rPr>
        <w:t>ur simultaneous equations model is presented as follows:</w:t>
      </w:r>
    </w:p>
    <w:p w14:paraId="2BB1EB1B" w14:textId="673418DC" w:rsidR="001E0DEF" w:rsidRPr="00B35761" w:rsidRDefault="00577761" w:rsidP="001E0DEF">
      <w:pPr>
        <w:pStyle w:val="NormalWeb"/>
        <w:spacing w:before="120" w:beforeAutospacing="0" w:after="120" w:afterAutospacing="0" w:line="360" w:lineRule="auto"/>
        <w:jc w:val="both"/>
        <w:rPr>
          <w:rFonts w:asciiTheme="majorBidi" w:hAnsiTheme="majorBidi" w:cstheme="majorBidi"/>
          <w:color w:val="000000" w:themeColor="text1"/>
        </w:rPr>
      </w:pPr>
      <m:oMath>
        <m:sSub>
          <m:sSubPr>
            <m:ctrlPr>
              <w:rPr>
                <w:rFonts w:ascii="Cambria Math" w:hAnsi="Cambria Math" w:cstheme="majorBidi"/>
                <w:i/>
                <w:color w:val="000000" w:themeColor="text1"/>
              </w:rPr>
            </m:ctrlPr>
          </m:sSubPr>
          <m:e>
            <m:r>
              <w:rPr>
                <w:rFonts w:ascii="Cambria Math" w:hAnsi="Cambria Math" w:cstheme="majorBidi"/>
                <w:color w:val="000000" w:themeColor="text1"/>
              </w:rPr>
              <m:t>TVP</m:t>
            </m:r>
          </m:e>
          <m:sub>
            <m:r>
              <w:rPr>
                <w:rFonts w:ascii="Cambria Math" w:hAnsi="Cambria Math" w:cstheme="majorBidi"/>
                <w:color w:val="000000" w:themeColor="text1"/>
              </w:rPr>
              <m:t>i,t</m:t>
            </m:r>
          </m:sub>
        </m:sSub>
        <m:r>
          <w:rPr>
            <w:rFonts w:ascii="Cambria Math" w:hAnsi="Cambria Math" w:cstheme="majorBidi"/>
            <w:color w:val="000000" w:themeColor="text1"/>
          </w:rPr>
          <m:t>=α+β</m:t>
        </m:r>
        <m:sSub>
          <m:sSubPr>
            <m:ctrlPr>
              <w:rPr>
                <w:rFonts w:ascii="Cambria Math" w:hAnsi="Cambria Math" w:cstheme="majorBidi"/>
                <w:i/>
                <w:color w:val="000000" w:themeColor="text1"/>
              </w:rPr>
            </m:ctrlPr>
          </m:sSubPr>
          <m:e>
            <m:r>
              <w:rPr>
                <w:rFonts w:ascii="Cambria Math" w:hAnsi="Cambria Math" w:cstheme="majorBidi"/>
                <w:color w:val="000000" w:themeColor="text1"/>
              </w:rPr>
              <m:t>ROA</m:t>
            </m:r>
          </m:e>
          <m:sub>
            <m:r>
              <w:rPr>
                <w:rFonts w:ascii="Cambria Math" w:hAnsi="Cambria Math" w:cstheme="majorBidi"/>
                <w:color w:val="000000" w:themeColor="text1"/>
              </w:rPr>
              <m:t>i,t</m:t>
            </m:r>
          </m:sub>
        </m:sSub>
        <m:r>
          <w:rPr>
            <w:rFonts w:ascii="Cambria Math" w:hAnsi="Cambria Math" w:cstheme="majorBidi"/>
            <w:color w:val="000000" w:themeColor="text1"/>
          </w:rPr>
          <m:t>+β</m:t>
        </m:r>
        <m:sSub>
          <m:sSubPr>
            <m:ctrlPr>
              <w:rPr>
                <w:rFonts w:ascii="Cambria Math" w:hAnsi="Cambria Math" w:cstheme="majorBidi"/>
                <w:i/>
                <w:color w:val="000000" w:themeColor="text1"/>
              </w:rPr>
            </m:ctrlPr>
          </m:sSubPr>
          <m:e>
            <m:r>
              <w:rPr>
                <w:rFonts w:ascii="Cambria Math" w:hAnsi="Cambria Math" w:cstheme="majorBidi"/>
                <w:color w:val="000000" w:themeColor="text1"/>
              </w:rPr>
              <m:t>IV</m:t>
            </m:r>
          </m:e>
          <m:sub>
            <m:r>
              <w:rPr>
                <w:rFonts w:ascii="Cambria Math" w:hAnsi="Cambria Math" w:cstheme="majorBidi"/>
                <w:color w:val="000000" w:themeColor="text1"/>
              </w:rPr>
              <m:t>i,t</m:t>
            </m:r>
          </m:sub>
        </m:sSub>
        <m:r>
          <w:rPr>
            <w:rFonts w:ascii="Cambria Math" w:hAnsi="Cambria Math" w:cstheme="majorBidi"/>
            <w:color w:val="000000" w:themeColor="text1"/>
          </w:rPr>
          <m:t>+ β</m:t>
        </m:r>
        <m:sSub>
          <m:sSubPr>
            <m:ctrlPr>
              <w:rPr>
                <w:rFonts w:ascii="Cambria Math" w:hAnsi="Cambria Math" w:cstheme="majorBidi"/>
                <w:i/>
                <w:color w:val="000000" w:themeColor="text1"/>
              </w:rPr>
            </m:ctrlPr>
          </m:sSubPr>
          <m:e>
            <m:r>
              <w:rPr>
                <w:rFonts w:ascii="Cambria Math" w:hAnsi="Cambria Math" w:cstheme="majorBidi"/>
                <w:color w:val="000000" w:themeColor="text1"/>
              </w:rPr>
              <m:t>X</m:t>
            </m:r>
          </m:e>
          <m:sub>
            <m:r>
              <w:rPr>
                <w:rFonts w:ascii="Cambria Math" w:hAnsi="Cambria Math" w:cstheme="majorBidi"/>
                <w:color w:val="000000" w:themeColor="text1"/>
              </w:rPr>
              <m:t>i,t</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ε</m:t>
            </m:r>
          </m:e>
          <m:sub>
            <m:r>
              <w:rPr>
                <w:rFonts w:ascii="Cambria Math" w:hAnsi="Cambria Math" w:cstheme="majorBidi"/>
                <w:color w:val="000000" w:themeColor="text1"/>
              </w:rPr>
              <m:t>i,t</m:t>
            </m:r>
          </m:sub>
        </m:sSub>
      </m:oMath>
      <w:r w:rsidR="001E0DEF" w:rsidRPr="00B35761">
        <w:rPr>
          <w:rFonts w:asciiTheme="majorBidi" w:hAnsiTheme="majorBidi" w:cstheme="majorBidi"/>
          <w:color w:val="000000" w:themeColor="text1"/>
        </w:rPr>
        <w:t>…………………......………….………</w:t>
      </w:r>
      <w:proofErr w:type="gramStart"/>
      <w:r w:rsidR="001E0DEF" w:rsidRPr="00B35761">
        <w:rPr>
          <w:rFonts w:asciiTheme="majorBidi" w:hAnsiTheme="majorBidi" w:cstheme="majorBidi"/>
          <w:color w:val="000000" w:themeColor="text1"/>
        </w:rPr>
        <w:t>….(</w:t>
      </w:r>
      <w:proofErr w:type="gramEnd"/>
      <w:r w:rsidR="001E0DEF" w:rsidRPr="00B35761">
        <w:rPr>
          <w:rFonts w:asciiTheme="majorBidi" w:hAnsiTheme="majorBidi" w:cstheme="majorBidi"/>
          <w:color w:val="000000" w:themeColor="text1"/>
        </w:rPr>
        <w:t>3i)</w:t>
      </w:r>
    </w:p>
    <w:p w14:paraId="6BD71B42" w14:textId="34E23D4A" w:rsidR="001E0DEF" w:rsidRPr="00B35761" w:rsidRDefault="00577761" w:rsidP="001E0DEF">
      <w:pPr>
        <w:pStyle w:val="NormalWeb"/>
        <w:spacing w:before="120" w:beforeAutospacing="0" w:after="120" w:afterAutospacing="0" w:line="360" w:lineRule="auto"/>
        <w:jc w:val="both"/>
        <w:rPr>
          <w:rFonts w:asciiTheme="majorBidi" w:hAnsiTheme="majorBidi" w:cstheme="majorBidi"/>
          <w:color w:val="000000" w:themeColor="text1"/>
        </w:rPr>
      </w:pPr>
      <m:oMath>
        <m:sSub>
          <m:sSubPr>
            <m:ctrlPr>
              <w:rPr>
                <w:rFonts w:ascii="Cambria Math" w:hAnsi="Cambria Math" w:cstheme="majorBidi"/>
                <w:i/>
                <w:color w:val="000000" w:themeColor="text1"/>
              </w:rPr>
            </m:ctrlPr>
          </m:sSubPr>
          <m:e>
            <m:r>
              <w:rPr>
                <w:rFonts w:ascii="Cambria Math" w:hAnsi="Cambria Math" w:cstheme="majorBidi"/>
                <w:color w:val="000000" w:themeColor="text1"/>
              </w:rPr>
              <m:t>ROA</m:t>
            </m:r>
          </m:e>
          <m:sub>
            <m:r>
              <w:rPr>
                <w:rFonts w:ascii="Cambria Math" w:hAnsi="Cambria Math" w:cstheme="majorBidi"/>
                <w:color w:val="000000" w:themeColor="text1"/>
              </w:rPr>
              <m:t>i,t</m:t>
            </m:r>
          </m:sub>
        </m:sSub>
        <m:r>
          <w:rPr>
            <w:rFonts w:ascii="Cambria Math" w:hAnsi="Cambria Math" w:cstheme="majorBidi"/>
            <w:color w:val="000000" w:themeColor="text1"/>
          </w:rPr>
          <m:t>=α</m:t>
        </m:r>
        <m:sSub>
          <m:sSubPr>
            <m:ctrlPr>
              <w:rPr>
                <w:rFonts w:ascii="Cambria Math" w:hAnsi="Cambria Math" w:cstheme="majorBidi"/>
                <w:i/>
                <w:color w:val="000000" w:themeColor="text1"/>
              </w:rPr>
            </m:ctrlPr>
          </m:sSubPr>
          <m:e>
            <m:r>
              <w:rPr>
                <w:rFonts w:ascii="Cambria Math" w:hAnsi="Cambria Math" w:cstheme="majorBidi"/>
                <w:color w:val="000000" w:themeColor="text1"/>
              </w:rPr>
              <m:t>TVP</m:t>
            </m:r>
          </m:e>
          <m:sub>
            <m:r>
              <w:rPr>
                <w:rFonts w:ascii="Cambria Math" w:hAnsi="Cambria Math" w:cstheme="majorBidi"/>
                <w:color w:val="000000" w:themeColor="text1"/>
              </w:rPr>
              <m:t>t</m:t>
            </m:r>
          </m:sub>
        </m:sSub>
        <m:r>
          <w:rPr>
            <w:rFonts w:ascii="Cambria Math" w:hAnsi="Cambria Math" w:cstheme="majorBidi"/>
            <w:color w:val="000000" w:themeColor="text1"/>
          </w:rPr>
          <m:t>+β</m:t>
        </m:r>
        <m:sSub>
          <m:sSubPr>
            <m:ctrlPr>
              <w:rPr>
                <w:rFonts w:ascii="Cambria Math" w:hAnsi="Cambria Math" w:cstheme="majorBidi"/>
                <w:i/>
                <w:color w:val="000000" w:themeColor="text1"/>
              </w:rPr>
            </m:ctrlPr>
          </m:sSubPr>
          <m:e>
            <m:r>
              <w:rPr>
                <w:rFonts w:ascii="Cambria Math" w:hAnsi="Cambria Math" w:cstheme="majorBidi"/>
                <w:color w:val="000000" w:themeColor="text1"/>
              </w:rPr>
              <m:t>X</m:t>
            </m:r>
          </m:e>
          <m:sub>
            <m:r>
              <w:rPr>
                <w:rFonts w:ascii="Cambria Math" w:hAnsi="Cambria Math" w:cstheme="majorBidi"/>
                <w:color w:val="000000" w:themeColor="text1"/>
              </w:rPr>
              <m:t>i,t</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ε</m:t>
            </m:r>
          </m:e>
          <m:sub>
            <m:r>
              <w:rPr>
                <w:rFonts w:ascii="Cambria Math" w:hAnsi="Cambria Math" w:cstheme="majorBidi"/>
                <w:color w:val="000000" w:themeColor="text1"/>
              </w:rPr>
              <m:t>i,t</m:t>
            </m:r>
          </m:sub>
        </m:sSub>
      </m:oMath>
      <w:r w:rsidR="001E0DEF" w:rsidRPr="00B35761">
        <w:rPr>
          <w:rFonts w:asciiTheme="majorBidi" w:hAnsiTheme="majorBidi" w:cstheme="majorBidi"/>
          <w:color w:val="000000" w:themeColor="text1"/>
        </w:rPr>
        <w:t>……………………</w:t>
      </w:r>
      <w:proofErr w:type="gramStart"/>
      <w:r w:rsidR="001E0DEF" w:rsidRPr="00B35761">
        <w:rPr>
          <w:rFonts w:asciiTheme="majorBidi" w:hAnsiTheme="majorBidi" w:cstheme="majorBidi"/>
          <w:color w:val="000000" w:themeColor="text1"/>
        </w:rPr>
        <w:t>…..</w:t>
      </w:r>
      <w:proofErr w:type="gramEnd"/>
      <w:r w:rsidR="001E0DEF" w:rsidRPr="00B35761">
        <w:rPr>
          <w:rFonts w:asciiTheme="majorBidi" w:hAnsiTheme="majorBidi" w:cstheme="majorBidi"/>
          <w:color w:val="000000" w:themeColor="text1"/>
        </w:rPr>
        <w:t>…….………….……..….…..….(3ii)</w:t>
      </w:r>
    </w:p>
    <w:p w14:paraId="363D9642" w14:textId="71A53E95" w:rsidR="001E0DEF" w:rsidRPr="00B35761" w:rsidRDefault="001E0DEF" w:rsidP="001E0DEF">
      <w:pPr>
        <w:widowControl w:val="0"/>
        <w:autoSpaceDE w:val="0"/>
        <w:autoSpaceDN w:val="0"/>
        <w:adjustRightInd w:val="0"/>
        <w:spacing w:line="360" w:lineRule="auto"/>
        <w:jc w:val="both"/>
        <w:rPr>
          <w:rFonts w:asciiTheme="majorBidi" w:hAnsiTheme="majorBidi" w:cstheme="majorBidi"/>
          <w:b/>
          <w:bCs/>
          <w:color w:val="000000"/>
          <w:sz w:val="24"/>
          <w:szCs w:val="24"/>
          <w:lang w:eastAsia="en-US"/>
        </w:rPr>
      </w:pPr>
      <w:r w:rsidRPr="00B35761">
        <w:rPr>
          <w:rFonts w:asciiTheme="majorBidi" w:hAnsiTheme="majorBidi" w:cstheme="majorBidi"/>
          <w:color w:val="000000" w:themeColor="text1"/>
          <w:sz w:val="24"/>
          <w:szCs w:val="24"/>
        </w:rPr>
        <w:t xml:space="preserve">In the first stage, equations (3i), we include </w:t>
      </w:r>
      <w:r w:rsidR="00213947" w:rsidRPr="00B35761">
        <w:rPr>
          <w:rFonts w:asciiTheme="majorBidi" w:hAnsiTheme="majorBidi" w:cstheme="majorBidi"/>
          <w:color w:val="000000" w:themeColor="text1"/>
          <w:sz w:val="24"/>
          <w:szCs w:val="24"/>
        </w:rPr>
        <w:t>return on assets</w:t>
      </w:r>
      <w:r w:rsidRPr="00B35761">
        <w:rPr>
          <w:rFonts w:asciiTheme="majorBidi" w:hAnsiTheme="majorBidi" w:cstheme="majorBidi"/>
          <w:color w:val="000000" w:themeColor="text1"/>
          <w:sz w:val="24"/>
          <w:szCs w:val="24"/>
        </w:rPr>
        <w:t xml:space="preserve"> (</w:t>
      </w:r>
      <w:r w:rsidR="00213947" w:rsidRPr="00B35761">
        <w:rPr>
          <w:rFonts w:asciiTheme="majorBidi" w:hAnsiTheme="majorBidi" w:cstheme="majorBidi"/>
          <w:i/>
          <w:iCs/>
          <w:color w:val="000000" w:themeColor="text1"/>
          <w:sz w:val="24"/>
          <w:szCs w:val="24"/>
        </w:rPr>
        <w:t>ROA</w:t>
      </w:r>
      <w:r w:rsidRPr="00B35761">
        <w:rPr>
          <w:rFonts w:asciiTheme="majorBidi" w:hAnsiTheme="majorBidi" w:cstheme="majorBidi"/>
          <w:color w:val="000000" w:themeColor="text1"/>
          <w:sz w:val="24"/>
          <w:szCs w:val="24"/>
        </w:rPr>
        <w:t>), instrumental variable (</w:t>
      </w:r>
      <w:r w:rsidRPr="00B35761">
        <w:rPr>
          <w:rFonts w:asciiTheme="majorBidi" w:hAnsiTheme="majorBidi" w:cstheme="majorBidi"/>
          <w:i/>
          <w:iCs/>
          <w:color w:val="000000" w:themeColor="text1"/>
          <w:sz w:val="24"/>
          <w:szCs w:val="24"/>
        </w:rPr>
        <w:t xml:space="preserve">IV) </w:t>
      </w:r>
      <w:r w:rsidRPr="00B35761">
        <w:rPr>
          <w:rFonts w:asciiTheme="majorBidi" w:hAnsiTheme="majorBidi" w:cstheme="majorBidi"/>
          <w:color w:val="000000" w:themeColor="text1"/>
          <w:sz w:val="24"/>
          <w:szCs w:val="24"/>
        </w:rPr>
        <w:t xml:space="preserve">for </w:t>
      </w:r>
      <w:r w:rsidR="003B1254">
        <w:rPr>
          <w:rFonts w:asciiTheme="majorBidi" w:hAnsiTheme="majorBidi" w:cstheme="majorBidi"/>
          <w:color w:val="000000" w:themeColor="text1"/>
          <w:sz w:val="24"/>
          <w:szCs w:val="24"/>
        </w:rPr>
        <w:t>the</w:t>
      </w:r>
      <w:r w:rsidRPr="00B35761">
        <w:rPr>
          <w:rFonts w:asciiTheme="majorBidi" w:hAnsiTheme="majorBidi" w:cstheme="majorBidi"/>
          <w:color w:val="000000" w:themeColor="text1"/>
          <w:sz w:val="24"/>
          <w:szCs w:val="24"/>
        </w:rPr>
        <w:t xml:space="preserve"> bonus model</w:t>
      </w:r>
      <w:r w:rsidRPr="00B35761">
        <w:rPr>
          <w:rFonts w:asciiTheme="majorBidi" w:hAnsiTheme="majorBidi" w:cstheme="majorBidi"/>
          <w:i/>
          <w:iCs/>
          <w:color w:val="000000" w:themeColor="text1"/>
          <w:sz w:val="24"/>
          <w:szCs w:val="24"/>
        </w:rPr>
        <w:t xml:space="preserve"> </w:t>
      </w:r>
      <w:r w:rsidRPr="00B35761">
        <w:rPr>
          <w:rFonts w:asciiTheme="majorBidi" w:hAnsiTheme="majorBidi" w:cstheme="majorBidi"/>
          <w:iCs/>
          <w:color w:val="000000" w:themeColor="text1"/>
          <w:sz w:val="24"/>
          <w:szCs w:val="24"/>
        </w:rPr>
        <w:t>(</w:t>
      </w:r>
      <w:proofErr w:type="spellStart"/>
      <w:r w:rsidR="00213947" w:rsidRPr="00B35761">
        <w:rPr>
          <w:rFonts w:asciiTheme="majorBidi" w:hAnsiTheme="majorBidi" w:cstheme="majorBidi"/>
          <w:i/>
          <w:iCs/>
          <w:color w:val="000000" w:themeColor="text1"/>
          <w:sz w:val="24"/>
          <w:szCs w:val="24"/>
        </w:rPr>
        <w:t>TVP</w:t>
      </w:r>
      <w:r w:rsidRPr="00B35761">
        <w:rPr>
          <w:rFonts w:asciiTheme="majorBidi" w:hAnsiTheme="majorBidi" w:cstheme="majorBidi"/>
          <w:color w:val="000000" w:themeColor="text1"/>
          <w:sz w:val="24"/>
          <w:szCs w:val="24"/>
          <w:vertAlign w:val="subscript"/>
        </w:rPr>
        <w:t>it</w:t>
      </w:r>
      <w:proofErr w:type="spellEnd"/>
      <w:r w:rsidRPr="00B35761">
        <w:rPr>
          <w:rFonts w:asciiTheme="majorBidi" w:hAnsiTheme="majorBidi" w:cstheme="majorBidi"/>
          <w:i/>
          <w:iCs/>
          <w:color w:val="000000" w:themeColor="text1"/>
          <w:sz w:val="24"/>
          <w:szCs w:val="24"/>
        </w:rPr>
        <w:t xml:space="preserve"> - industry-median </w:t>
      </w:r>
      <w:r w:rsidR="00213947" w:rsidRPr="00B35761">
        <w:rPr>
          <w:rFonts w:asciiTheme="majorBidi" w:hAnsiTheme="majorBidi" w:cstheme="majorBidi"/>
          <w:i/>
          <w:iCs/>
          <w:color w:val="000000" w:themeColor="text1"/>
          <w:sz w:val="24"/>
          <w:szCs w:val="24"/>
        </w:rPr>
        <w:t>total variable pay)</w:t>
      </w:r>
      <w:r w:rsidRPr="00B35761">
        <w:rPr>
          <w:rFonts w:asciiTheme="majorBidi" w:hAnsiTheme="majorBidi" w:cstheme="majorBidi"/>
          <w:color w:val="000000" w:themeColor="text1"/>
          <w:sz w:val="24"/>
          <w:szCs w:val="24"/>
        </w:rPr>
        <w:t xml:space="preserve"> together with other controls. </w:t>
      </w:r>
      <w:r w:rsidR="00213947" w:rsidRPr="00B35761">
        <w:rPr>
          <w:rFonts w:asciiTheme="majorBidi" w:hAnsiTheme="majorBidi" w:cstheme="majorBidi"/>
          <w:color w:val="000000" w:themeColor="text1"/>
          <w:sz w:val="24"/>
          <w:szCs w:val="24"/>
        </w:rPr>
        <w:t>Thus</w:t>
      </w:r>
      <w:r w:rsidRPr="00B35761">
        <w:rPr>
          <w:rFonts w:asciiTheme="majorBidi" w:hAnsiTheme="majorBidi" w:cstheme="majorBidi"/>
          <w:color w:val="000000" w:themeColor="text1"/>
          <w:sz w:val="24"/>
          <w:szCs w:val="24"/>
        </w:rPr>
        <w:t xml:space="preserve">, we </w:t>
      </w:r>
      <w:r w:rsidR="00213947" w:rsidRPr="00B35761">
        <w:rPr>
          <w:rFonts w:asciiTheme="majorBidi" w:hAnsiTheme="majorBidi" w:cstheme="majorBidi"/>
          <w:color w:val="000000" w:themeColor="text1"/>
          <w:sz w:val="24"/>
          <w:szCs w:val="24"/>
        </w:rPr>
        <w:t>regress total variable pay</w:t>
      </w:r>
      <w:r w:rsidRPr="00B35761">
        <w:rPr>
          <w:rFonts w:asciiTheme="majorBidi" w:hAnsiTheme="majorBidi" w:cstheme="majorBidi"/>
          <w:color w:val="000000" w:themeColor="text1"/>
          <w:sz w:val="24"/>
          <w:szCs w:val="24"/>
        </w:rPr>
        <w:t xml:space="preserve"> </w:t>
      </w:r>
      <w:r w:rsidR="00213947" w:rsidRPr="00B35761">
        <w:rPr>
          <w:rFonts w:asciiTheme="majorBidi" w:hAnsiTheme="majorBidi" w:cstheme="majorBidi"/>
          <w:color w:val="000000" w:themeColor="text1"/>
          <w:sz w:val="24"/>
          <w:szCs w:val="24"/>
        </w:rPr>
        <w:t>(</w:t>
      </w:r>
      <w:proofErr w:type="spellStart"/>
      <w:r w:rsidR="00213947" w:rsidRPr="00B35761">
        <w:rPr>
          <w:rFonts w:asciiTheme="majorBidi" w:hAnsiTheme="majorBidi" w:cstheme="majorBidi"/>
          <w:i/>
          <w:iCs/>
          <w:color w:val="000000" w:themeColor="text1"/>
          <w:sz w:val="24"/>
          <w:szCs w:val="24"/>
        </w:rPr>
        <w:t>TVP</w:t>
      </w:r>
      <w:r w:rsidRPr="00B35761">
        <w:rPr>
          <w:rFonts w:asciiTheme="majorBidi" w:hAnsiTheme="majorBidi" w:cstheme="majorBidi"/>
          <w:color w:val="000000" w:themeColor="text1"/>
          <w:sz w:val="24"/>
          <w:szCs w:val="24"/>
          <w:vertAlign w:val="subscript"/>
        </w:rPr>
        <w:t>it</w:t>
      </w:r>
      <w:proofErr w:type="spellEnd"/>
      <w:r w:rsidR="00213947" w:rsidRPr="00B35761">
        <w:rPr>
          <w:rFonts w:asciiTheme="majorBidi" w:hAnsiTheme="majorBidi" w:cstheme="majorBidi"/>
          <w:color w:val="000000" w:themeColor="text1"/>
          <w:sz w:val="24"/>
          <w:szCs w:val="24"/>
        </w:rPr>
        <w:t>)</w:t>
      </w:r>
      <w:r w:rsidRPr="00B35761">
        <w:rPr>
          <w:rFonts w:asciiTheme="majorBidi" w:hAnsiTheme="majorBidi" w:cstheme="majorBidi"/>
          <w:color w:val="000000" w:themeColor="text1"/>
          <w:sz w:val="24"/>
          <w:szCs w:val="24"/>
        </w:rPr>
        <w:t xml:space="preserve"> on the determinants to obtain the predicted values for </w:t>
      </w:r>
      <w:r w:rsidR="00213947" w:rsidRPr="00B35761">
        <w:rPr>
          <w:rFonts w:asciiTheme="majorBidi" w:hAnsiTheme="majorBidi" w:cstheme="majorBidi"/>
          <w:color w:val="000000" w:themeColor="text1"/>
          <w:sz w:val="24"/>
          <w:szCs w:val="24"/>
        </w:rPr>
        <w:t xml:space="preserve">the pay </w:t>
      </w:r>
      <w:r w:rsidRPr="00B35761">
        <w:rPr>
          <w:rFonts w:asciiTheme="majorBidi" w:hAnsiTheme="majorBidi" w:cstheme="majorBidi"/>
          <w:color w:val="000000" w:themeColor="text1"/>
          <w:sz w:val="24"/>
          <w:szCs w:val="24"/>
        </w:rPr>
        <w:t xml:space="preserve">component </w:t>
      </w:r>
      <w:r w:rsidR="00213947" w:rsidRPr="00B35761">
        <w:rPr>
          <w:rFonts w:asciiTheme="majorBidi" w:hAnsiTheme="majorBidi" w:cstheme="majorBidi"/>
          <w:color w:val="000000" w:themeColor="text1"/>
          <w:sz w:val="24"/>
          <w:szCs w:val="24"/>
        </w:rPr>
        <w:t>(</w:t>
      </w:r>
      <m:oMath>
        <m:r>
          <w:rPr>
            <w:rFonts w:ascii="Cambria Math" w:hAnsi="Cambria Math" w:cstheme="majorBidi"/>
            <w:color w:val="000000" w:themeColor="text1"/>
          </w:rPr>
          <m:t>α</m:t>
        </m:r>
      </m:oMath>
      <w:r w:rsidR="00213947" w:rsidRPr="00B35761">
        <w:rPr>
          <w:rFonts w:asciiTheme="majorBidi" w:hAnsiTheme="majorBidi" w:cstheme="majorBidi"/>
          <w:i/>
          <w:iCs/>
          <w:color w:val="000000" w:themeColor="text1"/>
          <w:sz w:val="24"/>
          <w:szCs w:val="24"/>
        </w:rPr>
        <w:t>TVP</w:t>
      </w:r>
      <w:r w:rsidR="00213947" w:rsidRPr="00B35761">
        <w:rPr>
          <w:rFonts w:asciiTheme="majorBidi" w:hAnsiTheme="majorBidi" w:cstheme="majorBidi"/>
          <w:color w:val="000000" w:themeColor="text1"/>
          <w:sz w:val="24"/>
          <w:szCs w:val="24"/>
        </w:rPr>
        <w:t>) which is</w:t>
      </w:r>
      <w:r w:rsidRPr="00B35761">
        <w:rPr>
          <w:rFonts w:asciiTheme="majorBidi" w:hAnsiTheme="majorBidi" w:cstheme="majorBidi"/>
          <w:color w:val="000000" w:themeColor="text1"/>
          <w:sz w:val="24"/>
          <w:szCs w:val="24"/>
        </w:rPr>
        <w:t xml:space="preserve"> then included in the </w:t>
      </w:r>
      <w:r w:rsidR="00213947" w:rsidRPr="00B35761">
        <w:rPr>
          <w:rFonts w:asciiTheme="majorBidi" w:hAnsiTheme="majorBidi" w:cstheme="majorBidi"/>
          <w:i/>
          <w:iCs/>
          <w:color w:val="000000" w:themeColor="text1"/>
          <w:sz w:val="24"/>
          <w:szCs w:val="24"/>
        </w:rPr>
        <w:t>ROA</w:t>
      </w:r>
      <w:r w:rsidRPr="00B35761">
        <w:rPr>
          <w:rFonts w:asciiTheme="majorBidi" w:hAnsiTheme="majorBidi" w:cstheme="majorBidi"/>
          <w:color w:val="000000" w:themeColor="text1"/>
          <w:sz w:val="24"/>
          <w:szCs w:val="24"/>
        </w:rPr>
        <w:t xml:space="preserve"> equation (3ii).   </w:t>
      </w:r>
    </w:p>
    <w:p w14:paraId="5E566B71" w14:textId="17399FB7" w:rsidR="001E0DEF" w:rsidRPr="00B35761" w:rsidRDefault="001E0DEF" w:rsidP="001E0DEF">
      <w:pPr>
        <w:spacing w:line="360" w:lineRule="auto"/>
        <w:jc w:val="both"/>
        <w:rPr>
          <w:rFonts w:asciiTheme="majorBidi" w:hAnsiTheme="majorBidi" w:cstheme="majorBidi"/>
          <w:color w:val="000000"/>
          <w:sz w:val="24"/>
          <w:szCs w:val="24"/>
        </w:rPr>
      </w:pPr>
    </w:p>
    <w:p w14:paraId="0017F070" w14:textId="1353BCE4" w:rsidR="00BE74CA" w:rsidRPr="00B35761" w:rsidRDefault="00BE74CA" w:rsidP="00D5505E">
      <w:pPr>
        <w:pStyle w:val="Heading1"/>
        <w:numPr>
          <w:ilvl w:val="0"/>
          <w:numId w:val="0"/>
        </w:numPr>
        <w:spacing w:after="0" w:line="360" w:lineRule="auto"/>
        <w:jc w:val="center"/>
        <w:rPr>
          <w:rFonts w:ascii="Times New Roman" w:hAnsi="Times New Roman" w:cs="Times New Roman"/>
          <w:sz w:val="24"/>
          <w:szCs w:val="24"/>
        </w:rPr>
      </w:pPr>
      <w:r w:rsidRPr="00B35761">
        <w:rPr>
          <w:rFonts w:ascii="Times New Roman" w:hAnsi="Times New Roman" w:cs="Times New Roman"/>
          <w:sz w:val="24"/>
          <w:szCs w:val="24"/>
        </w:rPr>
        <w:t>4.</w:t>
      </w:r>
      <w:r w:rsidR="00D5505E">
        <w:rPr>
          <w:rFonts w:ascii="Times New Roman" w:hAnsi="Times New Roman" w:cs="Times New Roman"/>
          <w:sz w:val="24"/>
          <w:szCs w:val="24"/>
        </w:rPr>
        <w:t xml:space="preserve"> RESULTS AND DISCUSSION</w:t>
      </w:r>
    </w:p>
    <w:p w14:paraId="316F9AA2" w14:textId="77777777" w:rsidR="00BE74CA" w:rsidRPr="00B35761" w:rsidRDefault="00BE74CA" w:rsidP="00BE74CA">
      <w:pPr>
        <w:pStyle w:val="Heading1"/>
        <w:numPr>
          <w:ilvl w:val="0"/>
          <w:numId w:val="0"/>
        </w:numPr>
        <w:spacing w:before="240" w:after="0" w:line="360" w:lineRule="auto"/>
        <w:rPr>
          <w:rFonts w:ascii="Times New Roman" w:hAnsi="Times New Roman" w:cs="Times New Roman"/>
          <w:i/>
          <w:sz w:val="24"/>
          <w:szCs w:val="24"/>
        </w:rPr>
      </w:pPr>
      <w:r w:rsidRPr="00B35761">
        <w:rPr>
          <w:rFonts w:ascii="Times New Roman" w:hAnsi="Times New Roman" w:cs="Times New Roman"/>
          <w:i/>
          <w:sz w:val="24"/>
          <w:szCs w:val="24"/>
        </w:rPr>
        <w:t xml:space="preserve">4.1. Summary statistics and bivariate correlations </w:t>
      </w:r>
    </w:p>
    <w:p w14:paraId="218BF732" w14:textId="39C8B68B" w:rsidR="00BE74CA" w:rsidRDefault="00BE74CA" w:rsidP="000D5C6B">
      <w:pPr>
        <w:widowControl w:val="0"/>
        <w:autoSpaceDE w:val="0"/>
        <w:autoSpaceDN w:val="0"/>
        <w:adjustRightInd w:val="0"/>
        <w:spacing w:line="480" w:lineRule="auto"/>
        <w:jc w:val="both"/>
        <w:rPr>
          <w:rFonts w:ascii="Times New Roman" w:hAnsi="Times New Roman"/>
          <w:sz w:val="24"/>
          <w:szCs w:val="24"/>
        </w:rPr>
      </w:pPr>
      <w:r w:rsidRPr="00B35761">
        <w:rPr>
          <w:rFonts w:ascii="Times New Roman" w:hAnsi="Times New Roman"/>
          <w:sz w:val="24"/>
          <w:szCs w:val="24"/>
        </w:rPr>
        <w:t xml:space="preserve">Table 2 </w:t>
      </w:r>
      <w:r w:rsidR="003D2B64">
        <w:rPr>
          <w:rFonts w:ascii="Times New Roman" w:hAnsi="Times New Roman"/>
          <w:sz w:val="24"/>
          <w:szCs w:val="24"/>
        </w:rPr>
        <w:t>presents</w:t>
      </w:r>
      <w:r w:rsidRPr="00B35761">
        <w:rPr>
          <w:rFonts w:ascii="Times New Roman" w:hAnsi="Times New Roman"/>
          <w:sz w:val="24"/>
          <w:szCs w:val="24"/>
        </w:rPr>
        <w:t xml:space="preserve"> </w:t>
      </w:r>
      <w:r w:rsidR="00FC1A9D" w:rsidRPr="00B35761">
        <w:rPr>
          <w:rFonts w:ascii="Times New Roman" w:hAnsi="Times New Roman"/>
          <w:sz w:val="24"/>
          <w:szCs w:val="24"/>
        </w:rPr>
        <w:t>the descriptive</w:t>
      </w:r>
      <w:r w:rsidRPr="00B35761">
        <w:rPr>
          <w:rFonts w:ascii="Times New Roman" w:hAnsi="Times New Roman"/>
          <w:sz w:val="24"/>
          <w:szCs w:val="24"/>
        </w:rPr>
        <w:t xml:space="preserve"> statistics </w:t>
      </w:r>
      <w:r w:rsidR="003D2B64">
        <w:rPr>
          <w:rFonts w:ascii="Times New Roman" w:hAnsi="Times New Roman"/>
          <w:sz w:val="24"/>
          <w:szCs w:val="24"/>
        </w:rPr>
        <w:t>for the variables in the study</w:t>
      </w:r>
      <w:r w:rsidRPr="00B35761">
        <w:rPr>
          <w:rFonts w:ascii="Times New Roman" w:hAnsi="Times New Roman"/>
          <w:sz w:val="24"/>
          <w:szCs w:val="24"/>
        </w:rPr>
        <w:t xml:space="preserve">. The average value of </w:t>
      </w:r>
      <w:r w:rsidR="00FC1A9D" w:rsidRPr="00B35761">
        <w:rPr>
          <w:rFonts w:ascii="Times New Roman" w:hAnsi="Times New Roman"/>
          <w:sz w:val="24"/>
          <w:szCs w:val="24"/>
        </w:rPr>
        <w:t>return on assets</w:t>
      </w:r>
      <w:r w:rsidRPr="00B35761">
        <w:rPr>
          <w:rFonts w:ascii="Times New Roman" w:hAnsi="Times New Roman"/>
          <w:sz w:val="24"/>
          <w:szCs w:val="24"/>
        </w:rPr>
        <w:t xml:space="preserve"> (</w:t>
      </w:r>
      <w:r w:rsidR="00FC1A9D" w:rsidRPr="00B35761">
        <w:rPr>
          <w:rFonts w:ascii="Times New Roman" w:hAnsi="Times New Roman"/>
          <w:i/>
          <w:iCs/>
          <w:sz w:val="24"/>
          <w:szCs w:val="24"/>
        </w:rPr>
        <w:t>ROA</w:t>
      </w:r>
      <w:r w:rsidRPr="00B35761">
        <w:rPr>
          <w:rFonts w:ascii="Times New Roman" w:hAnsi="Times New Roman"/>
          <w:sz w:val="24"/>
          <w:szCs w:val="24"/>
        </w:rPr>
        <w:t xml:space="preserve">) is </w:t>
      </w:r>
      <w:r w:rsidR="00F56EC2" w:rsidRPr="00B35761">
        <w:rPr>
          <w:rFonts w:ascii="Times New Roman" w:hAnsi="Times New Roman"/>
          <w:sz w:val="24"/>
          <w:szCs w:val="24"/>
        </w:rPr>
        <w:t>6.75</w:t>
      </w:r>
      <w:r w:rsidRPr="00B35761">
        <w:rPr>
          <w:rFonts w:ascii="Times New Roman" w:hAnsi="Times New Roman"/>
          <w:sz w:val="24"/>
          <w:szCs w:val="24"/>
        </w:rPr>
        <w:t xml:space="preserve"> and has a standard deviation </w:t>
      </w:r>
      <w:r w:rsidR="003D2B64">
        <w:rPr>
          <w:rFonts w:ascii="Times New Roman" w:hAnsi="Times New Roman"/>
          <w:sz w:val="24"/>
          <w:szCs w:val="24"/>
        </w:rPr>
        <w:t xml:space="preserve">of </w:t>
      </w:r>
      <w:r w:rsidR="00F56EC2" w:rsidRPr="00B35761">
        <w:rPr>
          <w:rFonts w:ascii="Times New Roman" w:hAnsi="Times New Roman"/>
          <w:sz w:val="24"/>
          <w:szCs w:val="24"/>
        </w:rPr>
        <w:t>8</w:t>
      </w:r>
      <w:r w:rsidRPr="00B35761">
        <w:rPr>
          <w:rFonts w:ascii="Times New Roman" w:hAnsi="Times New Roman"/>
          <w:sz w:val="24"/>
          <w:szCs w:val="24"/>
        </w:rPr>
        <w:t>.</w:t>
      </w:r>
      <w:r w:rsidR="00F56EC2" w:rsidRPr="00B35761">
        <w:rPr>
          <w:rFonts w:ascii="Times New Roman" w:hAnsi="Times New Roman"/>
          <w:sz w:val="24"/>
          <w:szCs w:val="24"/>
        </w:rPr>
        <w:t>56</w:t>
      </w:r>
      <w:r w:rsidRPr="00B35761">
        <w:rPr>
          <w:rFonts w:ascii="Times New Roman" w:hAnsi="Times New Roman"/>
          <w:sz w:val="24"/>
          <w:szCs w:val="24"/>
        </w:rPr>
        <w:t xml:space="preserve"> while that of </w:t>
      </w:r>
      <w:r w:rsidR="00EE4796" w:rsidRPr="00B35761">
        <w:rPr>
          <w:rFonts w:ascii="Times New Roman" w:hAnsi="Times New Roman"/>
          <w:sz w:val="24"/>
          <w:szCs w:val="24"/>
        </w:rPr>
        <w:t>Tobin’s Q</w:t>
      </w:r>
      <w:r w:rsidRPr="00B35761">
        <w:rPr>
          <w:rFonts w:ascii="Times New Roman" w:hAnsi="Times New Roman"/>
          <w:sz w:val="24"/>
          <w:szCs w:val="24"/>
        </w:rPr>
        <w:t xml:space="preserve"> (</w:t>
      </w:r>
      <w:r w:rsidR="00EE4796" w:rsidRPr="00B35761">
        <w:rPr>
          <w:rFonts w:ascii="Times New Roman" w:hAnsi="Times New Roman"/>
          <w:sz w:val="24"/>
          <w:szCs w:val="24"/>
        </w:rPr>
        <w:t>TQ</w:t>
      </w:r>
      <w:r w:rsidRPr="00B35761">
        <w:rPr>
          <w:rFonts w:ascii="Times New Roman" w:hAnsi="Times New Roman"/>
          <w:sz w:val="24"/>
          <w:szCs w:val="24"/>
        </w:rPr>
        <w:t xml:space="preserve">) is </w:t>
      </w:r>
      <w:r w:rsidR="00EE4796" w:rsidRPr="00B35761">
        <w:rPr>
          <w:rFonts w:ascii="Times New Roman" w:hAnsi="Times New Roman"/>
          <w:sz w:val="24"/>
          <w:szCs w:val="24"/>
        </w:rPr>
        <w:t>1</w:t>
      </w:r>
      <w:r w:rsidRPr="00B35761">
        <w:rPr>
          <w:rFonts w:ascii="Times New Roman" w:hAnsi="Times New Roman"/>
          <w:sz w:val="24"/>
          <w:szCs w:val="24"/>
        </w:rPr>
        <w:t>.</w:t>
      </w:r>
      <w:r w:rsidR="00EE4796" w:rsidRPr="00B35761">
        <w:rPr>
          <w:rFonts w:ascii="Times New Roman" w:hAnsi="Times New Roman"/>
          <w:sz w:val="24"/>
          <w:szCs w:val="24"/>
        </w:rPr>
        <w:t>77</w:t>
      </w:r>
      <w:r w:rsidRPr="00B35761">
        <w:rPr>
          <w:rFonts w:ascii="Times New Roman" w:hAnsi="Times New Roman"/>
          <w:sz w:val="24"/>
          <w:szCs w:val="24"/>
        </w:rPr>
        <w:t xml:space="preserve"> with a standard deviation of </w:t>
      </w:r>
      <w:r w:rsidR="00EE4796" w:rsidRPr="00B35761">
        <w:rPr>
          <w:rFonts w:ascii="Times New Roman" w:hAnsi="Times New Roman"/>
          <w:sz w:val="24"/>
          <w:szCs w:val="24"/>
        </w:rPr>
        <w:t>1</w:t>
      </w:r>
      <w:r w:rsidRPr="00B35761">
        <w:rPr>
          <w:rFonts w:ascii="Times New Roman" w:hAnsi="Times New Roman"/>
          <w:sz w:val="24"/>
          <w:szCs w:val="24"/>
        </w:rPr>
        <w:t>.</w:t>
      </w:r>
      <w:r w:rsidR="00EE4796" w:rsidRPr="00B35761">
        <w:rPr>
          <w:rFonts w:ascii="Times New Roman" w:hAnsi="Times New Roman"/>
          <w:sz w:val="24"/>
          <w:szCs w:val="24"/>
        </w:rPr>
        <w:t>1</w:t>
      </w:r>
      <w:r w:rsidRPr="00B35761">
        <w:rPr>
          <w:rFonts w:ascii="Times New Roman" w:hAnsi="Times New Roman"/>
          <w:sz w:val="24"/>
          <w:szCs w:val="24"/>
        </w:rPr>
        <w:t xml:space="preserve">1. The variables have a minimum value of </w:t>
      </w:r>
      <w:r w:rsidR="00EE4796" w:rsidRPr="00B35761">
        <w:rPr>
          <w:rFonts w:ascii="Times New Roman" w:hAnsi="Times New Roman"/>
          <w:sz w:val="24"/>
          <w:szCs w:val="24"/>
        </w:rPr>
        <w:t>-56</w:t>
      </w:r>
      <w:r w:rsidRPr="00B35761">
        <w:rPr>
          <w:rFonts w:ascii="Times New Roman" w:hAnsi="Times New Roman"/>
          <w:sz w:val="24"/>
          <w:szCs w:val="24"/>
        </w:rPr>
        <w:t>.</w:t>
      </w:r>
      <w:r w:rsidR="00EE4796" w:rsidRPr="00B35761">
        <w:rPr>
          <w:rFonts w:ascii="Times New Roman" w:hAnsi="Times New Roman"/>
          <w:sz w:val="24"/>
          <w:szCs w:val="24"/>
        </w:rPr>
        <w:t>98</w:t>
      </w:r>
      <w:r w:rsidRPr="00B35761">
        <w:rPr>
          <w:rFonts w:ascii="Times New Roman" w:hAnsi="Times New Roman"/>
          <w:sz w:val="24"/>
          <w:szCs w:val="24"/>
        </w:rPr>
        <w:t xml:space="preserve"> and </w:t>
      </w:r>
      <w:r w:rsidR="005C7225" w:rsidRPr="00B35761">
        <w:rPr>
          <w:rFonts w:ascii="Times New Roman" w:hAnsi="Times New Roman"/>
          <w:sz w:val="24"/>
          <w:szCs w:val="24"/>
        </w:rPr>
        <w:t>a 95</w:t>
      </w:r>
      <w:r w:rsidR="005C7225" w:rsidRPr="00B35761">
        <w:rPr>
          <w:rFonts w:ascii="Times New Roman" w:hAnsi="Times New Roman"/>
          <w:sz w:val="24"/>
          <w:szCs w:val="24"/>
          <w:vertAlign w:val="superscript"/>
        </w:rPr>
        <w:t>th</w:t>
      </w:r>
      <w:r w:rsidR="005C7225" w:rsidRPr="00B35761">
        <w:rPr>
          <w:rFonts w:ascii="Times New Roman" w:hAnsi="Times New Roman"/>
          <w:sz w:val="24"/>
          <w:szCs w:val="24"/>
        </w:rPr>
        <w:t xml:space="preserve"> percentile of 18.44</w:t>
      </w:r>
      <w:r w:rsidRPr="00B35761">
        <w:rPr>
          <w:rFonts w:ascii="Times New Roman" w:hAnsi="Times New Roman"/>
          <w:sz w:val="24"/>
          <w:szCs w:val="24"/>
        </w:rPr>
        <w:t xml:space="preserve"> for </w:t>
      </w:r>
      <w:r w:rsidR="00EE4796" w:rsidRPr="00B35761">
        <w:rPr>
          <w:rFonts w:ascii="Times New Roman" w:hAnsi="Times New Roman"/>
          <w:i/>
          <w:iCs/>
          <w:sz w:val="24"/>
          <w:szCs w:val="24"/>
        </w:rPr>
        <w:t>ROA</w:t>
      </w:r>
      <w:r w:rsidR="005C7225" w:rsidRPr="00B35761">
        <w:rPr>
          <w:rFonts w:ascii="Times New Roman" w:hAnsi="Times New Roman"/>
          <w:sz w:val="24"/>
          <w:szCs w:val="24"/>
        </w:rPr>
        <w:t xml:space="preserve"> </w:t>
      </w:r>
      <w:r w:rsidRPr="00B35761">
        <w:rPr>
          <w:rFonts w:ascii="Times New Roman" w:hAnsi="Times New Roman"/>
          <w:sz w:val="24"/>
          <w:szCs w:val="24"/>
        </w:rPr>
        <w:t xml:space="preserve">while </w:t>
      </w:r>
      <w:r w:rsidR="005C7225" w:rsidRPr="00B35761">
        <w:rPr>
          <w:rFonts w:ascii="Times New Roman" w:hAnsi="Times New Roman"/>
          <w:i/>
          <w:iCs/>
          <w:sz w:val="24"/>
          <w:szCs w:val="24"/>
        </w:rPr>
        <w:t>TQ</w:t>
      </w:r>
      <w:r w:rsidRPr="00B35761">
        <w:rPr>
          <w:rFonts w:ascii="Times New Roman" w:hAnsi="Times New Roman"/>
          <w:sz w:val="24"/>
          <w:szCs w:val="24"/>
        </w:rPr>
        <w:t xml:space="preserve"> </w:t>
      </w:r>
      <w:r w:rsidR="003D2B64">
        <w:rPr>
          <w:rFonts w:ascii="Times New Roman" w:hAnsi="Times New Roman"/>
          <w:sz w:val="24"/>
          <w:szCs w:val="24"/>
        </w:rPr>
        <w:t>showed</w:t>
      </w:r>
      <w:r w:rsidRPr="00B35761">
        <w:rPr>
          <w:rFonts w:ascii="Times New Roman" w:hAnsi="Times New Roman"/>
          <w:sz w:val="24"/>
          <w:szCs w:val="24"/>
        </w:rPr>
        <w:t xml:space="preserve"> 0.</w:t>
      </w:r>
      <w:r w:rsidR="005C7225" w:rsidRPr="00B35761">
        <w:rPr>
          <w:rFonts w:ascii="Times New Roman" w:hAnsi="Times New Roman"/>
          <w:sz w:val="24"/>
          <w:szCs w:val="24"/>
        </w:rPr>
        <w:t>73</w:t>
      </w:r>
      <w:r w:rsidRPr="00B35761">
        <w:rPr>
          <w:rFonts w:ascii="Times New Roman" w:hAnsi="Times New Roman"/>
          <w:sz w:val="24"/>
          <w:szCs w:val="24"/>
        </w:rPr>
        <w:t xml:space="preserve"> and </w:t>
      </w:r>
      <w:r w:rsidR="005C7225" w:rsidRPr="00B35761">
        <w:rPr>
          <w:rFonts w:ascii="Times New Roman" w:hAnsi="Times New Roman"/>
          <w:sz w:val="24"/>
          <w:szCs w:val="24"/>
        </w:rPr>
        <w:t>3</w:t>
      </w:r>
      <w:r w:rsidRPr="00B35761">
        <w:rPr>
          <w:rFonts w:ascii="Times New Roman" w:hAnsi="Times New Roman"/>
          <w:sz w:val="24"/>
          <w:szCs w:val="24"/>
        </w:rPr>
        <w:t>.</w:t>
      </w:r>
      <w:r w:rsidR="005C7225" w:rsidRPr="00B35761">
        <w:rPr>
          <w:rFonts w:ascii="Times New Roman" w:hAnsi="Times New Roman"/>
          <w:sz w:val="24"/>
          <w:szCs w:val="24"/>
        </w:rPr>
        <w:t>66</w:t>
      </w:r>
      <w:r w:rsidR="003D2B64">
        <w:rPr>
          <w:rFonts w:ascii="Times New Roman" w:hAnsi="Times New Roman"/>
          <w:sz w:val="24"/>
          <w:szCs w:val="24"/>
        </w:rPr>
        <w:t xml:space="preserve"> respectively</w:t>
      </w:r>
      <w:r w:rsidRPr="00B35761">
        <w:rPr>
          <w:rFonts w:ascii="Times New Roman" w:hAnsi="Times New Roman"/>
          <w:sz w:val="24"/>
          <w:szCs w:val="24"/>
        </w:rPr>
        <w:t>, signifyi</w:t>
      </w:r>
      <w:r w:rsidR="00C85FD2">
        <w:rPr>
          <w:rFonts w:ascii="Times New Roman" w:hAnsi="Times New Roman"/>
          <w:sz w:val="24"/>
          <w:szCs w:val="24"/>
        </w:rPr>
        <w:t xml:space="preserve">ng a high degree of </w:t>
      </w:r>
      <w:r w:rsidR="00802998">
        <w:rPr>
          <w:rFonts w:ascii="Times New Roman" w:hAnsi="Times New Roman"/>
          <w:sz w:val="24"/>
          <w:szCs w:val="24"/>
        </w:rPr>
        <w:t>variability</w:t>
      </w:r>
      <w:r w:rsidR="001D07A8" w:rsidRPr="00B35761">
        <w:rPr>
          <w:rFonts w:ascii="Times New Roman" w:hAnsi="Times New Roman"/>
          <w:sz w:val="24"/>
          <w:szCs w:val="24"/>
        </w:rPr>
        <w:t xml:space="preserve"> for </w:t>
      </w:r>
      <w:r w:rsidR="001D07A8" w:rsidRPr="00B35761">
        <w:rPr>
          <w:rFonts w:ascii="Times New Roman" w:hAnsi="Times New Roman"/>
          <w:i/>
          <w:iCs/>
          <w:sz w:val="24"/>
          <w:szCs w:val="24"/>
        </w:rPr>
        <w:t>ROA</w:t>
      </w:r>
      <w:r w:rsidR="001D07A8" w:rsidRPr="00B35761">
        <w:rPr>
          <w:rFonts w:ascii="Times New Roman" w:hAnsi="Times New Roman"/>
          <w:sz w:val="24"/>
          <w:szCs w:val="24"/>
        </w:rPr>
        <w:t xml:space="preserve"> compared to </w:t>
      </w:r>
      <w:r w:rsidR="001D07A8" w:rsidRPr="00B35761">
        <w:rPr>
          <w:rFonts w:ascii="Times New Roman" w:hAnsi="Times New Roman"/>
          <w:i/>
          <w:iCs/>
          <w:sz w:val="24"/>
          <w:szCs w:val="24"/>
        </w:rPr>
        <w:t>TQ</w:t>
      </w:r>
      <w:r w:rsidR="001D07A8" w:rsidRPr="00B35761">
        <w:rPr>
          <w:rFonts w:ascii="Times New Roman" w:hAnsi="Times New Roman"/>
          <w:sz w:val="24"/>
          <w:szCs w:val="24"/>
        </w:rPr>
        <w:t xml:space="preserve"> measure</w:t>
      </w:r>
      <w:r w:rsidRPr="00B35761">
        <w:rPr>
          <w:rFonts w:ascii="Times New Roman" w:hAnsi="Times New Roman"/>
          <w:sz w:val="24"/>
          <w:szCs w:val="24"/>
        </w:rPr>
        <w:t xml:space="preserve">. </w:t>
      </w:r>
      <w:r w:rsidR="001D07A8" w:rsidRPr="00B35761">
        <w:rPr>
          <w:rFonts w:ascii="Times New Roman" w:hAnsi="Times New Roman"/>
          <w:sz w:val="24"/>
          <w:szCs w:val="24"/>
        </w:rPr>
        <w:t>T</w:t>
      </w:r>
      <w:r w:rsidRPr="00B35761">
        <w:rPr>
          <w:rFonts w:ascii="Times New Roman" w:hAnsi="Times New Roman"/>
          <w:sz w:val="24"/>
          <w:szCs w:val="24"/>
        </w:rPr>
        <w:t xml:space="preserve">he average value of </w:t>
      </w:r>
      <w:r w:rsidR="00560E46" w:rsidRPr="00B35761">
        <w:rPr>
          <w:rFonts w:ascii="Times New Roman" w:hAnsi="Times New Roman"/>
          <w:sz w:val="24"/>
          <w:szCs w:val="24"/>
        </w:rPr>
        <w:t>executives’</w:t>
      </w:r>
      <w:r w:rsidR="001D07A8" w:rsidRPr="00B35761">
        <w:rPr>
          <w:rFonts w:ascii="Times New Roman" w:hAnsi="Times New Roman"/>
          <w:sz w:val="24"/>
          <w:szCs w:val="24"/>
        </w:rPr>
        <w:t xml:space="preserve"> total variable pay </w:t>
      </w:r>
      <w:r w:rsidRPr="00B35761">
        <w:rPr>
          <w:rFonts w:ascii="Times New Roman" w:hAnsi="Times New Roman"/>
          <w:sz w:val="24"/>
          <w:szCs w:val="24"/>
        </w:rPr>
        <w:t>(</w:t>
      </w:r>
      <w:r w:rsidR="001D07A8" w:rsidRPr="00B35761">
        <w:rPr>
          <w:rFonts w:ascii="Times New Roman" w:hAnsi="Times New Roman"/>
          <w:i/>
          <w:iCs/>
          <w:sz w:val="24"/>
          <w:szCs w:val="24"/>
        </w:rPr>
        <w:t>TVP</w:t>
      </w:r>
      <w:r w:rsidRPr="00B35761">
        <w:rPr>
          <w:rFonts w:ascii="Times New Roman" w:hAnsi="Times New Roman"/>
          <w:sz w:val="24"/>
          <w:szCs w:val="24"/>
        </w:rPr>
        <w:t xml:space="preserve">) is </w:t>
      </w:r>
      <w:r w:rsidR="001D07A8" w:rsidRPr="00B35761">
        <w:rPr>
          <w:rFonts w:ascii="Times New Roman" w:hAnsi="Times New Roman"/>
          <w:sz w:val="24"/>
          <w:szCs w:val="24"/>
        </w:rPr>
        <w:t>16</w:t>
      </w:r>
      <w:r w:rsidRPr="00B35761">
        <w:rPr>
          <w:rFonts w:ascii="Times New Roman" w:hAnsi="Times New Roman"/>
          <w:sz w:val="24"/>
          <w:szCs w:val="24"/>
        </w:rPr>
        <w:t>.</w:t>
      </w:r>
      <w:r w:rsidR="001D07A8" w:rsidRPr="00B35761">
        <w:rPr>
          <w:rFonts w:ascii="Times New Roman" w:hAnsi="Times New Roman"/>
          <w:sz w:val="24"/>
          <w:szCs w:val="24"/>
        </w:rPr>
        <w:t>94</w:t>
      </w:r>
      <w:r w:rsidRPr="00B35761">
        <w:rPr>
          <w:rFonts w:ascii="Times New Roman" w:hAnsi="Times New Roman"/>
          <w:sz w:val="24"/>
          <w:szCs w:val="24"/>
        </w:rPr>
        <w:t xml:space="preserve"> with a standard deviation of </w:t>
      </w:r>
      <w:r w:rsidR="001D07A8" w:rsidRPr="00B35761">
        <w:rPr>
          <w:rFonts w:ascii="Times New Roman" w:hAnsi="Times New Roman"/>
          <w:sz w:val="24"/>
          <w:szCs w:val="24"/>
        </w:rPr>
        <w:t>1</w:t>
      </w:r>
      <w:r w:rsidRPr="00B35761">
        <w:rPr>
          <w:rFonts w:ascii="Times New Roman" w:hAnsi="Times New Roman"/>
          <w:sz w:val="24"/>
          <w:szCs w:val="24"/>
        </w:rPr>
        <w:t>.3</w:t>
      </w:r>
      <w:r w:rsidR="001D07A8" w:rsidRPr="00B35761">
        <w:rPr>
          <w:rFonts w:ascii="Times New Roman" w:hAnsi="Times New Roman"/>
          <w:sz w:val="24"/>
          <w:szCs w:val="24"/>
        </w:rPr>
        <w:t>1</w:t>
      </w:r>
      <w:r w:rsidRPr="00B35761">
        <w:rPr>
          <w:rFonts w:ascii="Times New Roman" w:hAnsi="Times New Roman"/>
          <w:sz w:val="24"/>
          <w:szCs w:val="24"/>
        </w:rPr>
        <w:t xml:space="preserve">. The minimum and </w:t>
      </w:r>
      <w:r w:rsidR="001D07A8" w:rsidRPr="00B35761">
        <w:rPr>
          <w:rFonts w:ascii="Times New Roman" w:hAnsi="Times New Roman"/>
          <w:sz w:val="24"/>
          <w:szCs w:val="24"/>
        </w:rPr>
        <w:t>95</w:t>
      </w:r>
      <w:r w:rsidR="001D07A8" w:rsidRPr="00B35761">
        <w:rPr>
          <w:rFonts w:ascii="Times New Roman" w:hAnsi="Times New Roman"/>
          <w:sz w:val="24"/>
          <w:szCs w:val="24"/>
          <w:vertAlign w:val="superscript"/>
        </w:rPr>
        <w:t>th</w:t>
      </w:r>
      <w:r w:rsidRPr="00B35761">
        <w:rPr>
          <w:rFonts w:ascii="Times New Roman" w:hAnsi="Times New Roman"/>
          <w:sz w:val="24"/>
          <w:szCs w:val="24"/>
        </w:rPr>
        <w:t xml:space="preserve"> values of this variable are </w:t>
      </w:r>
      <w:r w:rsidR="001D07A8" w:rsidRPr="00B35761">
        <w:rPr>
          <w:rFonts w:ascii="Times New Roman" w:hAnsi="Times New Roman"/>
          <w:sz w:val="24"/>
          <w:szCs w:val="24"/>
        </w:rPr>
        <w:t>13</w:t>
      </w:r>
      <w:r w:rsidRPr="00B35761">
        <w:rPr>
          <w:rFonts w:ascii="Times New Roman" w:hAnsi="Times New Roman"/>
          <w:sz w:val="24"/>
          <w:szCs w:val="24"/>
        </w:rPr>
        <w:t>.</w:t>
      </w:r>
      <w:r w:rsidR="001D07A8" w:rsidRPr="00B35761">
        <w:rPr>
          <w:rFonts w:ascii="Times New Roman" w:hAnsi="Times New Roman"/>
          <w:sz w:val="24"/>
          <w:szCs w:val="24"/>
        </w:rPr>
        <w:t>25</w:t>
      </w:r>
      <w:r w:rsidRPr="00B35761">
        <w:rPr>
          <w:rFonts w:ascii="Times New Roman" w:hAnsi="Times New Roman"/>
          <w:sz w:val="24"/>
          <w:szCs w:val="24"/>
        </w:rPr>
        <w:t xml:space="preserve"> and </w:t>
      </w:r>
      <w:r w:rsidR="001D07A8" w:rsidRPr="00B35761">
        <w:rPr>
          <w:rFonts w:ascii="Times New Roman" w:hAnsi="Times New Roman"/>
          <w:sz w:val="24"/>
          <w:szCs w:val="24"/>
        </w:rPr>
        <w:t>19</w:t>
      </w:r>
      <w:r w:rsidRPr="00B35761">
        <w:rPr>
          <w:rFonts w:ascii="Times New Roman" w:hAnsi="Times New Roman"/>
          <w:sz w:val="24"/>
          <w:szCs w:val="24"/>
        </w:rPr>
        <w:t>.3</w:t>
      </w:r>
      <w:r w:rsidR="001D07A8" w:rsidRPr="00B35761">
        <w:rPr>
          <w:rFonts w:ascii="Times New Roman" w:hAnsi="Times New Roman"/>
          <w:sz w:val="24"/>
          <w:szCs w:val="24"/>
        </w:rPr>
        <w:t>7</w:t>
      </w:r>
      <w:r w:rsidRPr="00B35761">
        <w:rPr>
          <w:rFonts w:ascii="Times New Roman" w:hAnsi="Times New Roman"/>
          <w:sz w:val="24"/>
          <w:szCs w:val="24"/>
        </w:rPr>
        <w:t xml:space="preserve"> respectively, signifying a fair degree of heterogeneity. The mean value of </w:t>
      </w:r>
      <w:r w:rsidR="001D07A8" w:rsidRPr="00B35761">
        <w:rPr>
          <w:rFonts w:ascii="Times New Roman" w:hAnsi="Times New Roman"/>
          <w:sz w:val="24"/>
          <w:szCs w:val="24"/>
        </w:rPr>
        <w:t>executive total fixed</w:t>
      </w:r>
      <w:r w:rsidRPr="00B35761">
        <w:rPr>
          <w:rFonts w:ascii="Times New Roman" w:hAnsi="Times New Roman"/>
          <w:sz w:val="24"/>
          <w:szCs w:val="24"/>
        </w:rPr>
        <w:t xml:space="preserve"> </w:t>
      </w:r>
      <w:r w:rsidR="001D07A8" w:rsidRPr="00B35761">
        <w:rPr>
          <w:rFonts w:ascii="Times New Roman" w:hAnsi="Times New Roman"/>
          <w:sz w:val="24"/>
          <w:szCs w:val="24"/>
        </w:rPr>
        <w:t>pay</w:t>
      </w:r>
      <w:r w:rsidRPr="00B35761">
        <w:rPr>
          <w:rFonts w:ascii="Times New Roman" w:hAnsi="Times New Roman"/>
          <w:sz w:val="24"/>
          <w:szCs w:val="24"/>
        </w:rPr>
        <w:t xml:space="preserve"> (</w:t>
      </w:r>
      <w:r w:rsidR="00560E46" w:rsidRPr="00B35761">
        <w:rPr>
          <w:rFonts w:ascii="Times New Roman" w:hAnsi="Times New Roman"/>
          <w:i/>
          <w:iCs/>
          <w:sz w:val="24"/>
          <w:szCs w:val="24"/>
        </w:rPr>
        <w:t>TFP</w:t>
      </w:r>
      <w:r w:rsidRPr="00B35761">
        <w:rPr>
          <w:rFonts w:ascii="Times New Roman" w:hAnsi="Times New Roman"/>
          <w:sz w:val="24"/>
          <w:szCs w:val="24"/>
        </w:rPr>
        <w:t xml:space="preserve">) is </w:t>
      </w:r>
      <w:r w:rsidR="00560E46" w:rsidRPr="00B35761">
        <w:rPr>
          <w:rFonts w:ascii="Times New Roman" w:hAnsi="Times New Roman"/>
          <w:sz w:val="24"/>
          <w:szCs w:val="24"/>
        </w:rPr>
        <w:t>6</w:t>
      </w:r>
      <w:r w:rsidRPr="00B35761">
        <w:rPr>
          <w:rFonts w:ascii="Times New Roman" w:hAnsi="Times New Roman"/>
          <w:sz w:val="24"/>
          <w:szCs w:val="24"/>
        </w:rPr>
        <w:t>.</w:t>
      </w:r>
      <w:r w:rsidR="00560E46" w:rsidRPr="00B35761">
        <w:rPr>
          <w:rFonts w:ascii="Times New Roman" w:hAnsi="Times New Roman"/>
          <w:sz w:val="24"/>
          <w:szCs w:val="24"/>
        </w:rPr>
        <w:t>44</w:t>
      </w:r>
      <w:r w:rsidRPr="00B35761">
        <w:rPr>
          <w:rFonts w:ascii="Times New Roman" w:hAnsi="Times New Roman"/>
          <w:sz w:val="24"/>
          <w:szCs w:val="24"/>
        </w:rPr>
        <w:t xml:space="preserve">, with a standard deviation of </w:t>
      </w:r>
      <w:r w:rsidR="00560E46" w:rsidRPr="00B35761">
        <w:rPr>
          <w:rFonts w:ascii="Times New Roman" w:hAnsi="Times New Roman"/>
          <w:sz w:val="24"/>
          <w:szCs w:val="24"/>
        </w:rPr>
        <w:t>0</w:t>
      </w:r>
      <w:r w:rsidRPr="00B35761">
        <w:rPr>
          <w:rFonts w:ascii="Times New Roman" w:hAnsi="Times New Roman"/>
          <w:sz w:val="24"/>
          <w:szCs w:val="24"/>
        </w:rPr>
        <w:t>.</w:t>
      </w:r>
      <w:r w:rsidR="00560E46" w:rsidRPr="00B35761">
        <w:rPr>
          <w:rFonts w:ascii="Times New Roman" w:hAnsi="Times New Roman"/>
          <w:sz w:val="24"/>
          <w:szCs w:val="24"/>
        </w:rPr>
        <w:t>31</w:t>
      </w:r>
      <w:r w:rsidRPr="00B35761">
        <w:rPr>
          <w:rFonts w:ascii="Times New Roman" w:hAnsi="Times New Roman"/>
          <w:sz w:val="24"/>
          <w:szCs w:val="24"/>
        </w:rPr>
        <w:t xml:space="preserve">. Also, the average values (standard deviation) of </w:t>
      </w:r>
      <w:r w:rsidR="00560E46" w:rsidRPr="00B35761">
        <w:rPr>
          <w:rFonts w:ascii="Times New Roman" w:hAnsi="Times New Roman"/>
          <w:sz w:val="24"/>
          <w:szCs w:val="24"/>
        </w:rPr>
        <w:t>managerial ownership (MO), institutional ownership (IO), non-executive members (NE) and board size (BS)</w:t>
      </w:r>
      <w:r w:rsidRPr="00B35761">
        <w:rPr>
          <w:rFonts w:ascii="Times New Roman" w:hAnsi="Times New Roman"/>
          <w:sz w:val="24"/>
          <w:szCs w:val="24"/>
        </w:rPr>
        <w:t xml:space="preserve"> are </w:t>
      </w:r>
      <w:r w:rsidR="00DE105A" w:rsidRPr="00B35761">
        <w:rPr>
          <w:rFonts w:ascii="Times New Roman" w:hAnsi="Times New Roman"/>
          <w:sz w:val="24"/>
          <w:szCs w:val="24"/>
        </w:rPr>
        <w:t>MO</w:t>
      </w:r>
      <w:r w:rsidRPr="00B35761">
        <w:rPr>
          <w:rFonts w:ascii="Times New Roman" w:hAnsi="Times New Roman"/>
          <w:sz w:val="24"/>
          <w:szCs w:val="24"/>
        </w:rPr>
        <w:t xml:space="preserve"> </w:t>
      </w:r>
      <w:r w:rsidR="00DE105A" w:rsidRPr="00B35761">
        <w:rPr>
          <w:rFonts w:ascii="Times New Roman" w:hAnsi="Times New Roman"/>
          <w:sz w:val="24"/>
          <w:szCs w:val="24"/>
        </w:rPr>
        <w:t>6</w:t>
      </w:r>
      <w:r w:rsidRPr="00B35761">
        <w:rPr>
          <w:rFonts w:ascii="Times New Roman" w:hAnsi="Times New Roman"/>
          <w:sz w:val="24"/>
          <w:szCs w:val="24"/>
        </w:rPr>
        <w:t>.</w:t>
      </w:r>
      <w:r w:rsidR="00DE105A" w:rsidRPr="00B35761">
        <w:rPr>
          <w:rFonts w:ascii="Times New Roman" w:hAnsi="Times New Roman"/>
          <w:sz w:val="24"/>
          <w:szCs w:val="24"/>
        </w:rPr>
        <w:t>08</w:t>
      </w:r>
      <w:r w:rsidRPr="00B35761">
        <w:rPr>
          <w:rFonts w:ascii="Times New Roman" w:hAnsi="Times New Roman"/>
          <w:sz w:val="24"/>
          <w:szCs w:val="24"/>
        </w:rPr>
        <w:t xml:space="preserve"> (</w:t>
      </w:r>
      <w:r w:rsidR="00DE105A" w:rsidRPr="00B35761">
        <w:rPr>
          <w:rFonts w:ascii="Times New Roman" w:hAnsi="Times New Roman"/>
          <w:sz w:val="24"/>
          <w:szCs w:val="24"/>
        </w:rPr>
        <w:t>0</w:t>
      </w:r>
      <w:r w:rsidRPr="00B35761">
        <w:rPr>
          <w:rFonts w:ascii="Times New Roman" w:hAnsi="Times New Roman"/>
          <w:sz w:val="24"/>
          <w:szCs w:val="24"/>
        </w:rPr>
        <w:t>.8</w:t>
      </w:r>
      <w:r w:rsidR="00DE105A" w:rsidRPr="00B35761">
        <w:rPr>
          <w:rFonts w:ascii="Times New Roman" w:hAnsi="Times New Roman"/>
          <w:sz w:val="24"/>
          <w:szCs w:val="24"/>
        </w:rPr>
        <w:t>9</w:t>
      </w:r>
      <w:r w:rsidRPr="00B35761">
        <w:rPr>
          <w:rFonts w:ascii="Times New Roman" w:hAnsi="Times New Roman"/>
          <w:sz w:val="24"/>
          <w:szCs w:val="24"/>
        </w:rPr>
        <w:t xml:space="preserve">), </w:t>
      </w:r>
      <w:r w:rsidR="00DE105A" w:rsidRPr="00B35761">
        <w:rPr>
          <w:rFonts w:ascii="Times New Roman" w:hAnsi="Times New Roman"/>
          <w:sz w:val="24"/>
          <w:szCs w:val="24"/>
        </w:rPr>
        <w:t>IO</w:t>
      </w:r>
      <w:r w:rsidRPr="00B35761">
        <w:rPr>
          <w:rFonts w:ascii="Times New Roman" w:hAnsi="Times New Roman"/>
          <w:sz w:val="24"/>
          <w:szCs w:val="24"/>
        </w:rPr>
        <w:t xml:space="preserve"> </w:t>
      </w:r>
      <w:r w:rsidR="00DE105A" w:rsidRPr="00B35761">
        <w:rPr>
          <w:rFonts w:ascii="Times New Roman" w:hAnsi="Times New Roman"/>
          <w:sz w:val="24"/>
          <w:szCs w:val="24"/>
        </w:rPr>
        <w:t>7</w:t>
      </w:r>
      <w:r w:rsidRPr="00B35761">
        <w:rPr>
          <w:rFonts w:ascii="Times New Roman" w:hAnsi="Times New Roman"/>
          <w:sz w:val="24"/>
          <w:szCs w:val="24"/>
        </w:rPr>
        <w:t>.</w:t>
      </w:r>
      <w:r w:rsidR="00DE105A" w:rsidRPr="00B35761">
        <w:rPr>
          <w:rFonts w:ascii="Times New Roman" w:hAnsi="Times New Roman"/>
          <w:sz w:val="24"/>
          <w:szCs w:val="24"/>
        </w:rPr>
        <w:t>7</w:t>
      </w:r>
      <w:r w:rsidRPr="00B35761">
        <w:rPr>
          <w:rFonts w:ascii="Times New Roman" w:hAnsi="Times New Roman"/>
          <w:sz w:val="24"/>
          <w:szCs w:val="24"/>
        </w:rPr>
        <w:t>5 (2.</w:t>
      </w:r>
      <w:r w:rsidR="00DE105A" w:rsidRPr="00B35761">
        <w:rPr>
          <w:rFonts w:ascii="Times New Roman" w:hAnsi="Times New Roman"/>
          <w:sz w:val="24"/>
          <w:szCs w:val="24"/>
        </w:rPr>
        <w:t>30</w:t>
      </w:r>
      <w:r w:rsidRPr="00B35761">
        <w:rPr>
          <w:rFonts w:ascii="Times New Roman" w:hAnsi="Times New Roman"/>
          <w:sz w:val="24"/>
          <w:szCs w:val="24"/>
        </w:rPr>
        <w:t xml:space="preserve">), </w:t>
      </w:r>
      <w:r w:rsidR="00DE105A" w:rsidRPr="00B35761">
        <w:rPr>
          <w:rFonts w:ascii="Times New Roman" w:hAnsi="Times New Roman"/>
          <w:sz w:val="24"/>
          <w:szCs w:val="24"/>
        </w:rPr>
        <w:t>NE</w:t>
      </w:r>
      <w:r w:rsidRPr="00B35761">
        <w:rPr>
          <w:rFonts w:ascii="Times New Roman" w:hAnsi="Times New Roman"/>
          <w:sz w:val="24"/>
          <w:szCs w:val="24"/>
        </w:rPr>
        <w:t xml:space="preserve"> </w:t>
      </w:r>
      <w:r w:rsidR="00DE105A" w:rsidRPr="00B35761">
        <w:rPr>
          <w:rFonts w:ascii="Times New Roman" w:hAnsi="Times New Roman"/>
          <w:sz w:val="24"/>
          <w:szCs w:val="24"/>
        </w:rPr>
        <w:t>7</w:t>
      </w:r>
      <w:r w:rsidRPr="00B35761">
        <w:rPr>
          <w:rFonts w:ascii="Times New Roman" w:hAnsi="Times New Roman"/>
          <w:sz w:val="24"/>
          <w:szCs w:val="24"/>
        </w:rPr>
        <w:t>.</w:t>
      </w:r>
      <w:r w:rsidR="00DE105A" w:rsidRPr="00B35761">
        <w:rPr>
          <w:rFonts w:ascii="Times New Roman" w:hAnsi="Times New Roman"/>
          <w:sz w:val="24"/>
          <w:szCs w:val="24"/>
        </w:rPr>
        <w:t>18</w:t>
      </w:r>
      <w:r w:rsidRPr="00B35761">
        <w:rPr>
          <w:rFonts w:ascii="Times New Roman" w:hAnsi="Times New Roman"/>
          <w:sz w:val="24"/>
          <w:szCs w:val="24"/>
        </w:rPr>
        <w:t xml:space="preserve"> (</w:t>
      </w:r>
      <w:r w:rsidR="00DE105A" w:rsidRPr="00B35761">
        <w:rPr>
          <w:rFonts w:ascii="Times New Roman" w:hAnsi="Times New Roman"/>
          <w:sz w:val="24"/>
          <w:szCs w:val="24"/>
        </w:rPr>
        <w:t>2</w:t>
      </w:r>
      <w:r w:rsidRPr="00B35761">
        <w:rPr>
          <w:rFonts w:ascii="Times New Roman" w:hAnsi="Times New Roman"/>
          <w:sz w:val="24"/>
          <w:szCs w:val="24"/>
        </w:rPr>
        <w:t>.</w:t>
      </w:r>
      <w:r w:rsidR="00DE105A" w:rsidRPr="00B35761">
        <w:rPr>
          <w:rFonts w:ascii="Times New Roman" w:hAnsi="Times New Roman"/>
          <w:sz w:val="24"/>
          <w:szCs w:val="24"/>
        </w:rPr>
        <w:t>3</w:t>
      </w:r>
      <w:r w:rsidRPr="00B35761">
        <w:rPr>
          <w:rFonts w:ascii="Times New Roman" w:hAnsi="Times New Roman"/>
          <w:sz w:val="24"/>
          <w:szCs w:val="24"/>
        </w:rPr>
        <w:t xml:space="preserve">3) </w:t>
      </w:r>
      <w:r w:rsidR="00DE105A" w:rsidRPr="00B35761">
        <w:rPr>
          <w:rFonts w:ascii="Times New Roman" w:hAnsi="Times New Roman"/>
          <w:sz w:val="24"/>
          <w:szCs w:val="24"/>
        </w:rPr>
        <w:t>and BS</w:t>
      </w:r>
      <w:r w:rsidRPr="00B35761">
        <w:rPr>
          <w:rFonts w:ascii="Times New Roman" w:hAnsi="Times New Roman"/>
          <w:sz w:val="24"/>
          <w:szCs w:val="24"/>
        </w:rPr>
        <w:t xml:space="preserve"> </w:t>
      </w:r>
      <w:r w:rsidR="00DE105A" w:rsidRPr="00B35761">
        <w:rPr>
          <w:rFonts w:ascii="Times New Roman" w:hAnsi="Times New Roman"/>
          <w:sz w:val="24"/>
          <w:szCs w:val="24"/>
        </w:rPr>
        <w:t>10</w:t>
      </w:r>
      <w:r w:rsidRPr="00B35761">
        <w:rPr>
          <w:rFonts w:ascii="Times New Roman" w:hAnsi="Times New Roman"/>
          <w:sz w:val="24"/>
          <w:szCs w:val="24"/>
        </w:rPr>
        <w:t>.4</w:t>
      </w:r>
      <w:r w:rsidR="00DE105A" w:rsidRPr="00B35761">
        <w:rPr>
          <w:rFonts w:ascii="Times New Roman" w:hAnsi="Times New Roman"/>
          <w:sz w:val="24"/>
          <w:szCs w:val="24"/>
        </w:rPr>
        <w:t>9</w:t>
      </w:r>
      <w:r w:rsidRPr="00B35761">
        <w:rPr>
          <w:rFonts w:ascii="Times New Roman" w:hAnsi="Times New Roman"/>
          <w:sz w:val="24"/>
          <w:szCs w:val="24"/>
        </w:rPr>
        <w:t xml:space="preserve"> (</w:t>
      </w:r>
      <w:r w:rsidR="00DE105A" w:rsidRPr="00B35761">
        <w:rPr>
          <w:rFonts w:ascii="Times New Roman" w:hAnsi="Times New Roman"/>
          <w:sz w:val="24"/>
          <w:szCs w:val="24"/>
        </w:rPr>
        <w:t>2</w:t>
      </w:r>
      <w:r w:rsidRPr="00B35761">
        <w:rPr>
          <w:rFonts w:ascii="Times New Roman" w:hAnsi="Times New Roman"/>
          <w:sz w:val="24"/>
          <w:szCs w:val="24"/>
        </w:rPr>
        <w:t>.</w:t>
      </w:r>
      <w:r w:rsidR="00DE105A" w:rsidRPr="00B35761">
        <w:rPr>
          <w:rFonts w:ascii="Times New Roman" w:hAnsi="Times New Roman"/>
          <w:sz w:val="24"/>
          <w:szCs w:val="24"/>
        </w:rPr>
        <w:t>61</w:t>
      </w:r>
      <w:r w:rsidRPr="00B35761">
        <w:rPr>
          <w:rFonts w:ascii="Times New Roman" w:hAnsi="Times New Roman"/>
          <w:sz w:val="24"/>
          <w:szCs w:val="24"/>
        </w:rPr>
        <w:t>)</w:t>
      </w:r>
      <w:r w:rsidR="00B00246">
        <w:rPr>
          <w:rFonts w:ascii="Times New Roman" w:hAnsi="Times New Roman"/>
          <w:sz w:val="24"/>
          <w:szCs w:val="24"/>
        </w:rPr>
        <w:t xml:space="preserve"> respectively</w:t>
      </w:r>
      <w:r w:rsidR="00DE105A" w:rsidRPr="00B35761">
        <w:rPr>
          <w:rFonts w:ascii="Times New Roman" w:hAnsi="Times New Roman"/>
          <w:sz w:val="24"/>
          <w:szCs w:val="24"/>
        </w:rPr>
        <w:t xml:space="preserve">. </w:t>
      </w:r>
      <w:r w:rsidRPr="00B35761">
        <w:rPr>
          <w:rFonts w:ascii="Times New Roman" w:hAnsi="Times New Roman"/>
          <w:sz w:val="24"/>
          <w:szCs w:val="24"/>
        </w:rPr>
        <w:t xml:space="preserve">  </w:t>
      </w:r>
    </w:p>
    <w:p w14:paraId="640FC73D" w14:textId="77777777" w:rsidR="006C4901" w:rsidRPr="00B35761" w:rsidRDefault="006C4901" w:rsidP="000D5C6B">
      <w:pPr>
        <w:widowControl w:val="0"/>
        <w:autoSpaceDE w:val="0"/>
        <w:autoSpaceDN w:val="0"/>
        <w:adjustRightInd w:val="0"/>
        <w:spacing w:line="480" w:lineRule="auto"/>
        <w:jc w:val="both"/>
        <w:rPr>
          <w:rFonts w:ascii="Times New Roman" w:hAnsi="Times New Roman"/>
          <w:sz w:val="24"/>
          <w:szCs w:val="24"/>
        </w:rPr>
      </w:pPr>
    </w:p>
    <w:p w14:paraId="1196FF13" w14:textId="42494239" w:rsidR="00BE74CA" w:rsidRDefault="00BE74CA">
      <w:pPr>
        <w:spacing w:before="120" w:after="120" w:line="480" w:lineRule="auto"/>
        <w:jc w:val="both"/>
        <w:rPr>
          <w:rFonts w:ascii="Times New Roman" w:hAnsi="Times New Roman"/>
          <w:sz w:val="24"/>
          <w:szCs w:val="24"/>
        </w:rPr>
      </w:pPr>
      <w:r w:rsidRPr="00B35761">
        <w:rPr>
          <w:rFonts w:ascii="Times New Roman" w:hAnsi="Times New Roman"/>
          <w:sz w:val="24"/>
          <w:szCs w:val="24"/>
        </w:rPr>
        <w:t>Table 3</w:t>
      </w:r>
      <w:r w:rsidR="00DE105A" w:rsidRPr="00B35761">
        <w:rPr>
          <w:rFonts w:ascii="Times New Roman" w:hAnsi="Times New Roman"/>
          <w:sz w:val="24"/>
          <w:szCs w:val="24"/>
        </w:rPr>
        <w:t xml:space="preserve"> shows</w:t>
      </w:r>
      <w:r w:rsidRPr="00B35761">
        <w:rPr>
          <w:rFonts w:ascii="Times New Roman" w:hAnsi="Times New Roman"/>
          <w:sz w:val="24"/>
          <w:szCs w:val="24"/>
        </w:rPr>
        <w:t xml:space="preserve"> the correlation </w:t>
      </w:r>
      <w:r w:rsidR="00DE105A" w:rsidRPr="00B35761">
        <w:rPr>
          <w:rFonts w:ascii="Times New Roman" w:hAnsi="Times New Roman"/>
          <w:sz w:val="24"/>
          <w:szCs w:val="24"/>
        </w:rPr>
        <w:t>matrix results</w:t>
      </w:r>
      <w:r w:rsidRPr="00B35761">
        <w:rPr>
          <w:rFonts w:ascii="Times New Roman" w:hAnsi="Times New Roman"/>
          <w:sz w:val="24"/>
          <w:szCs w:val="24"/>
        </w:rPr>
        <w:t xml:space="preserve">. </w:t>
      </w:r>
      <w:r w:rsidR="003A54FE" w:rsidRPr="00B35761">
        <w:rPr>
          <w:rFonts w:ascii="Times New Roman" w:hAnsi="Times New Roman"/>
          <w:sz w:val="24"/>
          <w:szCs w:val="24"/>
        </w:rPr>
        <w:t xml:space="preserve">A few things worth pointing out: return on assets (ROA) shows a positive </w:t>
      </w:r>
      <w:r w:rsidR="008C358E" w:rsidRPr="00B35761">
        <w:rPr>
          <w:rFonts w:ascii="Times New Roman" w:hAnsi="Times New Roman"/>
          <w:sz w:val="24"/>
          <w:szCs w:val="24"/>
        </w:rPr>
        <w:t>sign</w:t>
      </w:r>
      <w:r w:rsidR="003A54FE" w:rsidRPr="00B35761">
        <w:rPr>
          <w:rFonts w:ascii="Times New Roman" w:hAnsi="Times New Roman"/>
          <w:sz w:val="24"/>
          <w:szCs w:val="24"/>
        </w:rPr>
        <w:t xml:space="preserve"> with total variable pa</w:t>
      </w:r>
      <w:r w:rsidR="008C358E" w:rsidRPr="00B35761">
        <w:rPr>
          <w:rFonts w:ascii="Times New Roman" w:hAnsi="Times New Roman"/>
          <w:sz w:val="24"/>
          <w:szCs w:val="24"/>
        </w:rPr>
        <w:t xml:space="preserve">y </w:t>
      </w:r>
      <w:r w:rsidR="003D2B64">
        <w:rPr>
          <w:rFonts w:ascii="Times New Roman" w:hAnsi="Times New Roman"/>
          <w:sz w:val="24"/>
          <w:szCs w:val="24"/>
        </w:rPr>
        <w:t>–</w:t>
      </w:r>
      <w:r w:rsidR="008C358E" w:rsidRPr="00B35761">
        <w:rPr>
          <w:rFonts w:ascii="Times New Roman" w:hAnsi="Times New Roman"/>
          <w:sz w:val="24"/>
          <w:szCs w:val="24"/>
        </w:rPr>
        <w:t xml:space="preserve"> </w:t>
      </w:r>
      <w:r w:rsidR="003A54FE" w:rsidRPr="00B35761">
        <w:rPr>
          <w:rFonts w:ascii="Times New Roman" w:hAnsi="Times New Roman"/>
          <w:i/>
          <w:iCs/>
          <w:sz w:val="24"/>
          <w:szCs w:val="24"/>
        </w:rPr>
        <w:t>TVP</w:t>
      </w:r>
      <w:r w:rsidR="003D2B64">
        <w:rPr>
          <w:rFonts w:ascii="Times New Roman" w:hAnsi="Times New Roman"/>
          <w:sz w:val="24"/>
          <w:szCs w:val="24"/>
        </w:rPr>
        <w:t xml:space="preserve"> and</w:t>
      </w:r>
      <w:r w:rsidR="003A54FE" w:rsidRPr="00B35761">
        <w:rPr>
          <w:rFonts w:ascii="Times New Roman" w:hAnsi="Times New Roman"/>
          <w:sz w:val="24"/>
          <w:szCs w:val="24"/>
        </w:rPr>
        <w:t xml:space="preserve"> </w:t>
      </w:r>
      <w:r w:rsidR="008C358E" w:rsidRPr="00B35761">
        <w:rPr>
          <w:rFonts w:ascii="Times New Roman" w:hAnsi="Times New Roman"/>
          <w:sz w:val="24"/>
          <w:szCs w:val="24"/>
        </w:rPr>
        <w:t>managerial ownership-</w:t>
      </w:r>
      <w:r w:rsidR="003A54FE" w:rsidRPr="00B35761">
        <w:rPr>
          <w:rFonts w:ascii="Times New Roman" w:hAnsi="Times New Roman"/>
          <w:i/>
          <w:iCs/>
          <w:sz w:val="24"/>
          <w:szCs w:val="24"/>
        </w:rPr>
        <w:t>MO</w:t>
      </w:r>
      <w:r w:rsidR="008C358E" w:rsidRPr="00B35761">
        <w:rPr>
          <w:rFonts w:ascii="Times New Roman" w:hAnsi="Times New Roman"/>
          <w:sz w:val="24"/>
          <w:szCs w:val="24"/>
        </w:rPr>
        <w:t xml:space="preserve"> but negative </w:t>
      </w:r>
      <w:r w:rsidR="003D2B64">
        <w:rPr>
          <w:rFonts w:ascii="Times New Roman" w:hAnsi="Times New Roman"/>
          <w:sz w:val="24"/>
          <w:szCs w:val="24"/>
        </w:rPr>
        <w:t xml:space="preserve">sign </w:t>
      </w:r>
      <w:r w:rsidR="008C358E" w:rsidRPr="00B35761">
        <w:rPr>
          <w:rFonts w:ascii="Times New Roman" w:hAnsi="Times New Roman"/>
          <w:sz w:val="24"/>
          <w:szCs w:val="24"/>
        </w:rPr>
        <w:t xml:space="preserve">with institutional ownership – </w:t>
      </w:r>
      <w:r w:rsidR="008C358E" w:rsidRPr="00B35761">
        <w:rPr>
          <w:rFonts w:ascii="Times New Roman" w:hAnsi="Times New Roman"/>
          <w:i/>
          <w:iCs/>
          <w:sz w:val="24"/>
          <w:szCs w:val="24"/>
        </w:rPr>
        <w:t>IO</w:t>
      </w:r>
      <w:r w:rsidR="008C358E" w:rsidRPr="00B35761">
        <w:rPr>
          <w:rFonts w:ascii="Times New Roman" w:hAnsi="Times New Roman"/>
          <w:sz w:val="24"/>
          <w:szCs w:val="24"/>
        </w:rPr>
        <w:t xml:space="preserve"> and board size –</w:t>
      </w:r>
      <w:r w:rsidR="008C358E" w:rsidRPr="00B35761">
        <w:rPr>
          <w:rFonts w:ascii="Times New Roman" w:hAnsi="Times New Roman"/>
          <w:i/>
          <w:iCs/>
          <w:sz w:val="24"/>
          <w:szCs w:val="24"/>
        </w:rPr>
        <w:t xml:space="preserve"> BS</w:t>
      </w:r>
      <w:r w:rsidRPr="00B35761">
        <w:rPr>
          <w:rFonts w:ascii="Times New Roman" w:hAnsi="Times New Roman"/>
          <w:sz w:val="24"/>
          <w:szCs w:val="24"/>
        </w:rPr>
        <w:t xml:space="preserve">. </w:t>
      </w:r>
      <w:r w:rsidR="00717451" w:rsidRPr="00B35761">
        <w:rPr>
          <w:rFonts w:ascii="Times New Roman" w:hAnsi="Times New Roman"/>
          <w:sz w:val="24"/>
          <w:szCs w:val="24"/>
        </w:rPr>
        <w:t xml:space="preserve">Thus, managerial ownership </w:t>
      </w:r>
      <w:r w:rsidR="00225CC6" w:rsidRPr="00B35761">
        <w:rPr>
          <w:rFonts w:ascii="Times New Roman" w:hAnsi="Times New Roman"/>
          <w:sz w:val="24"/>
          <w:szCs w:val="24"/>
        </w:rPr>
        <w:t>induces</w:t>
      </w:r>
      <w:r w:rsidR="00717451" w:rsidRPr="00B35761">
        <w:rPr>
          <w:rFonts w:ascii="Times New Roman" w:hAnsi="Times New Roman"/>
          <w:sz w:val="24"/>
          <w:szCs w:val="24"/>
        </w:rPr>
        <w:t xml:space="preserve"> better performance whiles </w:t>
      </w:r>
      <w:r w:rsidR="00717451" w:rsidRPr="00B35761">
        <w:rPr>
          <w:rFonts w:ascii="Times New Roman" w:hAnsi="Times New Roman"/>
          <w:i/>
          <w:iCs/>
          <w:sz w:val="24"/>
          <w:szCs w:val="24"/>
        </w:rPr>
        <w:t>IO</w:t>
      </w:r>
      <w:r w:rsidR="00717451" w:rsidRPr="00B35761">
        <w:rPr>
          <w:rFonts w:ascii="Times New Roman" w:hAnsi="Times New Roman"/>
          <w:sz w:val="24"/>
          <w:szCs w:val="24"/>
        </w:rPr>
        <w:t xml:space="preserve"> and </w:t>
      </w:r>
      <w:r w:rsidR="00717451" w:rsidRPr="00B35761">
        <w:rPr>
          <w:rFonts w:ascii="Times New Roman" w:hAnsi="Times New Roman"/>
          <w:i/>
          <w:iCs/>
          <w:sz w:val="24"/>
          <w:szCs w:val="24"/>
        </w:rPr>
        <w:t>BS</w:t>
      </w:r>
      <w:r w:rsidR="00717451" w:rsidRPr="00B35761">
        <w:rPr>
          <w:rFonts w:ascii="Times New Roman" w:hAnsi="Times New Roman"/>
          <w:sz w:val="24"/>
          <w:szCs w:val="24"/>
        </w:rPr>
        <w:t xml:space="preserve"> </w:t>
      </w:r>
      <w:r w:rsidR="00225CC6" w:rsidRPr="00B35761">
        <w:rPr>
          <w:rFonts w:ascii="Times New Roman" w:hAnsi="Times New Roman"/>
          <w:sz w:val="24"/>
          <w:szCs w:val="24"/>
        </w:rPr>
        <w:t xml:space="preserve">decrease value. </w:t>
      </w:r>
      <w:r w:rsidR="009A6552" w:rsidRPr="00B35761">
        <w:rPr>
          <w:rFonts w:ascii="Times New Roman" w:hAnsi="Times New Roman"/>
          <w:sz w:val="24"/>
          <w:szCs w:val="24"/>
        </w:rPr>
        <w:t xml:space="preserve">This evidence </w:t>
      </w:r>
      <w:r w:rsidR="003D2B64">
        <w:rPr>
          <w:rFonts w:ascii="Times New Roman" w:hAnsi="Times New Roman"/>
          <w:sz w:val="24"/>
          <w:szCs w:val="24"/>
        </w:rPr>
        <w:t xml:space="preserve">from the </w:t>
      </w:r>
      <w:r w:rsidRPr="00B35761">
        <w:rPr>
          <w:rFonts w:ascii="Times New Roman" w:hAnsi="Times New Roman"/>
          <w:sz w:val="24"/>
          <w:szCs w:val="24"/>
        </w:rPr>
        <w:t>correlation matrix</w:t>
      </w:r>
      <w:r w:rsidR="003D2B64">
        <w:rPr>
          <w:rFonts w:ascii="Times New Roman" w:hAnsi="Times New Roman"/>
          <w:sz w:val="24"/>
          <w:szCs w:val="24"/>
        </w:rPr>
        <w:t xml:space="preserve"> and the</w:t>
      </w:r>
      <w:r w:rsidRPr="00B35761">
        <w:rPr>
          <w:rFonts w:ascii="Times New Roman" w:hAnsi="Times New Roman"/>
          <w:sz w:val="24"/>
          <w:szCs w:val="24"/>
        </w:rPr>
        <w:t xml:space="preserve"> descriptive statistics, s</w:t>
      </w:r>
      <w:r w:rsidR="009A6552" w:rsidRPr="00B35761">
        <w:rPr>
          <w:rFonts w:ascii="Times New Roman" w:hAnsi="Times New Roman"/>
          <w:sz w:val="24"/>
          <w:szCs w:val="24"/>
        </w:rPr>
        <w:t>how</w:t>
      </w:r>
      <w:r w:rsidRPr="00B35761">
        <w:rPr>
          <w:rFonts w:ascii="Times New Roman" w:hAnsi="Times New Roman"/>
          <w:sz w:val="24"/>
          <w:szCs w:val="24"/>
        </w:rPr>
        <w:t xml:space="preserve"> </w:t>
      </w:r>
      <w:r w:rsidR="009A6552" w:rsidRPr="00B35761">
        <w:rPr>
          <w:rFonts w:ascii="Times New Roman" w:hAnsi="Times New Roman"/>
          <w:sz w:val="24"/>
          <w:szCs w:val="24"/>
        </w:rPr>
        <w:t>no</w:t>
      </w:r>
      <w:r w:rsidRPr="00B35761">
        <w:rPr>
          <w:rFonts w:ascii="Times New Roman" w:hAnsi="Times New Roman"/>
          <w:sz w:val="24"/>
          <w:szCs w:val="24"/>
        </w:rPr>
        <w:t xml:space="preserve"> serious issues such as multicollinearity</w:t>
      </w:r>
      <w:r w:rsidR="003D2B64">
        <w:rPr>
          <w:rFonts w:ascii="Times New Roman" w:hAnsi="Times New Roman"/>
          <w:sz w:val="24"/>
          <w:szCs w:val="24"/>
        </w:rPr>
        <w:t xml:space="preserve"> </w:t>
      </w:r>
      <w:r w:rsidR="00561C53">
        <w:rPr>
          <w:rFonts w:ascii="Times New Roman" w:hAnsi="Times New Roman"/>
          <w:sz w:val="24"/>
          <w:szCs w:val="24"/>
        </w:rPr>
        <w:t xml:space="preserve">and </w:t>
      </w:r>
      <w:r w:rsidR="00561C53" w:rsidRPr="00B35761">
        <w:rPr>
          <w:rFonts w:ascii="Times New Roman" w:hAnsi="Times New Roman"/>
          <w:sz w:val="24"/>
          <w:szCs w:val="24"/>
        </w:rPr>
        <w:t>limited</w:t>
      </w:r>
      <w:r w:rsidRPr="00B35761">
        <w:rPr>
          <w:rFonts w:ascii="Times New Roman" w:hAnsi="Times New Roman"/>
          <w:sz w:val="24"/>
          <w:szCs w:val="24"/>
        </w:rPr>
        <w:t xml:space="preserve"> </w:t>
      </w:r>
      <w:r w:rsidR="008C358E" w:rsidRPr="00B35761">
        <w:rPr>
          <w:rFonts w:ascii="Times New Roman" w:hAnsi="Times New Roman"/>
          <w:sz w:val="24"/>
          <w:szCs w:val="24"/>
        </w:rPr>
        <w:t>variation</w:t>
      </w:r>
      <w:r w:rsidR="003D2B64">
        <w:rPr>
          <w:rFonts w:ascii="Times New Roman" w:hAnsi="Times New Roman"/>
          <w:sz w:val="24"/>
          <w:szCs w:val="24"/>
        </w:rPr>
        <w:t xml:space="preserve"> in the data</w:t>
      </w:r>
      <w:r w:rsidRPr="00B35761">
        <w:rPr>
          <w:rFonts w:ascii="Times New Roman" w:hAnsi="Times New Roman"/>
          <w:sz w:val="24"/>
          <w:szCs w:val="24"/>
        </w:rPr>
        <w:t xml:space="preserve">. </w:t>
      </w:r>
    </w:p>
    <w:p w14:paraId="0F7E613F" w14:textId="77777777" w:rsidR="00C85FD2" w:rsidRPr="00B35761" w:rsidRDefault="00C85FD2">
      <w:pPr>
        <w:spacing w:before="120" w:after="120" w:line="480" w:lineRule="auto"/>
        <w:jc w:val="both"/>
        <w:rPr>
          <w:rFonts w:ascii="Times New Roman" w:hAnsi="Times New Roman"/>
          <w:b/>
          <w:bCs/>
          <w:i/>
          <w:iCs/>
          <w:color w:val="000000"/>
          <w:sz w:val="24"/>
          <w:szCs w:val="24"/>
        </w:rPr>
      </w:pPr>
    </w:p>
    <w:p w14:paraId="3E3B32C8" w14:textId="446B6F37" w:rsidR="00BE74CA" w:rsidRDefault="00BE74CA" w:rsidP="00BE74CA">
      <w:pPr>
        <w:spacing w:before="120" w:after="120" w:line="360" w:lineRule="auto"/>
        <w:jc w:val="center"/>
        <w:rPr>
          <w:rFonts w:ascii="Times New Roman" w:hAnsi="Times New Roman"/>
          <w:b/>
          <w:bCs/>
          <w:i/>
          <w:iCs/>
          <w:color w:val="000000"/>
          <w:sz w:val="28"/>
        </w:rPr>
      </w:pPr>
      <w:r w:rsidRPr="00B35761">
        <w:rPr>
          <w:rFonts w:ascii="Times New Roman" w:hAnsi="Times New Roman"/>
          <w:b/>
          <w:bCs/>
          <w:i/>
          <w:iCs/>
          <w:color w:val="000000"/>
          <w:sz w:val="28"/>
        </w:rPr>
        <w:t>[Tables 2 &amp; 3 about here]</w:t>
      </w:r>
    </w:p>
    <w:p w14:paraId="6896693E" w14:textId="77777777" w:rsidR="00C85FD2" w:rsidRPr="00B35761" w:rsidRDefault="00C85FD2" w:rsidP="00BE74CA">
      <w:pPr>
        <w:spacing w:before="120" w:after="120" w:line="360" w:lineRule="auto"/>
        <w:jc w:val="center"/>
        <w:rPr>
          <w:rFonts w:ascii="Times New Roman" w:hAnsi="Times New Roman"/>
          <w:b/>
          <w:bCs/>
          <w:i/>
          <w:iCs/>
          <w:color w:val="000000"/>
          <w:sz w:val="28"/>
        </w:rPr>
      </w:pPr>
    </w:p>
    <w:p w14:paraId="24CCF3E7" w14:textId="77777777" w:rsidR="001E0DEF" w:rsidRPr="00B35761" w:rsidRDefault="001E0DEF" w:rsidP="001E0DEF">
      <w:pPr>
        <w:pStyle w:val="Heading2"/>
        <w:numPr>
          <w:ilvl w:val="0"/>
          <w:numId w:val="0"/>
        </w:numPr>
        <w:spacing w:before="240" w:after="0" w:line="360" w:lineRule="auto"/>
        <w:rPr>
          <w:rFonts w:asciiTheme="majorBidi" w:hAnsiTheme="majorBidi" w:cstheme="majorBidi"/>
          <w:i/>
          <w:color w:val="000000" w:themeColor="text1"/>
          <w:sz w:val="24"/>
          <w:szCs w:val="24"/>
        </w:rPr>
      </w:pPr>
      <w:r w:rsidRPr="00B35761">
        <w:rPr>
          <w:rFonts w:asciiTheme="majorBidi" w:hAnsiTheme="majorBidi" w:cstheme="majorBidi"/>
          <w:i/>
          <w:color w:val="000000" w:themeColor="text1"/>
          <w:sz w:val="24"/>
          <w:szCs w:val="24"/>
        </w:rPr>
        <w:t xml:space="preserve">4.3. The effect of managerial bonus compensation on firm performance </w:t>
      </w:r>
    </w:p>
    <w:p w14:paraId="65B5BB4F" w14:textId="0C936428" w:rsidR="001E0DEF" w:rsidRDefault="001E0DEF" w:rsidP="001E0DEF">
      <w:pPr>
        <w:spacing w:before="120" w:after="120" w:line="360" w:lineRule="auto"/>
        <w:ind w:left="-15"/>
        <w:jc w:val="both"/>
        <w:rPr>
          <w:rFonts w:asciiTheme="majorBidi" w:hAnsiTheme="majorBidi" w:cstheme="majorBidi"/>
          <w:color w:val="000000" w:themeColor="text1"/>
          <w:sz w:val="24"/>
          <w:szCs w:val="24"/>
        </w:rPr>
      </w:pPr>
      <w:r w:rsidRPr="00B35761">
        <w:rPr>
          <w:rFonts w:asciiTheme="majorBidi" w:hAnsiTheme="majorBidi" w:cstheme="majorBidi"/>
          <w:color w:val="000000" w:themeColor="text1"/>
          <w:sz w:val="24"/>
          <w:szCs w:val="24"/>
        </w:rPr>
        <w:t>Table 4 present</w:t>
      </w:r>
      <w:r w:rsidR="003D2B64">
        <w:rPr>
          <w:rFonts w:asciiTheme="majorBidi" w:hAnsiTheme="majorBidi" w:cstheme="majorBidi"/>
          <w:color w:val="000000" w:themeColor="text1"/>
          <w:sz w:val="24"/>
          <w:szCs w:val="24"/>
        </w:rPr>
        <w:t>s</w:t>
      </w:r>
      <w:r w:rsidRPr="00B35761">
        <w:rPr>
          <w:rFonts w:asciiTheme="majorBidi" w:hAnsiTheme="majorBidi" w:cstheme="majorBidi"/>
          <w:color w:val="000000" w:themeColor="text1"/>
          <w:sz w:val="24"/>
          <w:szCs w:val="24"/>
        </w:rPr>
        <w:t xml:space="preserve"> the empirical results of our baseline regression model of the effect of bonus compensation (</w:t>
      </w:r>
      <w:r w:rsidRPr="00B35761">
        <w:rPr>
          <w:rFonts w:asciiTheme="majorBidi" w:hAnsiTheme="majorBidi" w:cstheme="majorBidi"/>
          <w:i/>
          <w:color w:val="000000" w:themeColor="text1"/>
          <w:sz w:val="24"/>
          <w:szCs w:val="24"/>
        </w:rPr>
        <w:t>TVP)</w:t>
      </w:r>
      <w:r w:rsidRPr="00B35761">
        <w:rPr>
          <w:rFonts w:asciiTheme="majorBidi" w:hAnsiTheme="majorBidi" w:cstheme="majorBidi"/>
          <w:color w:val="000000" w:themeColor="text1"/>
          <w:sz w:val="24"/>
          <w:szCs w:val="24"/>
        </w:rPr>
        <w:t xml:space="preserve"> on performance (</w:t>
      </w:r>
      <w:r w:rsidRPr="00B35761">
        <w:rPr>
          <w:rFonts w:asciiTheme="majorBidi" w:hAnsiTheme="majorBidi" w:cstheme="majorBidi"/>
          <w:i/>
          <w:color w:val="000000" w:themeColor="text1"/>
          <w:sz w:val="24"/>
          <w:szCs w:val="24"/>
        </w:rPr>
        <w:t>ROA</w:t>
      </w:r>
      <w:r w:rsidRPr="00B35761">
        <w:rPr>
          <w:rFonts w:asciiTheme="majorBidi" w:hAnsiTheme="majorBidi" w:cstheme="majorBidi"/>
          <w:color w:val="000000" w:themeColor="text1"/>
          <w:sz w:val="24"/>
          <w:szCs w:val="24"/>
        </w:rPr>
        <w:t>). The model is estimated using OLS estimator and our main result is reported in fully specified model 2, while models 4, 5 &amp; 6 show alternative specification and alternative dependent variable measure (</w:t>
      </w:r>
      <w:r w:rsidRPr="00B35761">
        <w:rPr>
          <w:rFonts w:asciiTheme="majorBidi" w:hAnsiTheme="majorBidi" w:cstheme="majorBidi"/>
          <w:i/>
          <w:iCs/>
          <w:color w:val="000000" w:themeColor="text1"/>
          <w:sz w:val="24"/>
          <w:szCs w:val="24"/>
        </w:rPr>
        <w:t>Tobin Q</w:t>
      </w:r>
      <w:r w:rsidRPr="00B35761">
        <w:rPr>
          <w:rFonts w:asciiTheme="majorBidi" w:hAnsiTheme="majorBidi" w:cstheme="majorBidi"/>
          <w:color w:val="000000" w:themeColor="text1"/>
          <w:sz w:val="24"/>
          <w:szCs w:val="24"/>
        </w:rPr>
        <w:t>) regression. Specifically, Model 2 shows that the relationship between bonus compensation (</w:t>
      </w:r>
      <w:r w:rsidRPr="00B35761">
        <w:rPr>
          <w:rFonts w:asciiTheme="majorBidi" w:hAnsiTheme="majorBidi" w:cstheme="majorBidi"/>
          <w:i/>
          <w:color w:val="000000" w:themeColor="text1"/>
          <w:sz w:val="24"/>
          <w:szCs w:val="24"/>
        </w:rPr>
        <w:t>TVP</w:t>
      </w:r>
      <w:r w:rsidRPr="00B35761">
        <w:rPr>
          <w:rFonts w:asciiTheme="majorBidi" w:hAnsiTheme="majorBidi" w:cstheme="majorBidi"/>
          <w:color w:val="000000" w:themeColor="text1"/>
          <w:sz w:val="24"/>
          <w:szCs w:val="24"/>
        </w:rPr>
        <w:t>) and performance (</w:t>
      </w:r>
      <w:r w:rsidRPr="00B35761">
        <w:rPr>
          <w:rFonts w:asciiTheme="majorBidi" w:hAnsiTheme="majorBidi" w:cstheme="majorBidi"/>
          <w:i/>
          <w:color w:val="000000" w:themeColor="text1"/>
          <w:sz w:val="24"/>
          <w:szCs w:val="24"/>
        </w:rPr>
        <w:t>ROA</w:t>
      </w:r>
      <w:r w:rsidRPr="00B35761">
        <w:rPr>
          <w:rFonts w:asciiTheme="majorBidi" w:hAnsiTheme="majorBidi" w:cstheme="majorBidi"/>
          <w:color w:val="000000" w:themeColor="text1"/>
          <w:sz w:val="24"/>
          <w:szCs w:val="24"/>
        </w:rPr>
        <w:t xml:space="preserve">) is positive and statistically significant at the 1% level. The coefficient estimate for </w:t>
      </w:r>
      <w:r w:rsidRPr="00B35761">
        <w:rPr>
          <w:rFonts w:asciiTheme="majorBidi" w:hAnsiTheme="majorBidi" w:cstheme="majorBidi"/>
          <w:i/>
          <w:color w:val="000000" w:themeColor="text1"/>
          <w:sz w:val="24"/>
          <w:szCs w:val="24"/>
        </w:rPr>
        <w:t>TVP</w:t>
      </w:r>
      <w:r w:rsidRPr="00B35761">
        <w:rPr>
          <w:rFonts w:asciiTheme="majorBidi" w:hAnsiTheme="majorBidi" w:cstheme="majorBidi"/>
          <w:color w:val="000000" w:themeColor="text1"/>
          <w:sz w:val="24"/>
          <w:szCs w:val="24"/>
        </w:rPr>
        <w:t xml:space="preserve"> variable is 1.751 and has a t-statistics of 5.10, implying that an increase in managerial bonus compensation is associated with higher firm’s value. Thus, corporate managers with bonus incentives are motivated to increase firm value by appropriately selecting value-critical investment and financing policies. This finding is consistent with prior works (e.g., </w:t>
      </w:r>
      <w:proofErr w:type="spellStart"/>
      <w:r w:rsidRPr="00B35761">
        <w:rPr>
          <w:rFonts w:asciiTheme="majorBidi" w:hAnsiTheme="majorBidi" w:cstheme="majorBidi"/>
          <w:color w:val="000000" w:themeColor="text1"/>
          <w:sz w:val="24"/>
          <w:szCs w:val="24"/>
        </w:rPr>
        <w:t>Conyon</w:t>
      </w:r>
      <w:proofErr w:type="spellEnd"/>
      <w:r w:rsidRPr="00B35761">
        <w:rPr>
          <w:rFonts w:asciiTheme="majorBidi" w:hAnsiTheme="majorBidi" w:cstheme="majorBidi"/>
          <w:color w:val="000000" w:themeColor="text1"/>
          <w:sz w:val="24"/>
          <w:szCs w:val="24"/>
        </w:rPr>
        <w:t xml:space="preserve">, 1997; </w:t>
      </w:r>
      <w:proofErr w:type="spellStart"/>
      <w:r w:rsidRPr="00B35761">
        <w:rPr>
          <w:rFonts w:asciiTheme="majorBidi" w:eastAsia="Calibri" w:hAnsiTheme="majorBidi" w:cstheme="majorBidi"/>
          <w:sz w:val="24"/>
          <w:szCs w:val="24"/>
        </w:rPr>
        <w:t>Conyon</w:t>
      </w:r>
      <w:proofErr w:type="spellEnd"/>
      <w:r w:rsidRPr="00B35761">
        <w:rPr>
          <w:rFonts w:asciiTheme="majorBidi" w:eastAsia="Calibri" w:hAnsiTheme="majorBidi" w:cstheme="majorBidi"/>
          <w:sz w:val="24"/>
          <w:szCs w:val="24"/>
        </w:rPr>
        <w:t xml:space="preserve"> and Peck, 1998; Rashid, 2013</w:t>
      </w:r>
      <w:r w:rsidR="00316BC2" w:rsidRPr="00B35761">
        <w:rPr>
          <w:rFonts w:asciiTheme="majorBidi" w:eastAsia="Calibri" w:hAnsiTheme="majorBidi" w:cstheme="majorBidi"/>
          <w:sz w:val="24"/>
          <w:szCs w:val="24"/>
        </w:rPr>
        <w:t xml:space="preserve">; </w:t>
      </w:r>
      <w:proofErr w:type="spellStart"/>
      <w:r w:rsidR="00316BC2" w:rsidRPr="00B35761">
        <w:rPr>
          <w:rFonts w:asciiTheme="majorBidi" w:eastAsia="Calibri" w:hAnsiTheme="majorBidi" w:cstheme="majorBidi"/>
          <w:sz w:val="24"/>
          <w:szCs w:val="24"/>
        </w:rPr>
        <w:t>Ntim</w:t>
      </w:r>
      <w:proofErr w:type="spellEnd"/>
      <w:r w:rsidR="00316BC2" w:rsidRPr="00B35761">
        <w:rPr>
          <w:rFonts w:asciiTheme="majorBidi" w:eastAsia="Calibri" w:hAnsiTheme="majorBidi" w:cstheme="majorBidi"/>
          <w:sz w:val="24"/>
          <w:szCs w:val="24"/>
        </w:rPr>
        <w:t xml:space="preserve"> et al., 2019</w:t>
      </w:r>
      <w:r w:rsidRPr="00B35761">
        <w:rPr>
          <w:rFonts w:asciiTheme="majorBidi" w:eastAsia="Calibri" w:hAnsiTheme="majorBidi" w:cstheme="majorBidi"/>
          <w:sz w:val="24"/>
          <w:szCs w:val="24"/>
        </w:rPr>
        <w:t xml:space="preserve">) but contrary to that of </w:t>
      </w:r>
      <w:proofErr w:type="spellStart"/>
      <w:r w:rsidRPr="00B35761">
        <w:rPr>
          <w:rFonts w:asciiTheme="majorBidi" w:eastAsia="Calibri" w:hAnsiTheme="majorBidi" w:cstheme="majorBidi"/>
          <w:sz w:val="24"/>
          <w:szCs w:val="24"/>
        </w:rPr>
        <w:t>Conyon</w:t>
      </w:r>
      <w:proofErr w:type="spellEnd"/>
      <w:r w:rsidRPr="00B35761">
        <w:rPr>
          <w:rFonts w:asciiTheme="majorBidi" w:eastAsia="Calibri" w:hAnsiTheme="majorBidi" w:cstheme="majorBidi"/>
          <w:sz w:val="24"/>
          <w:szCs w:val="24"/>
        </w:rPr>
        <w:t xml:space="preserve"> et al. (2000), </w:t>
      </w:r>
      <w:r w:rsidR="00316BC2" w:rsidRPr="00B35761">
        <w:rPr>
          <w:rFonts w:asciiTheme="majorBidi" w:eastAsia="Calibri" w:hAnsiTheme="majorBidi" w:cstheme="majorBidi"/>
          <w:sz w:val="24"/>
          <w:szCs w:val="24"/>
        </w:rPr>
        <w:t>Cooper et al.</w:t>
      </w:r>
      <w:r w:rsidRPr="00B35761">
        <w:rPr>
          <w:rFonts w:asciiTheme="majorBidi" w:eastAsia="Calibri" w:hAnsiTheme="majorBidi" w:cstheme="majorBidi"/>
          <w:sz w:val="24"/>
          <w:szCs w:val="24"/>
        </w:rPr>
        <w:t xml:space="preserve"> (20</w:t>
      </w:r>
      <w:r w:rsidR="00316BC2" w:rsidRPr="00B35761">
        <w:rPr>
          <w:rFonts w:asciiTheme="majorBidi" w:eastAsia="Calibri" w:hAnsiTheme="majorBidi" w:cstheme="majorBidi"/>
          <w:sz w:val="24"/>
          <w:szCs w:val="24"/>
        </w:rPr>
        <w:t>13</w:t>
      </w:r>
      <w:r w:rsidRPr="00B35761">
        <w:rPr>
          <w:rFonts w:asciiTheme="majorBidi" w:eastAsia="Calibri" w:hAnsiTheme="majorBidi" w:cstheme="majorBidi"/>
          <w:sz w:val="24"/>
          <w:szCs w:val="24"/>
        </w:rPr>
        <w:t xml:space="preserve">), and </w:t>
      </w:r>
      <w:proofErr w:type="spellStart"/>
      <w:r w:rsidR="00316BC2" w:rsidRPr="00B35761">
        <w:rPr>
          <w:rFonts w:asciiTheme="majorBidi" w:eastAsia="Calibri" w:hAnsiTheme="majorBidi" w:cstheme="majorBidi"/>
          <w:sz w:val="24"/>
          <w:szCs w:val="24"/>
        </w:rPr>
        <w:t>Balafas</w:t>
      </w:r>
      <w:proofErr w:type="spellEnd"/>
      <w:r w:rsidR="00316BC2" w:rsidRPr="00B35761">
        <w:rPr>
          <w:rFonts w:asciiTheme="majorBidi" w:eastAsia="Calibri" w:hAnsiTheme="majorBidi" w:cstheme="majorBidi"/>
          <w:sz w:val="24"/>
          <w:szCs w:val="24"/>
        </w:rPr>
        <w:t xml:space="preserve"> &amp; </w:t>
      </w:r>
      <w:proofErr w:type="spellStart"/>
      <w:r w:rsidR="00316BC2" w:rsidRPr="00B35761">
        <w:rPr>
          <w:rFonts w:asciiTheme="majorBidi" w:eastAsia="Calibri" w:hAnsiTheme="majorBidi" w:cstheme="majorBidi"/>
          <w:sz w:val="24"/>
          <w:szCs w:val="24"/>
        </w:rPr>
        <w:t>Florackis</w:t>
      </w:r>
      <w:proofErr w:type="spellEnd"/>
      <w:r w:rsidR="00316BC2" w:rsidRPr="00B35761">
        <w:rPr>
          <w:rFonts w:asciiTheme="majorBidi" w:eastAsia="Calibri" w:hAnsiTheme="majorBidi" w:cstheme="majorBidi"/>
          <w:sz w:val="24"/>
          <w:szCs w:val="24"/>
        </w:rPr>
        <w:t xml:space="preserve"> (2014) </w:t>
      </w:r>
      <w:r w:rsidRPr="00B35761">
        <w:rPr>
          <w:rFonts w:asciiTheme="majorBidi" w:eastAsia="Calibri" w:hAnsiTheme="majorBidi" w:cstheme="majorBidi"/>
          <w:sz w:val="24"/>
          <w:szCs w:val="24"/>
        </w:rPr>
        <w:t xml:space="preserve">who reported </w:t>
      </w:r>
      <w:r w:rsidR="00316BC2" w:rsidRPr="00B35761">
        <w:rPr>
          <w:rFonts w:asciiTheme="majorBidi" w:eastAsia="Calibri" w:hAnsiTheme="majorBidi" w:cstheme="majorBidi"/>
          <w:sz w:val="24"/>
          <w:szCs w:val="24"/>
        </w:rPr>
        <w:t>negative</w:t>
      </w:r>
      <w:r w:rsidRPr="00B35761">
        <w:rPr>
          <w:rFonts w:asciiTheme="majorBidi" w:eastAsia="Calibri" w:hAnsiTheme="majorBidi" w:cstheme="majorBidi"/>
          <w:sz w:val="24"/>
          <w:szCs w:val="24"/>
        </w:rPr>
        <w:t xml:space="preserve"> relationship. </w:t>
      </w:r>
      <w:r w:rsidR="00B95AF1">
        <w:rPr>
          <w:rFonts w:asciiTheme="majorBidi" w:hAnsiTheme="majorBidi" w:cstheme="majorBidi"/>
          <w:color w:val="000000" w:themeColor="text1"/>
          <w:sz w:val="24"/>
          <w:szCs w:val="24"/>
        </w:rPr>
        <w:t>I</w:t>
      </w:r>
      <w:r w:rsidRPr="00B35761">
        <w:rPr>
          <w:rFonts w:asciiTheme="majorBidi" w:hAnsiTheme="majorBidi" w:cstheme="majorBidi"/>
          <w:color w:val="000000" w:themeColor="text1"/>
          <w:sz w:val="24"/>
          <w:szCs w:val="24"/>
        </w:rPr>
        <w:t>n model 4, our Fixed Effects (FE) estimator still shows bonus compensation (</w:t>
      </w:r>
      <w:r w:rsidRPr="00B35761">
        <w:rPr>
          <w:rFonts w:asciiTheme="majorBidi" w:hAnsiTheme="majorBidi" w:cstheme="majorBidi"/>
          <w:i/>
          <w:color w:val="000000" w:themeColor="text1"/>
          <w:sz w:val="24"/>
          <w:szCs w:val="24"/>
        </w:rPr>
        <w:t>TVP</w:t>
      </w:r>
      <w:r w:rsidRPr="00B35761">
        <w:rPr>
          <w:rFonts w:asciiTheme="majorBidi" w:hAnsiTheme="majorBidi" w:cstheme="majorBidi"/>
          <w:color w:val="000000" w:themeColor="text1"/>
          <w:sz w:val="24"/>
          <w:szCs w:val="24"/>
        </w:rPr>
        <w:t>) to be positive and significant which further collaborate what is already reported in model 2. On the control variables, executive total fixed pay (</w:t>
      </w:r>
      <w:r w:rsidRPr="00B35761">
        <w:rPr>
          <w:rFonts w:asciiTheme="majorBidi" w:hAnsiTheme="majorBidi" w:cstheme="majorBidi"/>
          <w:i/>
          <w:color w:val="000000" w:themeColor="text1"/>
          <w:sz w:val="24"/>
          <w:szCs w:val="24"/>
        </w:rPr>
        <w:t>TFP</w:t>
      </w:r>
      <w:r w:rsidRPr="00B35761">
        <w:rPr>
          <w:rFonts w:asciiTheme="majorBidi" w:hAnsiTheme="majorBidi" w:cstheme="majorBidi"/>
          <w:color w:val="000000" w:themeColor="text1"/>
          <w:sz w:val="24"/>
          <w:szCs w:val="24"/>
        </w:rPr>
        <w:t xml:space="preserve">) is negative and insignificant, suggesting that executives with this compensation component feel less motivated to increase value. This is unsurprising because </w:t>
      </w:r>
      <w:r w:rsidRPr="00B35761">
        <w:rPr>
          <w:rFonts w:asciiTheme="majorBidi" w:hAnsiTheme="majorBidi" w:cstheme="majorBidi"/>
          <w:i/>
          <w:color w:val="000000" w:themeColor="text1"/>
          <w:sz w:val="24"/>
          <w:szCs w:val="24"/>
        </w:rPr>
        <w:t>TFP</w:t>
      </w:r>
      <w:r w:rsidRPr="00B35761">
        <w:rPr>
          <w:rFonts w:asciiTheme="majorBidi" w:hAnsiTheme="majorBidi" w:cstheme="majorBidi"/>
          <w:color w:val="000000" w:themeColor="text1"/>
          <w:sz w:val="24"/>
          <w:szCs w:val="24"/>
        </w:rPr>
        <w:t xml:space="preserve"> forms the base pay upon which variable compensation depends and it is paid to executives whether the firm do</w:t>
      </w:r>
      <w:r w:rsidR="00316BC2" w:rsidRPr="00B35761">
        <w:rPr>
          <w:rFonts w:asciiTheme="majorBidi" w:hAnsiTheme="majorBidi" w:cstheme="majorBidi"/>
          <w:color w:val="000000" w:themeColor="text1"/>
          <w:sz w:val="24"/>
          <w:szCs w:val="24"/>
        </w:rPr>
        <w:t>es</w:t>
      </w:r>
      <w:r w:rsidRPr="00B35761">
        <w:rPr>
          <w:rFonts w:asciiTheme="majorBidi" w:hAnsiTheme="majorBidi" w:cstheme="majorBidi"/>
          <w:color w:val="000000" w:themeColor="text1"/>
          <w:sz w:val="24"/>
          <w:szCs w:val="24"/>
        </w:rPr>
        <w:t xml:space="preserve"> well or not. Firm size (</w:t>
      </w:r>
      <w:r w:rsidRPr="00B35761">
        <w:rPr>
          <w:rFonts w:asciiTheme="majorBidi" w:hAnsiTheme="majorBidi" w:cstheme="majorBidi"/>
          <w:i/>
          <w:color w:val="000000" w:themeColor="text1"/>
          <w:sz w:val="24"/>
          <w:szCs w:val="24"/>
        </w:rPr>
        <w:t>SZ),</w:t>
      </w:r>
      <w:r w:rsidRPr="00B35761">
        <w:rPr>
          <w:rFonts w:asciiTheme="majorBidi" w:hAnsiTheme="majorBidi" w:cstheme="majorBidi"/>
          <w:color w:val="000000" w:themeColor="text1"/>
          <w:sz w:val="24"/>
          <w:szCs w:val="24"/>
        </w:rPr>
        <w:t xml:space="preserve"> debt (</w:t>
      </w:r>
      <w:r w:rsidRPr="00B35761">
        <w:rPr>
          <w:rFonts w:asciiTheme="majorBidi" w:hAnsiTheme="majorBidi" w:cstheme="majorBidi"/>
          <w:i/>
          <w:iCs/>
          <w:color w:val="000000" w:themeColor="text1"/>
          <w:sz w:val="24"/>
          <w:szCs w:val="24"/>
        </w:rPr>
        <w:t>DE</w:t>
      </w:r>
      <w:r w:rsidRPr="00B35761">
        <w:rPr>
          <w:rFonts w:asciiTheme="majorBidi" w:hAnsiTheme="majorBidi" w:cstheme="majorBidi"/>
          <w:color w:val="000000" w:themeColor="text1"/>
          <w:sz w:val="24"/>
          <w:szCs w:val="24"/>
        </w:rPr>
        <w:t>), growth (</w:t>
      </w:r>
      <w:r w:rsidRPr="00B35761">
        <w:rPr>
          <w:rFonts w:asciiTheme="majorBidi" w:hAnsiTheme="majorBidi" w:cstheme="majorBidi"/>
          <w:i/>
          <w:iCs/>
          <w:color w:val="000000" w:themeColor="text1"/>
          <w:sz w:val="24"/>
          <w:szCs w:val="24"/>
        </w:rPr>
        <w:t>GR</w:t>
      </w:r>
      <w:r w:rsidRPr="00B35761">
        <w:rPr>
          <w:rFonts w:asciiTheme="majorBidi" w:hAnsiTheme="majorBidi" w:cstheme="majorBidi"/>
          <w:color w:val="000000" w:themeColor="text1"/>
          <w:sz w:val="24"/>
          <w:szCs w:val="24"/>
        </w:rPr>
        <w:t>) and board size (</w:t>
      </w:r>
      <w:r w:rsidRPr="00B35761">
        <w:rPr>
          <w:rFonts w:asciiTheme="majorBidi" w:hAnsiTheme="majorBidi" w:cstheme="majorBidi"/>
          <w:i/>
          <w:iCs/>
          <w:color w:val="000000" w:themeColor="text1"/>
          <w:sz w:val="24"/>
          <w:szCs w:val="24"/>
        </w:rPr>
        <w:t>BS</w:t>
      </w:r>
      <w:r w:rsidRPr="00B35761">
        <w:rPr>
          <w:rFonts w:asciiTheme="majorBidi" w:hAnsiTheme="majorBidi" w:cstheme="majorBidi"/>
          <w:color w:val="000000" w:themeColor="text1"/>
          <w:sz w:val="24"/>
          <w:szCs w:val="24"/>
        </w:rPr>
        <w:t>) are negative and significant whilst managerial ownership (</w:t>
      </w:r>
      <w:r w:rsidRPr="00B35761">
        <w:rPr>
          <w:rFonts w:asciiTheme="majorBidi" w:hAnsiTheme="majorBidi" w:cstheme="majorBidi"/>
          <w:i/>
          <w:iCs/>
          <w:color w:val="000000" w:themeColor="text1"/>
          <w:sz w:val="24"/>
          <w:szCs w:val="24"/>
        </w:rPr>
        <w:t>MO</w:t>
      </w:r>
      <w:r w:rsidRPr="00B35761">
        <w:rPr>
          <w:rFonts w:asciiTheme="majorBidi" w:hAnsiTheme="majorBidi" w:cstheme="majorBidi"/>
          <w:color w:val="000000" w:themeColor="text1"/>
          <w:sz w:val="24"/>
          <w:szCs w:val="24"/>
        </w:rPr>
        <w:t>), age (</w:t>
      </w:r>
      <w:r w:rsidRPr="00B35761">
        <w:rPr>
          <w:rFonts w:asciiTheme="majorBidi" w:hAnsiTheme="majorBidi" w:cstheme="majorBidi"/>
          <w:i/>
          <w:iCs/>
          <w:color w:val="000000" w:themeColor="text1"/>
          <w:sz w:val="24"/>
          <w:szCs w:val="24"/>
        </w:rPr>
        <w:t>AGE</w:t>
      </w:r>
      <w:r w:rsidRPr="00B35761">
        <w:rPr>
          <w:rFonts w:asciiTheme="majorBidi" w:hAnsiTheme="majorBidi" w:cstheme="majorBidi"/>
          <w:color w:val="000000" w:themeColor="text1"/>
          <w:sz w:val="24"/>
          <w:szCs w:val="24"/>
        </w:rPr>
        <w:t>) and gender (</w:t>
      </w:r>
      <w:r w:rsidRPr="00B35761">
        <w:rPr>
          <w:rFonts w:asciiTheme="majorBidi" w:hAnsiTheme="majorBidi" w:cstheme="majorBidi"/>
          <w:i/>
          <w:iCs/>
          <w:color w:val="000000" w:themeColor="text1"/>
          <w:sz w:val="24"/>
          <w:szCs w:val="24"/>
        </w:rPr>
        <w:t>GDR</w:t>
      </w:r>
      <w:r w:rsidRPr="00B35761">
        <w:rPr>
          <w:rFonts w:asciiTheme="majorBidi" w:hAnsiTheme="majorBidi" w:cstheme="majorBidi"/>
          <w:color w:val="000000" w:themeColor="text1"/>
          <w:sz w:val="24"/>
          <w:szCs w:val="24"/>
        </w:rPr>
        <w:t xml:space="preserve">) are all positive and statistically significant. </w:t>
      </w:r>
    </w:p>
    <w:p w14:paraId="0D75FAC5" w14:textId="77777777" w:rsidR="00C85FD2" w:rsidRPr="00B35761" w:rsidRDefault="00C85FD2" w:rsidP="001E0DEF">
      <w:pPr>
        <w:spacing w:before="120" w:after="120" w:line="360" w:lineRule="auto"/>
        <w:ind w:left="-15"/>
        <w:jc w:val="both"/>
        <w:rPr>
          <w:rFonts w:asciiTheme="majorBidi" w:hAnsiTheme="majorBidi" w:cstheme="majorBidi"/>
          <w:color w:val="000000" w:themeColor="text1"/>
          <w:sz w:val="24"/>
          <w:szCs w:val="24"/>
        </w:rPr>
      </w:pPr>
    </w:p>
    <w:p w14:paraId="07DFB01A" w14:textId="3181AC66" w:rsidR="001E0DEF" w:rsidRPr="00B35761" w:rsidRDefault="001E0DEF" w:rsidP="00C85FD2">
      <w:pPr>
        <w:spacing w:before="120" w:after="120" w:line="360" w:lineRule="auto"/>
        <w:jc w:val="center"/>
        <w:rPr>
          <w:rFonts w:asciiTheme="majorBidi" w:hAnsiTheme="majorBidi" w:cstheme="majorBidi"/>
          <w:b/>
          <w:bCs/>
          <w:i/>
          <w:iCs/>
          <w:color w:val="000000" w:themeColor="text1"/>
          <w:sz w:val="24"/>
          <w:szCs w:val="24"/>
        </w:rPr>
      </w:pPr>
      <w:r w:rsidRPr="00B35761">
        <w:rPr>
          <w:rFonts w:asciiTheme="majorBidi" w:hAnsiTheme="majorBidi" w:cstheme="majorBidi"/>
          <w:b/>
          <w:bCs/>
          <w:i/>
          <w:iCs/>
          <w:color w:val="000000" w:themeColor="text1"/>
          <w:sz w:val="24"/>
          <w:szCs w:val="24"/>
        </w:rPr>
        <w:t>[Table V about here]</w:t>
      </w:r>
    </w:p>
    <w:p w14:paraId="6AA82090" w14:textId="77777777" w:rsidR="00316BC2" w:rsidRPr="00B35761" w:rsidRDefault="00316BC2" w:rsidP="001E0DEF">
      <w:pPr>
        <w:spacing w:before="120" w:after="120" w:line="360" w:lineRule="auto"/>
        <w:jc w:val="both"/>
        <w:rPr>
          <w:rFonts w:asciiTheme="majorBidi" w:hAnsiTheme="majorBidi" w:cstheme="majorBidi"/>
          <w:b/>
          <w:bCs/>
          <w:i/>
          <w:iCs/>
          <w:color w:val="000000" w:themeColor="text1"/>
          <w:sz w:val="24"/>
          <w:szCs w:val="24"/>
        </w:rPr>
      </w:pPr>
    </w:p>
    <w:p w14:paraId="2B73863A" w14:textId="162838BD" w:rsidR="001E0DEF" w:rsidRPr="00B35761" w:rsidRDefault="001E0DEF" w:rsidP="001E0DEF">
      <w:pPr>
        <w:spacing w:before="120" w:after="120" w:line="360" w:lineRule="auto"/>
        <w:jc w:val="both"/>
        <w:rPr>
          <w:rFonts w:asciiTheme="majorBidi" w:hAnsiTheme="majorBidi" w:cstheme="majorBidi"/>
          <w:b/>
          <w:bCs/>
          <w:i/>
          <w:iCs/>
          <w:color w:val="000000" w:themeColor="text1"/>
          <w:sz w:val="24"/>
          <w:szCs w:val="24"/>
        </w:rPr>
      </w:pPr>
      <w:r w:rsidRPr="000D5C6B">
        <w:rPr>
          <w:rFonts w:asciiTheme="majorBidi" w:hAnsiTheme="majorBidi" w:cstheme="majorBidi"/>
          <w:b/>
          <w:bCs/>
          <w:i/>
          <w:iCs/>
          <w:color w:val="000000" w:themeColor="text1"/>
          <w:sz w:val="24"/>
          <w:szCs w:val="24"/>
        </w:rPr>
        <w:t>4.4. Robustness checks</w:t>
      </w:r>
      <w:r w:rsidRPr="00B35761">
        <w:rPr>
          <w:rFonts w:asciiTheme="majorBidi" w:hAnsiTheme="majorBidi" w:cstheme="majorBidi"/>
          <w:b/>
          <w:bCs/>
          <w:i/>
          <w:iCs/>
          <w:color w:val="000000" w:themeColor="text1"/>
          <w:sz w:val="24"/>
          <w:szCs w:val="24"/>
        </w:rPr>
        <w:t xml:space="preserve"> </w:t>
      </w:r>
    </w:p>
    <w:p w14:paraId="09F11C11" w14:textId="184DFDEC" w:rsidR="001E0DEF" w:rsidRPr="00B35761" w:rsidRDefault="001E0DEF" w:rsidP="000D5C6B">
      <w:pPr>
        <w:spacing w:before="120" w:after="120" w:line="360" w:lineRule="auto"/>
        <w:ind w:left="-17"/>
        <w:jc w:val="both"/>
        <w:rPr>
          <w:rFonts w:asciiTheme="majorBidi" w:hAnsiTheme="majorBidi" w:cstheme="majorBidi"/>
          <w:color w:val="000000" w:themeColor="text1"/>
          <w:sz w:val="24"/>
          <w:szCs w:val="24"/>
        </w:rPr>
      </w:pPr>
      <w:r w:rsidRPr="00B35761">
        <w:rPr>
          <w:rFonts w:asciiTheme="majorBidi" w:hAnsiTheme="majorBidi" w:cstheme="majorBidi"/>
          <w:color w:val="000000" w:themeColor="text1"/>
          <w:sz w:val="24"/>
          <w:szCs w:val="24"/>
        </w:rPr>
        <w:t xml:space="preserve">The </w:t>
      </w:r>
      <w:r w:rsidR="00864E6E">
        <w:rPr>
          <w:rFonts w:asciiTheme="majorBidi" w:hAnsiTheme="majorBidi" w:cstheme="majorBidi"/>
          <w:color w:val="000000" w:themeColor="text1"/>
          <w:sz w:val="24"/>
          <w:szCs w:val="24"/>
        </w:rPr>
        <w:t xml:space="preserve">results </w:t>
      </w:r>
      <w:r w:rsidRPr="00B35761">
        <w:rPr>
          <w:rFonts w:asciiTheme="majorBidi" w:hAnsiTheme="majorBidi" w:cstheme="majorBidi"/>
          <w:color w:val="000000" w:themeColor="text1"/>
          <w:sz w:val="24"/>
          <w:szCs w:val="24"/>
        </w:rPr>
        <w:t>reported in Table 4 show that bonus compensation (</w:t>
      </w:r>
      <w:r w:rsidRPr="00B35761">
        <w:rPr>
          <w:rFonts w:asciiTheme="majorBidi" w:hAnsiTheme="majorBidi" w:cstheme="majorBidi"/>
          <w:i/>
          <w:color w:val="000000" w:themeColor="text1"/>
          <w:sz w:val="24"/>
          <w:szCs w:val="24"/>
        </w:rPr>
        <w:t>TVP</w:t>
      </w:r>
      <w:r w:rsidRPr="00B35761">
        <w:rPr>
          <w:rFonts w:asciiTheme="majorBidi" w:hAnsiTheme="majorBidi" w:cstheme="majorBidi"/>
          <w:color w:val="000000" w:themeColor="text1"/>
          <w:sz w:val="24"/>
          <w:szCs w:val="24"/>
        </w:rPr>
        <w:t>) significantly affects firm value (</w:t>
      </w:r>
      <w:r w:rsidRPr="00B35761">
        <w:rPr>
          <w:rFonts w:asciiTheme="majorBidi" w:hAnsiTheme="majorBidi" w:cstheme="majorBidi"/>
          <w:i/>
          <w:iCs/>
          <w:color w:val="000000" w:themeColor="text1"/>
          <w:sz w:val="24"/>
          <w:szCs w:val="24"/>
        </w:rPr>
        <w:t>ROA).</w:t>
      </w:r>
      <w:r w:rsidRPr="00B35761">
        <w:rPr>
          <w:rFonts w:asciiTheme="majorBidi" w:hAnsiTheme="majorBidi" w:cstheme="majorBidi"/>
          <w:color w:val="000000" w:themeColor="text1"/>
          <w:sz w:val="24"/>
          <w:szCs w:val="24"/>
        </w:rPr>
        <w:t xml:space="preserve"> </w:t>
      </w:r>
      <w:r w:rsidR="00B95AF1">
        <w:rPr>
          <w:rFonts w:asciiTheme="majorBidi" w:hAnsiTheme="majorBidi" w:cstheme="majorBidi"/>
          <w:color w:val="000000" w:themeColor="text1"/>
          <w:sz w:val="24"/>
          <w:szCs w:val="24"/>
        </w:rPr>
        <w:t>W</w:t>
      </w:r>
      <w:r w:rsidRPr="00B35761">
        <w:rPr>
          <w:rFonts w:asciiTheme="majorBidi" w:hAnsiTheme="majorBidi" w:cstheme="majorBidi"/>
          <w:color w:val="000000" w:themeColor="text1"/>
          <w:sz w:val="24"/>
          <w:szCs w:val="24"/>
        </w:rPr>
        <w:t>e further test if our results are robust to alternative dependent variable measure and alternative econometric specification i.e., simultaneous equation models using three-stage least squares (3SLS) estimator. Specifically, we measure our</w:t>
      </w:r>
      <w:r w:rsidRPr="00B35761">
        <w:rPr>
          <w:rFonts w:asciiTheme="majorBidi" w:eastAsia="Calibri" w:hAnsiTheme="majorBidi" w:cstheme="majorBidi"/>
          <w:sz w:val="24"/>
          <w:szCs w:val="24"/>
          <w:lang w:val="en-US"/>
        </w:rPr>
        <w:t xml:space="preserve"> alternative dependent variable (</w:t>
      </w:r>
      <w:r w:rsidRPr="00B35761">
        <w:rPr>
          <w:rFonts w:asciiTheme="majorBidi" w:eastAsia="Calibri" w:hAnsiTheme="majorBidi" w:cstheme="majorBidi"/>
          <w:i/>
          <w:iCs/>
          <w:sz w:val="24"/>
          <w:szCs w:val="24"/>
          <w:lang w:val="en-US"/>
        </w:rPr>
        <w:t>Tobin Q</w:t>
      </w:r>
      <w:r w:rsidRPr="00B35761">
        <w:rPr>
          <w:rFonts w:asciiTheme="majorBidi" w:eastAsia="Calibri" w:hAnsiTheme="majorBidi" w:cstheme="majorBidi"/>
          <w:sz w:val="24"/>
          <w:szCs w:val="24"/>
          <w:lang w:val="en-US"/>
        </w:rPr>
        <w:t xml:space="preserve">) as the ratio of the market value </w:t>
      </w:r>
      <w:r w:rsidRPr="000B1951">
        <w:rPr>
          <w:rFonts w:asciiTheme="majorBidi" w:eastAsia="Calibri" w:hAnsiTheme="majorBidi" w:cstheme="majorBidi"/>
          <w:sz w:val="24"/>
          <w:szCs w:val="24"/>
          <w:lang w:val="en-US"/>
        </w:rPr>
        <w:t>of the firm to the replacement cost of the assets</w:t>
      </w:r>
      <w:r w:rsidRPr="00B35761">
        <w:rPr>
          <w:rFonts w:asciiTheme="majorBidi" w:eastAsia="Calibri" w:hAnsiTheme="majorBidi" w:cstheme="majorBidi"/>
          <w:sz w:val="24"/>
          <w:szCs w:val="24"/>
          <w:lang w:val="en-US"/>
        </w:rPr>
        <w:t>. W</w:t>
      </w:r>
      <w:r w:rsidRPr="00B35761">
        <w:rPr>
          <w:rFonts w:asciiTheme="majorBidi" w:hAnsiTheme="majorBidi" w:cstheme="majorBidi"/>
          <w:color w:val="000000" w:themeColor="text1"/>
          <w:sz w:val="24"/>
          <w:szCs w:val="24"/>
        </w:rPr>
        <w:t xml:space="preserve">e re-estimate our models (OLS and FE) using the </w:t>
      </w:r>
      <w:r w:rsidRPr="00B35761">
        <w:rPr>
          <w:rFonts w:asciiTheme="majorBidi" w:eastAsia="Calibri" w:hAnsiTheme="majorBidi" w:cstheme="majorBidi"/>
          <w:i/>
          <w:iCs/>
          <w:sz w:val="24"/>
          <w:szCs w:val="24"/>
          <w:lang w:val="en-US"/>
        </w:rPr>
        <w:t>Tobin Q</w:t>
      </w:r>
      <w:r w:rsidRPr="00B35761">
        <w:rPr>
          <w:rFonts w:asciiTheme="majorBidi" w:hAnsiTheme="majorBidi" w:cstheme="majorBidi"/>
          <w:color w:val="000000" w:themeColor="text1"/>
          <w:sz w:val="24"/>
          <w:szCs w:val="24"/>
        </w:rPr>
        <w:t xml:space="preserve"> proxy as the dependent variable. As shown, the bonus compensation (</w:t>
      </w:r>
      <w:r w:rsidRPr="00B35761">
        <w:rPr>
          <w:rFonts w:asciiTheme="majorBidi" w:hAnsiTheme="majorBidi" w:cstheme="majorBidi"/>
          <w:i/>
          <w:color w:val="000000" w:themeColor="text1"/>
          <w:sz w:val="24"/>
          <w:szCs w:val="24"/>
        </w:rPr>
        <w:t>TVP</w:t>
      </w:r>
      <w:r w:rsidRPr="00B35761">
        <w:rPr>
          <w:rFonts w:asciiTheme="majorBidi" w:hAnsiTheme="majorBidi" w:cstheme="majorBidi"/>
          <w:color w:val="000000" w:themeColor="text1"/>
          <w:sz w:val="24"/>
          <w:szCs w:val="24"/>
        </w:rPr>
        <w:t>) sign is still positive and significant confirming our main results. Furthermore, so far in our analysis, we use lagged value of bonus compensation (</w:t>
      </w:r>
      <w:r w:rsidRPr="00B35761">
        <w:rPr>
          <w:rFonts w:asciiTheme="majorBidi" w:hAnsiTheme="majorBidi" w:cstheme="majorBidi"/>
          <w:i/>
          <w:iCs/>
          <w:color w:val="000000" w:themeColor="text1"/>
          <w:sz w:val="24"/>
          <w:szCs w:val="24"/>
        </w:rPr>
        <w:t>TVP</w:t>
      </w:r>
      <w:r w:rsidRPr="00B35761">
        <w:rPr>
          <w:rFonts w:asciiTheme="majorBidi" w:hAnsiTheme="majorBidi" w:cstheme="majorBidi"/>
          <w:color w:val="000000" w:themeColor="text1"/>
          <w:sz w:val="24"/>
          <w:szCs w:val="24"/>
        </w:rPr>
        <w:t xml:space="preserve">) to minimize endogeneity problem. Despite this attempt to deal with the endogeneity concern, the issue of direct causation </w:t>
      </w:r>
      <w:r w:rsidR="00864E6E">
        <w:rPr>
          <w:rFonts w:asciiTheme="majorBidi" w:hAnsiTheme="majorBidi" w:cstheme="majorBidi"/>
          <w:color w:val="000000" w:themeColor="text1"/>
          <w:sz w:val="24"/>
          <w:szCs w:val="24"/>
        </w:rPr>
        <w:t>remains a concern</w:t>
      </w:r>
      <w:r w:rsidRPr="00B35761">
        <w:rPr>
          <w:rFonts w:asciiTheme="majorBidi" w:hAnsiTheme="majorBidi" w:cstheme="majorBidi"/>
          <w:color w:val="000000" w:themeColor="text1"/>
          <w:sz w:val="24"/>
          <w:szCs w:val="24"/>
        </w:rPr>
        <w:t xml:space="preserve">, as it has been suggested that shareholders of profitable firms may reward their executives </w:t>
      </w:r>
      <w:r w:rsidR="00864E6E">
        <w:rPr>
          <w:rFonts w:asciiTheme="majorBidi" w:hAnsiTheme="majorBidi" w:cstheme="majorBidi"/>
          <w:color w:val="000000" w:themeColor="text1"/>
          <w:sz w:val="24"/>
          <w:szCs w:val="24"/>
        </w:rPr>
        <w:t xml:space="preserve">with </w:t>
      </w:r>
      <w:r w:rsidR="00213947" w:rsidRPr="00B35761">
        <w:rPr>
          <w:rFonts w:asciiTheme="majorBidi" w:hAnsiTheme="majorBidi" w:cstheme="majorBidi"/>
          <w:color w:val="000000" w:themeColor="text1"/>
          <w:sz w:val="24"/>
          <w:szCs w:val="24"/>
        </w:rPr>
        <w:t>more bonuses</w:t>
      </w:r>
      <w:r w:rsidRPr="00B35761">
        <w:rPr>
          <w:rFonts w:asciiTheme="majorBidi" w:hAnsiTheme="majorBidi" w:cstheme="majorBidi"/>
          <w:color w:val="000000" w:themeColor="text1"/>
          <w:sz w:val="24"/>
          <w:szCs w:val="24"/>
        </w:rPr>
        <w:t xml:space="preserve"> (Ryan and Wiggins, 2001; Core et al., 1999</w:t>
      </w:r>
      <w:r w:rsidR="00316BC2" w:rsidRPr="00B35761">
        <w:rPr>
          <w:rFonts w:asciiTheme="majorBidi" w:hAnsiTheme="majorBidi" w:cstheme="majorBidi"/>
          <w:color w:val="000000" w:themeColor="text1"/>
          <w:sz w:val="24"/>
          <w:szCs w:val="24"/>
        </w:rPr>
        <w:t xml:space="preserve">; </w:t>
      </w:r>
      <w:proofErr w:type="spellStart"/>
      <w:r w:rsidR="00316BC2" w:rsidRPr="00B35761">
        <w:rPr>
          <w:rFonts w:asciiTheme="majorBidi" w:hAnsiTheme="majorBidi" w:cstheme="majorBidi"/>
          <w:color w:val="000000" w:themeColor="text1"/>
          <w:sz w:val="24"/>
          <w:szCs w:val="24"/>
        </w:rPr>
        <w:t>Ntim</w:t>
      </w:r>
      <w:proofErr w:type="spellEnd"/>
      <w:r w:rsidR="00316BC2" w:rsidRPr="00B35761">
        <w:rPr>
          <w:rFonts w:asciiTheme="majorBidi" w:hAnsiTheme="majorBidi" w:cstheme="majorBidi"/>
          <w:color w:val="000000" w:themeColor="text1"/>
          <w:sz w:val="24"/>
          <w:szCs w:val="24"/>
        </w:rPr>
        <w:t xml:space="preserve"> et al., 2019</w:t>
      </w:r>
      <w:r w:rsidRPr="00B35761">
        <w:rPr>
          <w:rFonts w:asciiTheme="majorBidi" w:hAnsiTheme="majorBidi" w:cstheme="majorBidi"/>
          <w:color w:val="000000" w:themeColor="text1"/>
          <w:sz w:val="24"/>
          <w:szCs w:val="24"/>
        </w:rPr>
        <w:t xml:space="preserve">). Thus, these studies concentrate on the determinants of managerial compensation. </w:t>
      </w:r>
      <w:r w:rsidR="00864E6E">
        <w:rPr>
          <w:rFonts w:asciiTheme="majorBidi" w:hAnsiTheme="majorBidi" w:cstheme="majorBidi"/>
          <w:color w:val="000000" w:themeColor="text1"/>
          <w:sz w:val="24"/>
          <w:szCs w:val="24"/>
        </w:rPr>
        <w:t>On the other hand</w:t>
      </w:r>
      <w:r w:rsidRPr="00B35761">
        <w:rPr>
          <w:rFonts w:asciiTheme="majorBidi" w:hAnsiTheme="majorBidi" w:cstheme="majorBidi"/>
          <w:color w:val="000000" w:themeColor="text1"/>
          <w:sz w:val="24"/>
          <w:szCs w:val="24"/>
        </w:rPr>
        <w:t>, our current study argues that the shareholders optimal compensation package induces executives to select value-enhancing decisions, hence the ultimate firm value. Given these intuitive arguments, it is possible that the relationship between firm value (</w:t>
      </w:r>
      <w:r w:rsidRPr="00B35761">
        <w:rPr>
          <w:rFonts w:asciiTheme="majorBidi" w:hAnsiTheme="majorBidi" w:cstheme="majorBidi"/>
          <w:i/>
          <w:iCs/>
          <w:color w:val="000000" w:themeColor="text1"/>
          <w:sz w:val="24"/>
          <w:szCs w:val="24"/>
        </w:rPr>
        <w:t>ROA</w:t>
      </w:r>
      <w:r w:rsidRPr="00B35761">
        <w:rPr>
          <w:rFonts w:asciiTheme="majorBidi" w:hAnsiTheme="majorBidi" w:cstheme="majorBidi"/>
          <w:color w:val="000000" w:themeColor="text1"/>
          <w:sz w:val="24"/>
          <w:szCs w:val="24"/>
        </w:rPr>
        <w:t>) and bonus compensation (</w:t>
      </w:r>
      <w:r w:rsidRPr="00B35761">
        <w:rPr>
          <w:rFonts w:asciiTheme="majorBidi" w:hAnsiTheme="majorBidi" w:cstheme="majorBidi"/>
          <w:i/>
          <w:iCs/>
          <w:color w:val="000000" w:themeColor="text1"/>
          <w:sz w:val="24"/>
          <w:szCs w:val="24"/>
        </w:rPr>
        <w:t>TV</w:t>
      </w:r>
      <w:r w:rsidRPr="00B35761">
        <w:rPr>
          <w:rFonts w:asciiTheme="majorBidi" w:hAnsiTheme="majorBidi" w:cstheme="majorBidi"/>
          <w:color w:val="000000" w:themeColor="text1"/>
          <w:sz w:val="24"/>
          <w:szCs w:val="24"/>
        </w:rPr>
        <w:t xml:space="preserve">P) is more complex that we assume. Thus, there </w:t>
      </w:r>
      <w:r w:rsidR="00864E6E">
        <w:rPr>
          <w:rFonts w:asciiTheme="majorBidi" w:hAnsiTheme="majorBidi" w:cstheme="majorBidi"/>
          <w:color w:val="000000" w:themeColor="text1"/>
          <w:sz w:val="24"/>
          <w:szCs w:val="24"/>
        </w:rPr>
        <w:t>could be</w:t>
      </w:r>
      <w:r w:rsidRPr="00B35761">
        <w:rPr>
          <w:rFonts w:asciiTheme="majorBidi" w:hAnsiTheme="majorBidi" w:cstheme="majorBidi"/>
          <w:color w:val="000000" w:themeColor="text1"/>
          <w:sz w:val="24"/>
          <w:szCs w:val="24"/>
        </w:rPr>
        <w:t xml:space="preserve"> a bi-directional effect existing among them and that there is no absolute direct causation of executives’ bonus compensation on firm value without accounting for the reverse linkage. To further account for the possibility that firm value (</w:t>
      </w:r>
      <w:r w:rsidRPr="00B35761">
        <w:rPr>
          <w:rFonts w:asciiTheme="majorBidi" w:hAnsiTheme="majorBidi" w:cstheme="majorBidi"/>
          <w:i/>
          <w:iCs/>
          <w:color w:val="000000" w:themeColor="text1"/>
          <w:sz w:val="24"/>
          <w:szCs w:val="24"/>
        </w:rPr>
        <w:t>ROA</w:t>
      </w:r>
      <w:r w:rsidRPr="00B35761">
        <w:rPr>
          <w:rFonts w:asciiTheme="majorBidi" w:hAnsiTheme="majorBidi" w:cstheme="majorBidi"/>
          <w:color w:val="000000" w:themeColor="text1"/>
          <w:sz w:val="24"/>
          <w:szCs w:val="24"/>
        </w:rPr>
        <w:t xml:space="preserve">) can be a determinant of executive compensation, we use simultaneous equation models in which the jointly determined variables – </w:t>
      </w:r>
      <w:r w:rsidRPr="00B35761">
        <w:rPr>
          <w:rFonts w:asciiTheme="majorBidi" w:hAnsiTheme="majorBidi" w:cstheme="majorBidi"/>
          <w:i/>
          <w:iCs/>
          <w:color w:val="000000" w:themeColor="text1"/>
          <w:sz w:val="24"/>
          <w:szCs w:val="24"/>
        </w:rPr>
        <w:t>ROA</w:t>
      </w:r>
      <w:r w:rsidRPr="00B35761">
        <w:rPr>
          <w:rFonts w:asciiTheme="majorBidi" w:hAnsiTheme="majorBidi" w:cstheme="majorBidi"/>
          <w:color w:val="000000" w:themeColor="text1"/>
          <w:sz w:val="24"/>
          <w:szCs w:val="24"/>
        </w:rPr>
        <w:t xml:space="preserve"> and bonus compensations (</w:t>
      </w:r>
      <w:r w:rsidRPr="00B35761">
        <w:rPr>
          <w:rFonts w:asciiTheme="majorBidi" w:hAnsiTheme="majorBidi" w:cstheme="majorBidi"/>
          <w:i/>
          <w:iCs/>
          <w:color w:val="000000" w:themeColor="text1"/>
          <w:sz w:val="24"/>
          <w:szCs w:val="24"/>
        </w:rPr>
        <w:t>TVP</w:t>
      </w:r>
      <w:r w:rsidRPr="00B35761">
        <w:rPr>
          <w:rFonts w:asciiTheme="majorBidi" w:hAnsiTheme="majorBidi" w:cstheme="majorBidi"/>
          <w:color w:val="000000" w:themeColor="text1"/>
          <w:sz w:val="24"/>
          <w:szCs w:val="24"/>
        </w:rPr>
        <w:t>) – are simultaneously estimated. In the simultaneous equation model, the first-stage equation, where bonus compensation variable (</w:t>
      </w:r>
      <w:r w:rsidRPr="00B35761">
        <w:rPr>
          <w:rFonts w:asciiTheme="majorBidi" w:hAnsiTheme="majorBidi" w:cstheme="majorBidi"/>
          <w:i/>
          <w:color w:val="000000" w:themeColor="text1"/>
          <w:sz w:val="24"/>
          <w:szCs w:val="24"/>
        </w:rPr>
        <w:t>TVP</w:t>
      </w:r>
      <w:r w:rsidRPr="00B35761">
        <w:rPr>
          <w:rFonts w:asciiTheme="majorBidi" w:hAnsiTheme="majorBidi" w:cstheme="majorBidi"/>
          <w:color w:val="000000" w:themeColor="text1"/>
          <w:sz w:val="24"/>
          <w:szCs w:val="24"/>
        </w:rPr>
        <w:t xml:space="preserve">), is regressed on </w:t>
      </w:r>
      <w:r w:rsidRPr="00B35761">
        <w:rPr>
          <w:rFonts w:asciiTheme="majorBidi" w:hAnsiTheme="majorBidi" w:cstheme="majorBidi"/>
          <w:i/>
          <w:iCs/>
          <w:color w:val="000000" w:themeColor="text1"/>
          <w:sz w:val="24"/>
          <w:szCs w:val="24"/>
        </w:rPr>
        <w:t>ROA</w:t>
      </w:r>
      <w:r w:rsidRPr="00B35761">
        <w:rPr>
          <w:rFonts w:asciiTheme="majorBidi" w:hAnsiTheme="majorBidi" w:cstheme="majorBidi"/>
          <w:color w:val="000000" w:themeColor="text1"/>
          <w:sz w:val="24"/>
          <w:szCs w:val="24"/>
        </w:rPr>
        <w:t>, instrument, and other determinants (controls defined in Table I) to obtain the predicted values of bonus compensations (</w:t>
      </w:r>
      <w:r w:rsidRPr="00B35761">
        <w:rPr>
          <w:rFonts w:asciiTheme="majorBidi" w:hAnsiTheme="majorBidi" w:cstheme="majorBidi"/>
          <w:i/>
          <w:color w:val="000000" w:themeColor="text1"/>
          <w:sz w:val="24"/>
          <w:szCs w:val="24"/>
        </w:rPr>
        <w:t>TVP</w:t>
      </w:r>
      <w:r w:rsidRPr="00B35761">
        <w:rPr>
          <w:rFonts w:asciiTheme="majorBidi" w:hAnsiTheme="majorBidi" w:cstheme="majorBidi"/>
          <w:color w:val="000000" w:themeColor="text1"/>
          <w:sz w:val="24"/>
          <w:szCs w:val="24"/>
        </w:rPr>
        <w:t xml:space="preserve">), which is then included in the second-stage equation (firm value – </w:t>
      </w:r>
      <w:r w:rsidRPr="00B35761">
        <w:rPr>
          <w:rFonts w:asciiTheme="majorBidi" w:hAnsiTheme="majorBidi" w:cstheme="majorBidi"/>
          <w:i/>
          <w:iCs/>
          <w:color w:val="000000" w:themeColor="text1"/>
          <w:sz w:val="24"/>
          <w:szCs w:val="24"/>
        </w:rPr>
        <w:t>ROA</w:t>
      </w:r>
      <w:r w:rsidRPr="00B35761">
        <w:rPr>
          <w:rFonts w:asciiTheme="majorBidi" w:hAnsiTheme="majorBidi" w:cstheme="majorBidi"/>
          <w:color w:val="000000" w:themeColor="text1"/>
          <w:sz w:val="24"/>
          <w:szCs w:val="24"/>
        </w:rPr>
        <w:t xml:space="preserve"> model). Like prior studies, we use contemporaneous values of bonus compensation variable instead of lagged </w:t>
      </w:r>
      <w:r w:rsidRPr="00B35761">
        <w:rPr>
          <w:rFonts w:asciiTheme="majorBidi" w:hAnsiTheme="majorBidi" w:cstheme="majorBidi"/>
          <w:i/>
          <w:iCs/>
          <w:color w:val="000000" w:themeColor="text1"/>
          <w:sz w:val="24"/>
          <w:szCs w:val="24"/>
        </w:rPr>
        <w:t>TVP</w:t>
      </w:r>
      <w:r w:rsidRPr="00B35761">
        <w:rPr>
          <w:rFonts w:asciiTheme="majorBidi" w:hAnsiTheme="majorBidi" w:cstheme="majorBidi"/>
          <w:color w:val="000000" w:themeColor="text1"/>
          <w:sz w:val="24"/>
          <w:szCs w:val="24"/>
        </w:rPr>
        <w:t xml:space="preserve"> values (e.g., </w:t>
      </w:r>
      <w:proofErr w:type="spellStart"/>
      <w:r w:rsidRPr="00B35761">
        <w:rPr>
          <w:rFonts w:asciiTheme="majorBidi" w:hAnsiTheme="majorBidi" w:cstheme="majorBidi"/>
          <w:color w:val="000000" w:themeColor="text1"/>
          <w:sz w:val="24"/>
          <w:szCs w:val="24"/>
        </w:rPr>
        <w:t>Adu</w:t>
      </w:r>
      <w:proofErr w:type="spellEnd"/>
      <w:r w:rsidRPr="00B35761">
        <w:rPr>
          <w:rFonts w:asciiTheme="majorBidi" w:hAnsiTheme="majorBidi" w:cstheme="majorBidi"/>
          <w:color w:val="000000" w:themeColor="text1"/>
          <w:sz w:val="24"/>
          <w:szCs w:val="24"/>
        </w:rPr>
        <w:t xml:space="preserve">-Ameyaw et al., 2021; Coles </w:t>
      </w:r>
      <w:r w:rsidRPr="00B35761">
        <w:rPr>
          <w:rFonts w:asciiTheme="majorBidi" w:hAnsiTheme="majorBidi" w:cstheme="majorBidi"/>
          <w:i/>
          <w:color w:val="000000" w:themeColor="text1"/>
          <w:sz w:val="24"/>
          <w:szCs w:val="24"/>
        </w:rPr>
        <w:t>et al</w:t>
      </w:r>
      <w:r w:rsidRPr="00B35761">
        <w:rPr>
          <w:rFonts w:asciiTheme="majorBidi" w:hAnsiTheme="majorBidi" w:cstheme="majorBidi"/>
          <w:color w:val="000000" w:themeColor="text1"/>
          <w:sz w:val="24"/>
          <w:szCs w:val="24"/>
        </w:rPr>
        <w:t xml:space="preserve">., 2006). </w:t>
      </w:r>
      <w:r w:rsidR="00864E6E">
        <w:rPr>
          <w:rFonts w:asciiTheme="majorBidi" w:hAnsiTheme="majorBidi" w:cstheme="majorBidi"/>
          <w:color w:val="000000" w:themeColor="text1"/>
          <w:sz w:val="24"/>
          <w:szCs w:val="24"/>
        </w:rPr>
        <w:t>T</w:t>
      </w:r>
      <w:r w:rsidRPr="00B35761">
        <w:rPr>
          <w:rFonts w:asciiTheme="majorBidi" w:hAnsiTheme="majorBidi" w:cstheme="majorBidi"/>
          <w:color w:val="000000" w:themeColor="text1"/>
          <w:sz w:val="24"/>
          <w:szCs w:val="24"/>
        </w:rPr>
        <w:t xml:space="preserve">he reported results in Table 5 (simultaneous equation models – 3SLS) show coefficient estimate for </w:t>
      </w:r>
      <w:r w:rsidRPr="00B35761">
        <w:rPr>
          <w:rFonts w:asciiTheme="majorBidi" w:hAnsiTheme="majorBidi" w:cstheme="majorBidi"/>
          <w:i/>
          <w:color w:val="000000" w:themeColor="text1"/>
          <w:sz w:val="24"/>
          <w:szCs w:val="24"/>
        </w:rPr>
        <w:t>TVP</w:t>
      </w:r>
      <w:r w:rsidRPr="00B35761">
        <w:rPr>
          <w:rFonts w:asciiTheme="majorBidi" w:hAnsiTheme="majorBidi" w:cstheme="majorBidi"/>
          <w:color w:val="000000" w:themeColor="text1"/>
          <w:sz w:val="24"/>
          <w:szCs w:val="24"/>
        </w:rPr>
        <w:t xml:space="preserve"> to be qualitatively like the main results in </w:t>
      </w:r>
      <w:r w:rsidRPr="00B35761">
        <w:rPr>
          <w:rFonts w:asciiTheme="majorBidi" w:hAnsiTheme="majorBidi" w:cstheme="majorBidi"/>
          <w:bCs/>
          <w:color w:val="000000" w:themeColor="text1"/>
          <w:sz w:val="24"/>
          <w:szCs w:val="24"/>
        </w:rPr>
        <w:t>Table 4</w:t>
      </w:r>
      <w:r w:rsidRPr="00B35761">
        <w:rPr>
          <w:rFonts w:asciiTheme="majorBidi" w:hAnsiTheme="majorBidi" w:cstheme="majorBidi"/>
          <w:color w:val="000000" w:themeColor="text1"/>
          <w:sz w:val="24"/>
          <w:szCs w:val="24"/>
        </w:rPr>
        <w:t xml:space="preserve">. Overall, the 3SLS result suggests that our earlier findings are not affected by endogeneity issue and that our main results reported in </w:t>
      </w:r>
      <w:r w:rsidRPr="00B35761">
        <w:rPr>
          <w:rFonts w:asciiTheme="majorBidi" w:hAnsiTheme="majorBidi" w:cstheme="majorBidi"/>
          <w:bCs/>
          <w:color w:val="000000" w:themeColor="text1"/>
          <w:sz w:val="24"/>
          <w:szCs w:val="24"/>
        </w:rPr>
        <w:t>Table 4</w:t>
      </w:r>
      <w:r w:rsidRPr="00B35761">
        <w:rPr>
          <w:rFonts w:asciiTheme="majorBidi" w:hAnsiTheme="majorBidi" w:cstheme="majorBidi"/>
          <w:color w:val="000000" w:themeColor="text1"/>
          <w:sz w:val="24"/>
          <w:szCs w:val="24"/>
        </w:rPr>
        <w:t xml:space="preserve"> are robust to an alternative econometric specification.</w:t>
      </w:r>
    </w:p>
    <w:p w14:paraId="370F9D84" w14:textId="77777777" w:rsidR="00096728" w:rsidRPr="00B35761" w:rsidRDefault="00096728" w:rsidP="001E0DEF">
      <w:pPr>
        <w:spacing w:before="120" w:after="120" w:line="360" w:lineRule="auto"/>
        <w:ind w:left="-17"/>
        <w:jc w:val="both"/>
        <w:rPr>
          <w:rFonts w:asciiTheme="majorBidi" w:hAnsiTheme="majorBidi" w:cstheme="majorBidi"/>
          <w:color w:val="000000" w:themeColor="text1"/>
          <w:sz w:val="24"/>
          <w:szCs w:val="24"/>
        </w:rPr>
      </w:pPr>
    </w:p>
    <w:p w14:paraId="01CE661C" w14:textId="71507427" w:rsidR="001E0DEF" w:rsidRDefault="001E0DEF" w:rsidP="001E0DEF">
      <w:pPr>
        <w:spacing w:before="120" w:after="120" w:line="360" w:lineRule="auto"/>
        <w:rPr>
          <w:rFonts w:asciiTheme="majorBidi" w:hAnsiTheme="majorBidi" w:cstheme="majorBidi"/>
          <w:b/>
          <w:bCs/>
          <w:i/>
          <w:iCs/>
          <w:color w:val="000000" w:themeColor="text1"/>
          <w:sz w:val="24"/>
          <w:szCs w:val="24"/>
        </w:rPr>
      </w:pPr>
      <w:r w:rsidRPr="00B35761">
        <w:rPr>
          <w:rFonts w:asciiTheme="majorBidi" w:hAnsiTheme="majorBidi" w:cstheme="majorBidi"/>
          <w:b/>
          <w:bCs/>
          <w:i/>
          <w:iCs/>
          <w:color w:val="000000" w:themeColor="text1"/>
          <w:sz w:val="24"/>
          <w:szCs w:val="24"/>
        </w:rPr>
        <w:t xml:space="preserve">                           </w:t>
      </w:r>
      <w:r w:rsidR="00FE7A59" w:rsidRPr="00B35761">
        <w:rPr>
          <w:rFonts w:asciiTheme="majorBidi" w:hAnsiTheme="majorBidi" w:cstheme="majorBidi"/>
          <w:b/>
          <w:bCs/>
          <w:i/>
          <w:iCs/>
          <w:color w:val="000000" w:themeColor="text1"/>
          <w:sz w:val="24"/>
          <w:szCs w:val="24"/>
        </w:rPr>
        <w:t xml:space="preserve">                 </w:t>
      </w:r>
      <w:r w:rsidRPr="00B35761">
        <w:rPr>
          <w:rFonts w:asciiTheme="majorBidi" w:hAnsiTheme="majorBidi" w:cstheme="majorBidi"/>
          <w:b/>
          <w:bCs/>
          <w:i/>
          <w:iCs/>
          <w:color w:val="000000" w:themeColor="text1"/>
          <w:sz w:val="24"/>
          <w:szCs w:val="24"/>
        </w:rPr>
        <w:t xml:space="preserve">  [Tables VI &amp; VII about here]</w:t>
      </w:r>
    </w:p>
    <w:p w14:paraId="3684E2F8" w14:textId="77777777" w:rsidR="00C85FD2" w:rsidRPr="00B35761" w:rsidRDefault="00C85FD2" w:rsidP="001E0DEF">
      <w:pPr>
        <w:spacing w:before="120" w:after="120" w:line="360" w:lineRule="auto"/>
        <w:rPr>
          <w:rFonts w:asciiTheme="majorBidi" w:hAnsiTheme="majorBidi" w:cstheme="majorBidi"/>
          <w:b/>
          <w:bCs/>
          <w:i/>
          <w:iCs/>
          <w:color w:val="000000" w:themeColor="text1"/>
          <w:sz w:val="24"/>
          <w:szCs w:val="24"/>
        </w:rPr>
      </w:pPr>
    </w:p>
    <w:p w14:paraId="663000E8" w14:textId="77777777" w:rsidR="001E0DEF" w:rsidRPr="00B35761" w:rsidRDefault="001E0DEF" w:rsidP="001E0DEF">
      <w:pPr>
        <w:pStyle w:val="Heading2"/>
        <w:numPr>
          <w:ilvl w:val="0"/>
          <w:numId w:val="0"/>
        </w:numPr>
        <w:spacing w:before="240" w:after="0" w:line="360" w:lineRule="auto"/>
        <w:jc w:val="both"/>
        <w:rPr>
          <w:rFonts w:asciiTheme="majorBidi" w:hAnsiTheme="majorBidi" w:cstheme="majorBidi"/>
          <w:i/>
          <w:color w:val="000000" w:themeColor="text1"/>
          <w:sz w:val="24"/>
          <w:szCs w:val="24"/>
        </w:rPr>
      </w:pPr>
      <w:r w:rsidRPr="00B35761">
        <w:rPr>
          <w:rFonts w:asciiTheme="majorBidi" w:hAnsiTheme="majorBidi" w:cstheme="majorBidi"/>
          <w:i/>
          <w:color w:val="000000" w:themeColor="text1"/>
          <w:sz w:val="24"/>
          <w:szCs w:val="24"/>
        </w:rPr>
        <w:t xml:space="preserve">4.5. Managerial bonus compensation and firm performance – the role of managerial ownership </w:t>
      </w:r>
    </w:p>
    <w:p w14:paraId="5759334B" w14:textId="12228DF0" w:rsidR="00AC2466" w:rsidRDefault="00307E99" w:rsidP="001E0DEF">
      <w:pPr>
        <w:spacing w:before="120" w:after="12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main thesis in this study</w:t>
      </w:r>
      <w:r w:rsidR="00211A79" w:rsidRPr="00B35761">
        <w:rPr>
          <w:rFonts w:asciiTheme="majorBidi" w:hAnsiTheme="majorBidi" w:cstheme="majorBidi"/>
          <w:color w:val="000000" w:themeColor="text1"/>
          <w:sz w:val="24"/>
          <w:szCs w:val="24"/>
        </w:rPr>
        <w:t xml:space="preserve"> </w:t>
      </w:r>
      <w:r w:rsidR="001E0DEF" w:rsidRPr="00B35761">
        <w:rPr>
          <w:rFonts w:asciiTheme="majorBidi" w:hAnsiTheme="majorBidi" w:cstheme="majorBidi"/>
          <w:color w:val="000000" w:themeColor="text1"/>
          <w:sz w:val="24"/>
          <w:szCs w:val="24"/>
        </w:rPr>
        <w:t xml:space="preserve">is that through efficient bonus compensation package, executives are motivated to choose value-critical </w:t>
      </w:r>
      <w:r w:rsidR="00211A79" w:rsidRPr="00B35761">
        <w:rPr>
          <w:rFonts w:asciiTheme="majorBidi" w:hAnsiTheme="majorBidi" w:cstheme="majorBidi"/>
          <w:color w:val="000000" w:themeColor="text1"/>
          <w:sz w:val="24"/>
          <w:szCs w:val="24"/>
        </w:rPr>
        <w:t>activities</w:t>
      </w:r>
      <w:r w:rsidR="001E0DEF" w:rsidRPr="00B35761">
        <w:rPr>
          <w:rFonts w:asciiTheme="majorBidi" w:hAnsiTheme="majorBidi" w:cstheme="majorBidi"/>
          <w:color w:val="000000" w:themeColor="text1"/>
          <w:sz w:val="24"/>
          <w:szCs w:val="24"/>
        </w:rPr>
        <w:t xml:space="preserve"> to increase firm value (e.g., </w:t>
      </w:r>
      <w:r w:rsidR="00211A79" w:rsidRPr="00B35761">
        <w:rPr>
          <w:rFonts w:asciiTheme="majorBidi" w:hAnsiTheme="majorBidi" w:cstheme="majorBidi"/>
          <w:color w:val="000000" w:themeColor="text1"/>
          <w:sz w:val="24"/>
          <w:szCs w:val="24"/>
        </w:rPr>
        <w:t>Jensen &amp; Murphy, 1990</w:t>
      </w:r>
      <w:r w:rsidR="001E0DEF" w:rsidRPr="00B35761">
        <w:rPr>
          <w:rFonts w:asciiTheme="majorBidi" w:hAnsiTheme="majorBidi" w:cstheme="majorBidi"/>
          <w:color w:val="000000" w:themeColor="text1"/>
          <w:sz w:val="24"/>
          <w:szCs w:val="24"/>
        </w:rPr>
        <w:t xml:space="preserve">). </w:t>
      </w:r>
      <w:r w:rsidR="00D52315" w:rsidRPr="00B35761">
        <w:rPr>
          <w:rFonts w:asciiTheme="majorBidi" w:hAnsiTheme="majorBidi" w:cstheme="majorBidi"/>
          <w:color w:val="000000" w:themeColor="text1"/>
          <w:sz w:val="24"/>
          <w:szCs w:val="24"/>
        </w:rPr>
        <w:t>In this section,</w:t>
      </w:r>
      <w:r w:rsidR="001E0DEF" w:rsidRPr="00B35761">
        <w:rPr>
          <w:rFonts w:asciiTheme="majorBidi" w:hAnsiTheme="majorBidi" w:cstheme="majorBidi"/>
          <w:color w:val="000000" w:themeColor="text1"/>
          <w:sz w:val="24"/>
          <w:szCs w:val="24"/>
        </w:rPr>
        <w:t xml:space="preserve"> we </w:t>
      </w:r>
      <w:r w:rsidR="00D54028" w:rsidRPr="00B35761">
        <w:rPr>
          <w:rFonts w:asciiTheme="majorBidi" w:hAnsiTheme="majorBidi" w:cstheme="majorBidi"/>
          <w:color w:val="000000" w:themeColor="text1"/>
          <w:sz w:val="24"/>
          <w:szCs w:val="24"/>
        </w:rPr>
        <w:t>further examine the extent to which managerial ownership</w:t>
      </w:r>
      <w:r w:rsidR="001E0DEF" w:rsidRPr="00B35761">
        <w:rPr>
          <w:rFonts w:asciiTheme="majorBidi" w:hAnsiTheme="majorBidi" w:cstheme="majorBidi"/>
          <w:color w:val="000000" w:themeColor="text1"/>
          <w:sz w:val="24"/>
          <w:szCs w:val="24"/>
        </w:rPr>
        <w:t xml:space="preserve"> </w:t>
      </w:r>
      <w:r w:rsidR="004F02CD" w:rsidRPr="00B35761">
        <w:rPr>
          <w:rFonts w:asciiTheme="majorBidi" w:hAnsiTheme="majorBidi" w:cstheme="majorBidi"/>
          <w:color w:val="000000" w:themeColor="text1"/>
          <w:sz w:val="24"/>
          <w:szCs w:val="24"/>
        </w:rPr>
        <w:t xml:space="preserve">affects </w:t>
      </w:r>
      <w:r>
        <w:rPr>
          <w:rFonts w:asciiTheme="majorBidi" w:hAnsiTheme="majorBidi" w:cstheme="majorBidi"/>
          <w:color w:val="000000" w:themeColor="text1"/>
          <w:sz w:val="24"/>
          <w:szCs w:val="24"/>
        </w:rPr>
        <w:t xml:space="preserve">the </w:t>
      </w:r>
      <w:r w:rsidR="00D54028" w:rsidRPr="00B35761">
        <w:rPr>
          <w:rFonts w:asciiTheme="majorBidi" w:hAnsiTheme="majorBidi" w:cstheme="majorBidi"/>
          <w:color w:val="000000" w:themeColor="text1"/>
          <w:sz w:val="24"/>
          <w:szCs w:val="24"/>
        </w:rPr>
        <w:t xml:space="preserve">executive </w:t>
      </w:r>
      <w:r w:rsidR="001E0DEF" w:rsidRPr="00B35761">
        <w:rPr>
          <w:rFonts w:asciiTheme="majorBidi" w:hAnsiTheme="majorBidi" w:cstheme="majorBidi"/>
          <w:color w:val="000000" w:themeColor="text1"/>
          <w:sz w:val="24"/>
          <w:szCs w:val="24"/>
        </w:rPr>
        <w:t xml:space="preserve">bonus compensation – </w:t>
      </w:r>
      <w:r w:rsidR="00D54028" w:rsidRPr="00B35761">
        <w:rPr>
          <w:rFonts w:asciiTheme="majorBidi" w:hAnsiTheme="majorBidi" w:cstheme="majorBidi"/>
          <w:color w:val="000000" w:themeColor="text1"/>
          <w:sz w:val="24"/>
          <w:szCs w:val="24"/>
        </w:rPr>
        <w:t>performance</w:t>
      </w:r>
      <w:r w:rsidR="001E0DEF" w:rsidRPr="00B35761">
        <w:rPr>
          <w:rFonts w:asciiTheme="majorBidi" w:hAnsiTheme="majorBidi" w:cstheme="majorBidi"/>
          <w:color w:val="000000" w:themeColor="text1"/>
          <w:sz w:val="24"/>
          <w:szCs w:val="24"/>
        </w:rPr>
        <w:t xml:space="preserve"> relat</w:t>
      </w:r>
      <w:r>
        <w:rPr>
          <w:rFonts w:asciiTheme="majorBidi" w:hAnsiTheme="majorBidi" w:cstheme="majorBidi"/>
          <w:color w:val="000000" w:themeColor="text1"/>
          <w:sz w:val="24"/>
          <w:szCs w:val="24"/>
        </w:rPr>
        <w:t>ionship</w:t>
      </w:r>
      <w:r w:rsidR="00D54028" w:rsidRPr="00B35761">
        <w:rPr>
          <w:rFonts w:asciiTheme="majorBidi" w:hAnsiTheme="majorBidi" w:cstheme="majorBidi"/>
          <w:color w:val="000000" w:themeColor="text1"/>
          <w:sz w:val="24"/>
          <w:szCs w:val="24"/>
        </w:rPr>
        <w:t xml:space="preserve">. </w:t>
      </w:r>
    </w:p>
    <w:p w14:paraId="52ABFB0A" w14:textId="77777777" w:rsidR="00C85FD2" w:rsidRPr="00B35761" w:rsidRDefault="00C85FD2" w:rsidP="001E0DEF">
      <w:pPr>
        <w:spacing w:before="120" w:after="120" w:line="360" w:lineRule="auto"/>
        <w:jc w:val="both"/>
        <w:rPr>
          <w:rFonts w:asciiTheme="majorBidi" w:hAnsiTheme="majorBidi" w:cstheme="majorBidi"/>
          <w:color w:val="000000" w:themeColor="text1"/>
          <w:sz w:val="24"/>
          <w:szCs w:val="24"/>
        </w:rPr>
      </w:pPr>
    </w:p>
    <w:p w14:paraId="5A9FC216" w14:textId="73EA143F" w:rsidR="001E0DEF" w:rsidRPr="00B35761" w:rsidRDefault="001E0DEF" w:rsidP="000D5C6B">
      <w:pPr>
        <w:spacing w:before="120" w:after="120" w:line="360" w:lineRule="auto"/>
        <w:jc w:val="both"/>
        <w:rPr>
          <w:rFonts w:asciiTheme="majorBidi" w:hAnsiTheme="majorBidi" w:cstheme="majorBidi"/>
          <w:color w:val="000000" w:themeColor="text1"/>
          <w:sz w:val="24"/>
          <w:szCs w:val="24"/>
        </w:rPr>
      </w:pPr>
      <w:r w:rsidRPr="00B35761">
        <w:rPr>
          <w:rFonts w:asciiTheme="majorBidi" w:hAnsiTheme="majorBidi" w:cstheme="majorBidi"/>
          <w:color w:val="000000" w:themeColor="text1"/>
          <w:sz w:val="24"/>
          <w:szCs w:val="24"/>
        </w:rPr>
        <w:t>To achieve this aim, we use the stock ownership held by executive’s (</w:t>
      </w:r>
      <w:r w:rsidRPr="00B35761">
        <w:rPr>
          <w:rFonts w:asciiTheme="majorBidi" w:hAnsiTheme="majorBidi" w:cstheme="majorBidi"/>
          <w:i/>
          <w:color w:val="000000" w:themeColor="text1"/>
          <w:sz w:val="24"/>
          <w:szCs w:val="24"/>
        </w:rPr>
        <w:t>MO</w:t>
      </w:r>
      <w:r w:rsidRPr="00B35761">
        <w:rPr>
          <w:rFonts w:asciiTheme="majorBidi" w:hAnsiTheme="majorBidi" w:cstheme="majorBidi"/>
          <w:color w:val="000000" w:themeColor="text1"/>
          <w:sz w:val="24"/>
          <w:szCs w:val="24"/>
        </w:rPr>
        <w:t>) (</w:t>
      </w:r>
      <w:proofErr w:type="spellStart"/>
      <w:r w:rsidRPr="00B35761">
        <w:rPr>
          <w:rFonts w:asciiTheme="majorBidi" w:hAnsiTheme="majorBidi" w:cstheme="majorBidi"/>
          <w:color w:val="000000" w:themeColor="text1"/>
          <w:sz w:val="24"/>
          <w:szCs w:val="24"/>
        </w:rPr>
        <w:t>Adu</w:t>
      </w:r>
      <w:proofErr w:type="spellEnd"/>
      <w:r w:rsidRPr="00B35761">
        <w:rPr>
          <w:rFonts w:asciiTheme="majorBidi" w:hAnsiTheme="majorBidi" w:cstheme="majorBidi"/>
          <w:color w:val="000000" w:themeColor="text1"/>
          <w:sz w:val="24"/>
          <w:szCs w:val="24"/>
        </w:rPr>
        <w:t xml:space="preserve">-Ameyaw et al., 2021; </w:t>
      </w:r>
      <w:proofErr w:type="spellStart"/>
      <w:r w:rsidRPr="00B35761">
        <w:rPr>
          <w:rFonts w:asciiTheme="majorBidi" w:hAnsiTheme="majorBidi" w:cstheme="majorBidi"/>
          <w:color w:val="000000" w:themeColor="text1"/>
          <w:sz w:val="24"/>
          <w:szCs w:val="24"/>
        </w:rPr>
        <w:t>Florackis</w:t>
      </w:r>
      <w:proofErr w:type="spellEnd"/>
      <w:r w:rsidRPr="00B35761">
        <w:rPr>
          <w:rFonts w:asciiTheme="majorBidi" w:hAnsiTheme="majorBidi" w:cstheme="majorBidi"/>
          <w:color w:val="000000" w:themeColor="text1"/>
          <w:sz w:val="24"/>
          <w:szCs w:val="24"/>
        </w:rPr>
        <w:t xml:space="preserve"> and </w:t>
      </w:r>
      <w:proofErr w:type="spellStart"/>
      <w:r w:rsidRPr="00B35761">
        <w:rPr>
          <w:rFonts w:asciiTheme="majorBidi" w:hAnsiTheme="majorBidi" w:cstheme="majorBidi"/>
          <w:color w:val="000000" w:themeColor="text1"/>
          <w:sz w:val="24"/>
          <w:szCs w:val="24"/>
        </w:rPr>
        <w:t>Ozkan</w:t>
      </w:r>
      <w:proofErr w:type="spellEnd"/>
      <w:r w:rsidRPr="00B35761">
        <w:rPr>
          <w:rFonts w:asciiTheme="majorBidi" w:hAnsiTheme="majorBidi" w:cstheme="majorBidi"/>
          <w:color w:val="000000" w:themeColor="text1"/>
          <w:sz w:val="24"/>
          <w:szCs w:val="24"/>
        </w:rPr>
        <w:t xml:space="preserve">, 2009). </w:t>
      </w:r>
      <w:r w:rsidRPr="00B35761">
        <w:rPr>
          <w:rFonts w:asciiTheme="majorBidi" w:hAnsiTheme="majorBidi" w:cstheme="majorBidi"/>
          <w:sz w:val="24"/>
          <w:szCs w:val="24"/>
        </w:rPr>
        <w:t xml:space="preserve">Thus, executives with ownership stakes above the top one-third quantile are marked as high ownership (MO75), whilst those with ownership at the bottom one-third quantile are marked as low ownership (MO25). We use dummies for High (MO75) equal to one (1) for executive share ownership in the top one-third quantile and zero (0) otherwise while those with Low ownership (MO25) is equal to one (1) and zero (0) otherwise. </w:t>
      </w:r>
      <w:r w:rsidRPr="00B35761">
        <w:rPr>
          <w:rFonts w:asciiTheme="majorBidi" w:hAnsiTheme="majorBidi" w:cstheme="majorBidi"/>
          <w:color w:val="000000" w:themeColor="text1"/>
          <w:sz w:val="24"/>
          <w:szCs w:val="24"/>
        </w:rPr>
        <w:t>We multiple these dummies (MO75) and (MO25) with our key independent variable to get the interaction terms (</w:t>
      </w:r>
      <w:r w:rsidRPr="00B35761">
        <w:rPr>
          <w:rFonts w:asciiTheme="majorBidi" w:hAnsiTheme="majorBidi" w:cstheme="majorBidi"/>
          <w:i/>
          <w:color w:val="000000" w:themeColor="text1"/>
          <w:sz w:val="24"/>
          <w:szCs w:val="24"/>
        </w:rPr>
        <w:t>TVP</w:t>
      </w:r>
      <w:r w:rsidR="00494B59" w:rsidRPr="00B35761">
        <w:rPr>
          <w:rFonts w:asciiTheme="majorBidi" w:hAnsiTheme="majorBidi" w:cstheme="majorBidi"/>
          <w:i/>
          <w:color w:val="000000" w:themeColor="text1"/>
          <w:sz w:val="24"/>
          <w:szCs w:val="24"/>
        </w:rPr>
        <w:t xml:space="preserve"> x </w:t>
      </w:r>
      <w:r w:rsidRPr="00B35761">
        <w:rPr>
          <w:rFonts w:asciiTheme="majorBidi" w:hAnsiTheme="majorBidi" w:cstheme="majorBidi"/>
          <w:i/>
          <w:color w:val="000000" w:themeColor="text1"/>
          <w:sz w:val="24"/>
          <w:szCs w:val="24"/>
        </w:rPr>
        <w:t>MO25, TVP</w:t>
      </w:r>
      <w:r w:rsidR="00494B59" w:rsidRPr="00B35761">
        <w:rPr>
          <w:rFonts w:asciiTheme="majorBidi" w:hAnsiTheme="majorBidi" w:cstheme="majorBidi"/>
          <w:i/>
          <w:color w:val="000000" w:themeColor="text1"/>
          <w:sz w:val="24"/>
          <w:szCs w:val="24"/>
        </w:rPr>
        <w:t xml:space="preserve"> x </w:t>
      </w:r>
      <w:r w:rsidRPr="00B35761">
        <w:rPr>
          <w:rFonts w:asciiTheme="majorBidi" w:hAnsiTheme="majorBidi" w:cstheme="majorBidi"/>
          <w:i/>
          <w:color w:val="000000" w:themeColor="text1"/>
          <w:sz w:val="24"/>
          <w:szCs w:val="24"/>
        </w:rPr>
        <w:t>MO75).</w:t>
      </w:r>
      <w:r w:rsidRPr="00B35761">
        <w:rPr>
          <w:rFonts w:asciiTheme="majorBidi" w:hAnsiTheme="majorBidi" w:cstheme="majorBidi"/>
          <w:color w:val="000000" w:themeColor="text1"/>
          <w:sz w:val="24"/>
          <w:szCs w:val="24"/>
        </w:rPr>
        <w:t xml:space="preserve"> We separately include the interaction term in the respective models and the results are presented in Models 1 &amp; 2 of Table 6. Specifically, we find the coefficient estimate for </w:t>
      </w:r>
      <w:r w:rsidRPr="00B35761">
        <w:rPr>
          <w:rFonts w:asciiTheme="majorBidi" w:hAnsiTheme="majorBidi" w:cstheme="majorBidi"/>
          <w:i/>
          <w:iCs/>
          <w:color w:val="000000" w:themeColor="text1"/>
          <w:sz w:val="24"/>
          <w:szCs w:val="24"/>
        </w:rPr>
        <w:t>TVP</w:t>
      </w:r>
      <w:r w:rsidR="00494B59" w:rsidRPr="00B35761">
        <w:rPr>
          <w:rFonts w:asciiTheme="majorBidi" w:hAnsiTheme="majorBidi" w:cstheme="majorBidi"/>
          <w:i/>
          <w:iCs/>
          <w:color w:val="000000" w:themeColor="text1"/>
          <w:sz w:val="24"/>
          <w:szCs w:val="24"/>
        </w:rPr>
        <w:t xml:space="preserve"> x </w:t>
      </w:r>
      <w:r w:rsidRPr="00B35761">
        <w:rPr>
          <w:rFonts w:asciiTheme="majorBidi" w:hAnsiTheme="majorBidi" w:cstheme="majorBidi"/>
          <w:i/>
          <w:iCs/>
          <w:color w:val="000000" w:themeColor="text1"/>
          <w:sz w:val="24"/>
          <w:szCs w:val="24"/>
        </w:rPr>
        <w:t xml:space="preserve">MO25 </w:t>
      </w:r>
      <w:r w:rsidRPr="00B35761">
        <w:rPr>
          <w:rFonts w:asciiTheme="majorBidi" w:hAnsiTheme="majorBidi" w:cstheme="majorBidi"/>
          <w:color w:val="000000" w:themeColor="text1"/>
          <w:sz w:val="24"/>
          <w:szCs w:val="24"/>
        </w:rPr>
        <w:t xml:space="preserve">to be positive but insignificant, whilst coefficient on </w:t>
      </w:r>
      <w:r w:rsidRPr="00B35761">
        <w:rPr>
          <w:rFonts w:asciiTheme="majorBidi" w:hAnsiTheme="majorBidi" w:cstheme="majorBidi"/>
          <w:i/>
          <w:color w:val="000000" w:themeColor="text1"/>
          <w:sz w:val="24"/>
          <w:szCs w:val="24"/>
        </w:rPr>
        <w:t>TVP</w:t>
      </w:r>
      <w:r w:rsidR="00494B59" w:rsidRPr="00B35761">
        <w:rPr>
          <w:rFonts w:asciiTheme="majorBidi" w:hAnsiTheme="majorBidi" w:cstheme="majorBidi"/>
          <w:i/>
          <w:iCs/>
          <w:color w:val="000000" w:themeColor="text1"/>
          <w:sz w:val="24"/>
          <w:szCs w:val="24"/>
        </w:rPr>
        <w:t xml:space="preserve"> x </w:t>
      </w:r>
      <w:r w:rsidRPr="00B35761">
        <w:rPr>
          <w:rFonts w:asciiTheme="majorBidi" w:hAnsiTheme="majorBidi" w:cstheme="majorBidi"/>
          <w:i/>
          <w:iCs/>
          <w:color w:val="000000" w:themeColor="text1"/>
          <w:sz w:val="24"/>
          <w:szCs w:val="24"/>
        </w:rPr>
        <w:t xml:space="preserve">MO75 </w:t>
      </w:r>
      <w:r w:rsidRPr="00B35761">
        <w:rPr>
          <w:rFonts w:asciiTheme="majorBidi" w:hAnsiTheme="majorBidi" w:cstheme="majorBidi"/>
          <w:color w:val="000000" w:themeColor="text1"/>
          <w:sz w:val="24"/>
          <w:szCs w:val="24"/>
        </w:rPr>
        <w:t>is negative</w:t>
      </w:r>
      <w:r w:rsidRPr="00B35761">
        <w:rPr>
          <w:rFonts w:asciiTheme="majorBidi" w:hAnsiTheme="majorBidi" w:cstheme="majorBidi"/>
          <w:i/>
          <w:iCs/>
          <w:color w:val="000000" w:themeColor="text1"/>
          <w:sz w:val="24"/>
          <w:szCs w:val="24"/>
        </w:rPr>
        <w:t xml:space="preserve"> (-1.227) </w:t>
      </w:r>
      <w:r w:rsidRPr="00B35761">
        <w:rPr>
          <w:rFonts w:asciiTheme="majorBidi" w:hAnsiTheme="majorBidi" w:cstheme="majorBidi"/>
          <w:color w:val="000000" w:themeColor="text1"/>
          <w:sz w:val="24"/>
          <w:szCs w:val="24"/>
        </w:rPr>
        <w:t xml:space="preserve">and statistically significant in Model 2. This implies that bonus-incentivised executives with larger ownership holdings are more likely to reduce firm value. This is not surprising because at high ownership holdings, executives may become more risk-averse and may forgo risky but positive net present value activities. This evidence is suggestive of managerial entrenchment effects (Gormley and </w:t>
      </w:r>
      <w:proofErr w:type="spellStart"/>
      <w:r w:rsidRPr="00B35761">
        <w:rPr>
          <w:rFonts w:asciiTheme="majorBidi" w:hAnsiTheme="majorBidi" w:cstheme="majorBidi"/>
          <w:color w:val="000000" w:themeColor="text1"/>
          <w:sz w:val="24"/>
          <w:szCs w:val="24"/>
        </w:rPr>
        <w:t>Matsa</w:t>
      </w:r>
      <w:proofErr w:type="spellEnd"/>
      <w:r w:rsidRPr="00B35761">
        <w:rPr>
          <w:rFonts w:asciiTheme="majorBidi" w:hAnsiTheme="majorBidi" w:cstheme="majorBidi"/>
          <w:color w:val="000000" w:themeColor="text1"/>
          <w:sz w:val="24"/>
          <w:szCs w:val="24"/>
        </w:rPr>
        <w:t xml:space="preserve">, 2016; Brick, </w:t>
      </w:r>
      <w:proofErr w:type="spellStart"/>
      <w:r w:rsidRPr="00B35761">
        <w:rPr>
          <w:rFonts w:asciiTheme="majorBidi" w:hAnsiTheme="majorBidi" w:cstheme="majorBidi"/>
          <w:color w:val="000000" w:themeColor="text1"/>
          <w:sz w:val="24"/>
          <w:szCs w:val="24"/>
        </w:rPr>
        <w:t>Palmon</w:t>
      </w:r>
      <w:proofErr w:type="spellEnd"/>
      <w:r w:rsidRPr="00B35761">
        <w:rPr>
          <w:rFonts w:asciiTheme="majorBidi" w:hAnsiTheme="majorBidi" w:cstheme="majorBidi"/>
          <w:color w:val="000000" w:themeColor="text1"/>
          <w:sz w:val="24"/>
          <w:szCs w:val="24"/>
        </w:rPr>
        <w:t xml:space="preserve"> and Wald, 2012).  </w:t>
      </w:r>
    </w:p>
    <w:p w14:paraId="3DE5B5DC" w14:textId="77777777" w:rsidR="001E0DEF" w:rsidRPr="00B35761" w:rsidRDefault="001E0DEF" w:rsidP="001E0DEF">
      <w:pPr>
        <w:rPr>
          <w:rFonts w:asciiTheme="majorBidi" w:hAnsiTheme="majorBidi" w:cstheme="majorBidi"/>
          <w:b/>
          <w:bCs/>
          <w:sz w:val="24"/>
          <w:szCs w:val="24"/>
        </w:rPr>
      </w:pPr>
    </w:p>
    <w:p w14:paraId="307E9A08" w14:textId="77777777" w:rsidR="001E0DEF" w:rsidRPr="00B35761" w:rsidRDefault="001E0DEF" w:rsidP="001E0DEF">
      <w:pPr>
        <w:pStyle w:val="Heading2"/>
        <w:numPr>
          <w:ilvl w:val="0"/>
          <w:numId w:val="0"/>
        </w:numPr>
        <w:spacing w:before="240" w:after="0" w:line="360" w:lineRule="auto"/>
        <w:jc w:val="both"/>
        <w:rPr>
          <w:rFonts w:asciiTheme="majorBidi" w:hAnsiTheme="majorBidi" w:cstheme="majorBidi"/>
          <w:i/>
          <w:color w:val="000000" w:themeColor="text1"/>
          <w:sz w:val="24"/>
          <w:szCs w:val="24"/>
        </w:rPr>
      </w:pPr>
      <w:r w:rsidRPr="00B35761">
        <w:rPr>
          <w:rFonts w:asciiTheme="majorBidi" w:hAnsiTheme="majorBidi" w:cstheme="majorBidi"/>
          <w:i/>
          <w:color w:val="000000" w:themeColor="text1"/>
          <w:sz w:val="24"/>
          <w:szCs w:val="24"/>
        </w:rPr>
        <w:t xml:space="preserve">4.6. Managerial bonus compensation and firm performance – the role of institutional ownership </w:t>
      </w:r>
    </w:p>
    <w:p w14:paraId="794D55B0" w14:textId="3F4797AA" w:rsidR="003203B7" w:rsidRPr="00B35761" w:rsidRDefault="003203B7" w:rsidP="001E0DEF">
      <w:pPr>
        <w:spacing w:line="360" w:lineRule="auto"/>
        <w:jc w:val="both"/>
        <w:rPr>
          <w:rFonts w:asciiTheme="majorBidi" w:hAnsiTheme="majorBidi" w:cstheme="majorBidi"/>
          <w:color w:val="000000" w:themeColor="text1"/>
          <w:sz w:val="24"/>
          <w:szCs w:val="24"/>
        </w:rPr>
      </w:pPr>
      <w:r w:rsidRPr="00B35761">
        <w:rPr>
          <w:rFonts w:asciiTheme="majorBidi" w:eastAsia="Calibri" w:hAnsiTheme="majorBidi" w:cstheme="majorBidi"/>
          <w:sz w:val="24"/>
          <w:szCs w:val="24"/>
          <w:lang w:val="en-US"/>
        </w:rPr>
        <w:t>Next, we test our third hypothesis (</w:t>
      </w:r>
      <w:r w:rsidRPr="00B35761">
        <w:rPr>
          <w:rFonts w:asciiTheme="majorBidi" w:eastAsia="Calibri" w:hAnsiTheme="majorBidi" w:cstheme="majorBidi"/>
          <w:i/>
          <w:iCs/>
          <w:sz w:val="24"/>
          <w:szCs w:val="24"/>
          <w:lang w:val="en-US"/>
        </w:rPr>
        <w:t>H3</w:t>
      </w:r>
      <w:r w:rsidRPr="00B35761">
        <w:rPr>
          <w:rFonts w:asciiTheme="majorBidi" w:eastAsia="Calibri" w:hAnsiTheme="majorBidi" w:cstheme="majorBidi"/>
          <w:sz w:val="24"/>
          <w:szCs w:val="24"/>
          <w:lang w:val="en-US"/>
        </w:rPr>
        <w:t xml:space="preserve">) to see whether institutional ownership affects compensation – performance linkage. </w:t>
      </w:r>
      <w:r w:rsidR="001E0DEF" w:rsidRPr="00B35761">
        <w:rPr>
          <w:rFonts w:asciiTheme="majorBidi" w:hAnsiTheme="majorBidi" w:cstheme="majorBidi"/>
          <w:color w:val="000000" w:themeColor="text1"/>
          <w:sz w:val="24"/>
          <w:szCs w:val="24"/>
        </w:rPr>
        <w:t>To test this, we use the share ownership held by institutional investors (</w:t>
      </w:r>
      <w:r w:rsidR="001E0DEF" w:rsidRPr="00B35761">
        <w:rPr>
          <w:rFonts w:asciiTheme="majorBidi" w:hAnsiTheme="majorBidi" w:cstheme="majorBidi"/>
          <w:i/>
          <w:color w:val="000000" w:themeColor="text1"/>
          <w:sz w:val="24"/>
          <w:szCs w:val="24"/>
        </w:rPr>
        <w:t>IO</w:t>
      </w:r>
      <w:r w:rsidR="001E0DEF" w:rsidRPr="00B35761">
        <w:rPr>
          <w:rFonts w:asciiTheme="majorBidi" w:hAnsiTheme="majorBidi" w:cstheme="majorBidi"/>
          <w:color w:val="000000" w:themeColor="text1"/>
          <w:sz w:val="24"/>
          <w:szCs w:val="24"/>
        </w:rPr>
        <w:t>) (</w:t>
      </w:r>
      <w:proofErr w:type="spellStart"/>
      <w:r w:rsidR="001E0DEF" w:rsidRPr="00B35761">
        <w:rPr>
          <w:rFonts w:asciiTheme="majorBidi" w:hAnsiTheme="majorBidi" w:cstheme="majorBidi"/>
          <w:color w:val="000000" w:themeColor="text1"/>
          <w:sz w:val="24"/>
          <w:szCs w:val="24"/>
        </w:rPr>
        <w:t>Adu</w:t>
      </w:r>
      <w:proofErr w:type="spellEnd"/>
      <w:r w:rsidR="001E0DEF" w:rsidRPr="00B35761">
        <w:rPr>
          <w:rFonts w:asciiTheme="majorBidi" w:hAnsiTheme="majorBidi" w:cstheme="majorBidi"/>
          <w:color w:val="000000" w:themeColor="text1"/>
          <w:sz w:val="24"/>
          <w:szCs w:val="24"/>
        </w:rPr>
        <w:t xml:space="preserve">-Ameyaw et al., 2021) and it is measured as a log number of shares and arranged in descending order. </w:t>
      </w:r>
      <w:r w:rsidR="001E0DEF" w:rsidRPr="00B35761">
        <w:rPr>
          <w:rFonts w:asciiTheme="majorBidi" w:hAnsiTheme="majorBidi" w:cstheme="majorBidi"/>
          <w:sz w:val="24"/>
          <w:szCs w:val="24"/>
        </w:rPr>
        <w:t xml:space="preserve">Specifically, institutional ownership above the top one-third quantile is marked as large ownership (IO75), whilst those with ownership at the bottom one-third quantile are marked as low ownership (IO25). We represent these ((IO75, IO25) with dummies for large (IO75) equal to one (1) for institutional share ownership in the top one-third quantile and zero (0) otherwise while those with Low ownership (IO25) is equal to one (1) and zero (0) otherwise. </w:t>
      </w:r>
      <w:r w:rsidR="001E0DEF" w:rsidRPr="00B35761">
        <w:rPr>
          <w:rFonts w:asciiTheme="majorBidi" w:hAnsiTheme="majorBidi" w:cstheme="majorBidi"/>
          <w:color w:val="000000" w:themeColor="text1"/>
          <w:sz w:val="24"/>
          <w:szCs w:val="24"/>
        </w:rPr>
        <w:t>We interact these dummies (IO75) and (IO25) with the independent variable to get the interaction terms (</w:t>
      </w:r>
      <w:r w:rsidR="001E0DEF" w:rsidRPr="00B35761">
        <w:rPr>
          <w:rFonts w:asciiTheme="majorBidi" w:hAnsiTheme="majorBidi" w:cstheme="majorBidi"/>
          <w:i/>
          <w:color w:val="000000" w:themeColor="text1"/>
          <w:sz w:val="24"/>
          <w:szCs w:val="24"/>
        </w:rPr>
        <w:t>TVP</w:t>
      </w:r>
      <w:r w:rsidR="00494B59" w:rsidRPr="00B35761">
        <w:rPr>
          <w:rFonts w:asciiTheme="majorBidi" w:hAnsiTheme="majorBidi" w:cstheme="majorBidi"/>
          <w:i/>
          <w:color w:val="000000" w:themeColor="text1"/>
          <w:sz w:val="24"/>
          <w:szCs w:val="24"/>
        </w:rPr>
        <w:t xml:space="preserve"> x </w:t>
      </w:r>
      <w:r w:rsidR="001E0DEF" w:rsidRPr="00B35761">
        <w:rPr>
          <w:rFonts w:asciiTheme="majorBidi" w:hAnsiTheme="majorBidi" w:cstheme="majorBidi"/>
          <w:i/>
          <w:color w:val="000000" w:themeColor="text1"/>
          <w:sz w:val="24"/>
          <w:szCs w:val="24"/>
        </w:rPr>
        <w:t>IO25, TVP</w:t>
      </w:r>
      <w:r w:rsidR="00494B59" w:rsidRPr="00B35761">
        <w:rPr>
          <w:rFonts w:asciiTheme="majorBidi" w:hAnsiTheme="majorBidi" w:cstheme="majorBidi"/>
          <w:i/>
          <w:color w:val="000000" w:themeColor="text1"/>
          <w:sz w:val="24"/>
          <w:szCs w:val="24"/>
        </w:rPr>
        <w:t xml:space="preserve"> x </w:t>
      </w:r>
      <w:r w:rsidR="001E0DEF" w:rsidRPr="00B35761">
        <w:rPr>
          <w:rFonts w:asciiTheme="majorBidi" w:hAnsiTheme="majorBidi" w:cstheme="majorBidi"/>
          <w:i/>
          <w:color w:val="000000" w:themeColor="text1"/>
          <w:sz w:val="24"/>
          <w:szCs w:val="24"/>
        </w:rPr>
        <w:t>IO75).</w:t>
      </w:r>
      <w:r w:rsidR="001E0DEF" w:rsidRPr="00B35761">
        <w:rPr>
          <w:rFonts w:asciiTheme="majorBidi" w:hAnsiTheme="majorBidi" w:cstheme="majorBidi"/>
          <w:color w:val="000000" w:themeColor="text1"/>
          <w:sz w:val="24"/>
          <w:szCs w:val="24"/>
        </w:rPr>
        <w:t xml:space="preserve"> We include each interaction term together with the dummy variable in the respective models (3 &amp; 4) and the results are presented in Table 6. Specifically, we find the estimate for </w:t>
      </w:r>
      <w:r w:rsidR="001E0DEF" w:rsidRPr="00B35761">
        <w:rPr>
          <w:rFonts w:asciiTheme="majorBidi" w:hAnsiTheme="majorBidi" w:cstheme="majorBidi"/>
          <w:i/>
          <w:iCs/>
          <w:color w:val="000000" w:themeColor="text1"/>
          <w:sz w:val="24"/>
          <w:szCs w:val="24"/>
        </w:rPr>
        <w:t>TVP</w:t>
      </w:r>
      <w:r w:rsidR="00494B59" w:rsidRPr="00B35761">
        <w:rPr>
          <w:rFonts w:asciiTheme="majorBidi" w:hAnsiTheme="majorBidi" w:cstheme="majorBidi"/>
          <w:i/>
          <w:iCs/>
          <w:color w:val="000000" w:themeColor="text1"/>
          <w:sz w:val="24"/>
          <w:szCs w:val="24"/>
        </w:rPr>
        <w:t xml:space="preserve"> x </w:t>
      </w:r>
      <w:r w:rsidR="001E0DEF" w:rsidRPr="00B35761">
        <w:rPr>
          <w:rFonts w:asciiTheme="majorBidi" w:hAnsiTheme="majorBidi" w:cstheme="majorBidi"/>
          <w:i/>
          <w:iCs/>
          <w:color w:val="000000" w:themeColor="text1"/>
          <w:sz w:val="24"/>
          <w:szCs w:val="24"/>
        </w:rPr>
        <w:t xml:space="preserve">IO25 </w:t>
      </w:r>
      <w:r w:rsidR="001E0DEF" w:rsidRPr="00B35761">
        <w:rPr>
          <w:rFonts w:asciiTheme="majorBidi" w:hAnsiTheme="majorBidi" w:cstheme="majorBidi"/>
          <w:color w:val="000000" w:themeColor="text1"/>
          <w:sz w:val="24"/>
          <w:szCs w:val="24"/>
        </w:rPr>
        <w:t xml:space="preserve">to be negative, while that of </w:t>
      </w:r>
      <w:r w:rsidR="001E0DEF" w:rsidRPr="00B35761">
        <w:rPr>
          <w:rFonts w:asciiTheme="majorBidi" w:hAnsiTheme="majorBidi" w:cstheme="majorBidi"/>
          <w:i/>
          <w:color w:val="000000" w:themeColor="text1"/>
          <w:sz w:val="24"/>
          <w:szCs w:val="24"/>
        </w:rPr>
        <w:t>TVP</w:t>
      </w:r>
      <w:r w:rsidR="00494B59" w:rsidRPr="00B35761">
        <w:rPr>
          <w:rFonts w:asciiTheme="majorBidi" w:hAnsiTheme="majorBidi" w:cstheme="majorBidi"/>
          <w:i/>
          <w:color w:val="000000" w:themeColor="text1"/>
          <w:sz w:val="24"/>
          <w:szCs w:val="24"/>
        </w:rPr>
        <w:t xml:space="preserve"> </w:t>
      </w:r>
      <w:r w:rsidR="00494B59" w:rsidRPr="00B35761">
        <w:rPr>
          <w:rFonts w:asciiTheme="majorBidi" w:hAnsiTheme="majorBidi" w:cstheme="majorBidi"/>
          <w:i/>
          <w:iCs/>
          <w:color w:val="000000" w:themeColor="text1"/>
          <w:sz w:val="24"/>
          <w:szCs w:val="24"/>
        </w:rPr>
        <w:t>x</w:t>
      </w:r>
      <w:r w:rsidR="001E0DEF" w:rsidRPr="00B35761">
        <w:rPr>
          <w:rFonts w:asciiTheme="majorBidi" w:hAnsiTheme="majorBidi" w:cstheme="majorBidi"/>
          <w:i/>
          <w:iCs/>
          <w:color w:val="000000" w:themeColor="text1"/>
          <w:sz w:val="24"/>
          <w:szCs w:val="24"/>
        </w:rPr>
        <w:t xml:space="preserve"> IO75 </w:t>
      </w:r>
      <w:r w:rsidR="001E0DEF" w:rsidRPr="00B35761">
        <w:rPr>
          <w:rFonts w:asciiTheme="majorBidi" w:hAnsiTheme="majorBidi" w:cstheme="majorBidi"/>
          <w:color w:val="000000" w:themeColor="text1"/>
          <w:sz w:val="24"/>
          <w:szCs w:val="24"/>
        </w:rPr>
        <w:t>is positive but are both statistically insignificant in Models 3 &amp; 4. Th</w:t>
      </w:r>
      <w:r w:rsidR="000D5C6B">
        <w:rPr>
          <w:rFonts w:asciiTheme="majorBidi" w:hAnsiTheme="majorBidi" w:cstheme="majorBidi"/>
          <w:color w:val="000000" w:themeColor="text1"/>
          <w:sz w:val="24"/>
          <w:szCs w:val="24"/>
        </w:rPr>
        <w:t>e</w:t>
      </w:r>
      <w:r w:rsidR="001E0DEF" w:rsidRPr="00B35761">
        <w:rPr>
          <w:rFonts w:asciiTheme="majorBidi" w:hAnsiTheme="majorBidi" w:cstheme="majorBidi"/>
          <w:color w:val="000000" w:themeColor="text1"/>
          <w:sz w:val="24"/>
          <w:szCs w:val="24"/>
        </w:rPr>
        <w:t>s</w:t>
      </w:r>
      <w:r w:rsidR="000D5C6B">
        <w:rPr>
          <w:rFonts w:asciiTheme="majorBidi" w:hAnsiTheme="majorBidi" w:cstheme="majorBidi"/>
          <w:color w:val="000000" w:themeColor="text1"/>
          <w:sz w:val="24"/>
          <w:szCs w:val="24"/>
        </w:rPr>
        <w:t>e</w:t>
      </w:r>
      <w:r w:rsidR="001E0DEF" w:rsidRPr="00B35761">
        <w:rPr>
          <w:rFonts w:asciiTheme="majorBidi" w:hAnsiTheme="majorBidi" w:cstheme="majorBidi"/>
          <w:color w:val="000000" w:themeColor="text1"/>
          <w:sz w:val="24"/>
          <w:szCs w:val="24"/>
        </w:rPr>
        <w:t xml:space="preserve"> suggest that firms with institutional shareholders are ineffective in using their power (through efficient bonus compensation design) to influence managerial value-critical decisions. </w:t>
      </w:r>
      <w:r w:rsidR="004F02CD" w:rsidRPr="00B35761">
        <w:rPr>
          <w:rFonts w:asciiTheme="majorBidi" w:hAnsiTheme="majorBidi" w:cstheme="majorBidi"/>
          <w:color w:val="000000" w:themeColor="text1"/>
          <w:sz w:val="24"/>
          <w:szCs w:val="24"/>
        </w:rPr>
        <w:t>Th</w:t>
      </w:r>
      <w:r w:rsidR="000D5C6B">
        <w:rPr>
          <w:rFonts w:asciiTheme="majorBidi" w:hAnsiTheme="majorBidi" w:cstheme="majorBidi"/>
          <w:color w:val="000000" w:themeColor="text1"/>
          <w:sz w:val="24"/>
          <w:szCs w:val="24"/>
        </w:rPr>
        <w:t>e</w:t>
      </w:r>
      <w:r w:rsidR="004F02CD" w:rsidRPr="00B35761">
        <w:rPr>
          <w:rFonts w:asciiTheme="majorBidi" w:hAnsiTheme="majorBidi" w:cstheme="majorBidi"/>
          <w:color w:val="000000" w:themeColor="text1"/>
          <w:sz w:val="24"/>
          <w:szCs w:val="24"/>
        </w:rPr>
        <w:t>s</w:t>
      </w:r>
      <w:r w:rsidR="000D5C6B">
        <w:rPr>
          <w:rFonts w:asciiTheme="majorBidi" w:hAnsiTheme="majorBidi" w:cstheme="majorBidi"/>
          <w:color w:val="000000" w:themeColor="text1"/>
          <w:sz w:val="24"/>
          <w:szCs w:val="24"/>
        </w:rPr>
        <w:t>e</w:t>
      </w:r>
      <w:r w:rsidR="004F02CD" w:rsidRPr="00B35761">
        <w:rPr>
          <w:rFonts w:asciiTheme="majorBidi" w:hAnsiTheme="majorBidi" w:cstheme="majorBidi"/>
          <w:color w:val="000000" w:themeColor="text1"/>
          <w:sz w:val="24"/>
          <w:szCs w:val="24"/>
        </w:rPr>
        <w:t xml:space="preserve"> result</w:t>
      </w:r>
      <w:r w:rsidR="000D5C6B">
        <w:rPr>
          <w:rFonts w:asciiTheme="majorBidi" w:hAnsiTheme="majorBidi" w:cstheme="majorBidi"/>
          <w:color w:val="000000" w:themeColor="text1"/>
          <w:sz w:val="24"/>
          <w:szCs w:val="24"/>
        </w:rPr>
        <w:t>s</w:t>
      </w:r>
      <w:r w:rsidR="004F02CD" w:rsidRPr="00B35761">
        <w:rPr>
          <w:rFonts w:asciiTheme="majorBidi" w:hAnsiTheme="majorBidi" w:cstheme="majorBidi"/>
          <w:color w:val="000000" w:themeColor="text1"/>
          <w:sz w:val="24"/>
          <w:szCs w:val="24"/>
        </w:rPr>
        <w:t xml:space="preserve"> could possibly </w:t>
      </w:r>
      <w:r w:rsidR="000C26DC" w:rsidRPr="00B35761">
        <w:rPr>
          <w:rFonts w:asciiTheme="majorBidi" w:hAnsiTheme="majorBidi" w:cstheme="majorBidi"/>
          <w:color w:val="000000" w:themeColor="text1"/>
          <w:sz w:val="24"/>
          <w:szCs w:val="24"/>
        </w:rPr>
        <w:t xml:space="preserve">suggest </w:t>
      </w:r>
      <w:r w:rsidR="00F13BDC" w:rsidRPr="00B35761">
        <w:rPr>
          <w:rFonts w:asciiTheme="majorBidi" w:hAnsiTheme="majorBidi" w:cstheme="majorBidi"/>
          <w:color w:val="000000" w:themeColor="text1"/>
          <w:sz w:val="24"/>
          <w:szCs w:val="24"/>
        </w:rPr>
        <w:t xml:space="preserve">a case where executives and institutional shareholders connive to exploit minority shareholders. </w:t>
      </w:r>
      <w:r w:rsidR="001E0DEF" w:rsidRPr="00B35761">
        <w:rPr>
          <w:rFonts w:asciiTheme="majorBidi" w:hAnsiTheme="majorBidi" w:cstheme="majorBidi"/>
          <w:color w:val="000000" w:themeColor="text1"/>
          <w:sz w:val="24"/>
          <w:szCs w:val="24"/>
        </w:rPr>
        <w:t>The implication</w:t>
      </w:r>
      <w:r w:rsidR="000D5C6B">
        <w:rPr>
          <w:rFonts w:asciiTheme="majorBidi" w:hAnsiTheme="majorBidi" w:cstheme="majorBidi"/>
          <w:color w:val="000000" w:themeColor="text1"/>
          <w:sz w:val="24"/>
          <w:szCs w:val="24"/>
        </w:rPr>
        <w:t>s</w:t>
      </w:r>
      <w:r w:rsidR="001E0DEF" w:rsidRPr="00B35761">
        <w:rPr>
          <w:rFonts w:asciiTheme="majorBidi" w:hAnsiTheme="majorBidi" w:cstheme="majorBidi"/>
          <w:color w:val="000000" w:themeColor="text1"/>
          <w:sz w:val="24"/>
          <w:szCs w:val="24"/>
        </w:rPr>
        <w:t xml:space="preserve"> of th</w:t>
      </w:r>
      <w:r w:rsidR="000D5C6B">
        <w:rPr>
          <w:rFonts w:asciiTheme="majorBidi" w:hAnsiTheme="majorBidi" w:cstheme="majorBidi"/>
          <w:color w:val="000000" w:themeColor="text1"/>
          <w:sz w:val="24"/>
          <w:szCs w:val="24"/>
        </w:rPr>
        <w:t>e</w:t>
      </w:r>
      <w:r w:rsidR="001E0DEF" w:rsidRPr="00B35761">
        <w:rPr>
          <w:rFonts w:asciiTheme="majorBidi" w:hAnsiTheme="majorBidi" w:cstheme="majorBidi"/>
          <w:color w:val="000000" w:themeColor="text1"/>
          <w:sz w:val="24"/>
          <w:szCs w:val="24"/>
        </w:rPr>
        <w:t>s</w:t>
      </w:r>
      <w:r w:rsidR="000D5C6B">
        <w:rPr>
          <w:rFonts w:asciiTheme="majorBidi" w:hAnsiTheme="majorBidi" w:cstheme="majorBidi"/>
          <w:color w:val="000000" w:themeColor="text1"/>
          <w:sz w:val="24"/>
          <w:szCs w:val="24"/>
        </w:rPr>
        <w:t>e</w:t>
      </w:r>
      <w:r w:rsidR="001E0DEF" w:rsidRPr="00B35761">
        <w:rPr>
          <w:rFonts w:asciiTheme="majorBidi" w:hAnsiTheme="majorBidi" w:cstheme="majorBidi"/>
          <w:color w:val="000000" w:themeColor="text1"/>
          <w:sz w:val="24"/>
          <w:szCs w:val="24"/>
        </w:rPr>
        <w:t xml:space="preserve"> result</w:t>
      </w:r>
      <w:r w:rsidR="000D5C6B">
        <w:rPr>
          <w:rFonts w:asciiTheme="majorBidi" w:hAnsiTheme="majorBidi" w:cstheme="majorBidi"/>
          <w:color w:val="000000" w:themeColor="text1"/>
          <w:sz w:val="24"/>
          <w:szCs w:val="24"/>
        </w:rPr>
        <w:t>s</w:t>
      </w:r>
      <w:r w:rsidR="001E0DEF" w:rsidRPr="00B35761">
        <w:rPr>
          <w:rFonts w:asciiTheme="majorBidi" w:hAnsiTheme="majorBidi" w:cstheme="majorBidi"/>
          <w:color w:val="000000" w:themeColor="text1"/>
          <w:sz w:val="24"/>
          <w:szCs w:val="24"/>
        </w:rPr>
        <w:t xml:space="preserve"> </w:t>
      </w:r>
      <w:proofErr w:type="gramStart"/>
      <w:r w:rsidR="001E0DEF" w:rsidRPr="00B35761">
        <w:rPr>
          <w:rFonts w:asciiTheme="majorBidi" w:hAnsiTheme="majorBidi" w:cstheme="majorBidi"/>
          <w:color w:val="000000" w:themeColor="text1"/>
          <w:sz w:val="24"/>
          <w:szCs w:val="24"/>
        </w:rPr>
        <w:t>is</w:t>
      </w:r>
      <w:proofErr w:type="gramEnd"/>
      <w:r w:rsidR="001E0DEF" w:rsidRPr="00B35761">
        <w:rPr>
          <w:rFonts w:asciiTheme="majorBidi" w:hAnsiTheme="majorBidi" w:cstheme="majorBidi"/>
          <w:color w:val="000000" w:themeColor="text1"/>
          <w:sz w:val="24"/>
          <w:szCs w:val="24"/>
        </w:rPr>
        <w:t xml:space="preserve"> that the Cadbury Report (1992) recommendation seeks to have a minimal effect on managerial compensation design and the ultimate value. </w:t>
      </w:r>
    </w:p>
    <w:p w14:paraId="11EF26D4" w14:textId="77777777" w:rsidR="00827DED" w:rsidRPr="00B35761" w:rsidRDefault="00827DED" w:rsidP="001E0DEF">
      <w:pPr>
        <w:spacing w:line="360" w:lineRule="auto"/>
        <w:jc w:val="both"/>
        <w:rPr>
          <w:rFonts w:asciiTheme="majorBidi" w:hAnsiTheme="majorBidi" w:cstheme="majorBidi"/>
          <w:color w:val="000000" w:themeColor="text1"/>
          <w:sz w:val="24"/>
          <w:szCs w:val="24"/>
        </w:rPr>
      </w:pPr>
    </w:p>
    <w:p w14:paraId="72BADE5F" w14:textId="77777777" w:rsidR="001E0DEF" w:rsidRPr="00B35761" w:rsidRDefault="001E0DEF" w:rsidP="001E0DEF">
      <w:pPr>
        <w:pStyle w:val="Heading2"/>
        <w:numPr>
          <w:ilvl w:val="0"/>
          <w:numId w:val="0"/>
        </w:numPr>
        <w:spacing w:before="240" w:after="0" w:line="360" w:lineRule="auto"/>
        <w:jc w:val="both"/>
        <w:rPr>
          <w:rFonts w:asciiTheme="majorBidi" w:hAnsiTheme="majorBidi" w:cstheme="majorBidi"/>
          <w:i/>
          <w:color w:val="000000" w:themeColor="text1"/>
          <w:sz w:val="24"/>
          <w:szCs w:val="24"/>
        </w:rPr>
      </w:pPr>
      <w:r w:rsidRPr="00B35761">
        <w:rPr>
          <w:rFonts w:asciiTheme="majorBidi" w:hAnsiTheme="majorBidi" w:cstheme="majorBidi"/>
          <w:i/>
          <w:color w:val="000000" w:themeColor="text1"/>
          <w:sz w:val="24"/>
          <w:szCs w:val="24"/>
        </w:rPr>
        <w:t xml:space="preserve">4.7. Managerial bonus compensation and firm performance – the role of board size  </w:t>
      </w:r>
    </w:p>
    <w:p w14:paraId="56C4CA99" w14:textId="3FFF4509" w:rsidR="00FF741F" w:rsidRDefault="006C512C" w:rsidP="001E0DEF">
      <w:pPr>
        <w:spacing w:line="360" w:lineRule="auto"/>
        <w:jc w:val="both"/>
        <w:rPr>
          <w:rFonts w:asciiTheme="majorBidi" w:hAnsiTheme="majorBidi" w:cstheme="majorBidi"/>
          <w:color w:val="000000" w:themeColor="text1"/>
          <w:sz w:val="24"/>
          <w:szCs w:val="24"/>
        </w:rPr>
      </w:pPr>
      <w:r w:rsidRPr="00B35761">
        <w:rPr>
          <w:rFonts w:asciiTheme="majorBidi" w:eastAsia="Calibri" w:hAnsiTheme="majorBidi" w:cstheme="majorBidi"/>
          <w:sz w:val="24"/>
          <w:szCs w:val="24"/>
        </w:rPr>
        <w:t>Our fourth hypothesis (</w:t>
      </w:r>
      <w:r w:rsidRPr="00B35761">
        <w:rPr>
          <w:rFonts w:asciiTheme="majorBidi" w:eastAsia="Calibri" w:hAnsiTheme="majorBidi" w:cstheme="majorBidi"/>
          <w:i/>
          <w:iCs/>
          <w:sz w:val="24"/>
          <w:szCs w:val="24"/>
        </w:rPr>
        <w:t>H4</w:t>
      </w:r>
      <w:r w:rsidRPr="00B35761">
        <w:rPr>
          <w:rFonts w:asciiTheme="majorBidi" w:eastAsia="Calibri" w:hAnsiTheme="majorBidi" w:cstheme="majorBidi"/>
          <w:sz w:val="24"/>
          <w:szCs w:val="24"/>
        </w:rPr>
        <w:t>) posits that board size affects managerial compensation design and the ultimate firm value</w:t>
      </w:r>
      <w:r w:rsidR="00ED40D7" w:rsidRPr="00B35761">
        <w:rPr>
          <w:rFonts w:asciiTheme="majorBidi" w:eastAsia="Calibri" w:hAnsiTheme="majorBidi" w:cstheme="majorBidi"/>
          <w:sz w:val="24"/>
          <w:szCs w:val="24"/>
        </w:rPr>
        <w:t>. With this,</w:t>
      </w:r>
      <w:r w:rsidR="001E0DEF" w:rsidRPr="00B35761">
        <w:rPr>
          <w:rFonts w:asciiTheme="majorBidi" w:hAnsiTheme="majorBidi" w:cstheme="majorBidi"/>
          <w:color w:val="000000" w:themeColor="text1"/>
          <w:sz w:val="24"/>
          <w:szCs w:val="24"/>
        </w:rPr>
        <w:t xml:space="preserve"> we further </w:t>
      </w:r>
      <w:r w:rsidR="00ED40D7" w:rsidRPr="00B35761">
        <w:rPr>
          <w:rFonts w:asciiTheme="majorBidi" w:hAnsiTheme="majorBidi" w:cstheme="majorBidi"/>
          <w:color w:val="000000" w:themeColor="text1"/>
          <w:sz w:val="24"/>
          <w:szCs w:val="24"/>
        </w:rPr>
        <w:t>test</w:t>
      </w:r>
      <w:r w:rsidR="001E0DEF" w:rsidRPr="00B35761">
        <w:rPr>
          <w:rFonts w:asciiTheme="majorBidi" w:hAnsiTheme="majorBidi" w:cstheme="majorBidi"/>
          <w:color w:val="000000" w:themeColor="text1"/>
          <w:sz w:val="24"/>
          <w:szCs w:val="24"/>
        </w:rPr>
        <w:t xml:space="preserve"> the extent to which board size affects executive bonus compensation–firm value relationship. </w:t>
      </w:r>
    </w:p>
    <w:p w14:paraId="3F083AF8" w14:textId="77777777" w:rsidR="00C85FD2" w:rsidRPr="00B35761" w:rsidRDefault="00C85FD2" w:rsidP="001E0DEF">
      <w:pPr>
        <w:spacing w:line="360" w:lineRule="auto"/>
        <w:jc w:val="both"/>
        <w:rPr>
          <w:rFonts w:asciiTheme="majorBidi" w:hAnsiTheme="majorBidi" w:cstheme="majorBidi"/>
          <w:color w:val="000000" w:themeColor="text1"/>
          <w:sz w:val="24"/>
          <w:szCs w:val="24"/>
        </w:rPr>
      </w:pPr>
    </w:p>
    <w:p w14:paraId="286E73F0" w14:textId="4E50ECDF" w:rsidR="00096728" w:rsidRDefault="001E0DEF" w:rsidP="000D5C6B">
      <w:pPr>
        <w:spacing w:line="360" w:lineRule="auto"/>
        <w:jc w:val="both"/>
        <w:rPr>
          <w:rFonts w:asciiTheme="majorBidi" w:hAnsiTheme="majorBidi" w:cstheme="majorBidi"/>
          <w:color w:val="000000" w:themeColor="text1"/>
          <w:sz w:val="24"/>
          <w:szCs w:val="24"/>
        </w:rPr>
      </w:pPr>
      <w:r w:rsidRPr="00B35761">
        <w:rPr>
          <w:rFonts w:asciiTheme="majorBidi" w:hAnsiTheme="majorBidi" w:cstheme="majorBidi"/>
          <w:color w:val="000000" w:themeColor="text1"/>
          <w:sz w:val="24"/>
          <w:szCs w:val="24"/>
        </w:rPr>
        <w:t xml:space="preserve">We use the number of board of directors as our measure of board size. </w:t>
      </w:r>
      <w:r w:rsidRPr="00B35761">
        <w:rPr>
          <w:rFonts w:asciiTheme="majorBidi" w:hAnsiTheme="majorBidi" w:cstheme="majorBidi"/>
          <w:sz w:val="24"/>
          <w:szCs w:val="24"/>
        </w:rPr>
        <w:t xml:space="preserve">Specifically, board size above the top one-third quantile is marked as large size (BS75), whilst those at the bottom one-third quantile are marked as small size (BS25). We represent these (BS75, BS25) with dummies for large (BS75) equal to one (1) for board size in the top one-third quantile and zero (0) otherwise while those with small size (BS25) is equal to one (1) and zero (0) otherwise. </w:t>
      </w:r>
      <w:r w:rsidRPr="00B35761">
        <w:rPr>
          <w:rFonts w:asciiTheme="majorBidi" w:hAnsiTheme="majorBidi" w:cstheme="majorBidi"/>
          <w:color w:val="000000" w:themeColor="text1"/>
          <w:sz w:val="24"/>
          <w:szCs w:val="24"/>
        </w:rPr>
        <w:t>We interact these dummies (BS75) and (BS25) with the independent variable to get the interaction terms (</w:t>
      </w:r>
      <w:r w:rsidRPr="00B35761">
        <w:rPr>
          <w:rFonts w:asciiTheme="majorBidi" w:hAnsiTheme="majorBidi" w:cstheme="majorBidi"/>
          <w:i/>
          <w:color w:val="000000" w:themeColor="text1"/>
          <w:sz w:val="24"/>
          <w:szCs w:val="24"/>
        </w:rPr>
        <w:t>TVP</w:t>
      </w:r>
      <w:r w:rsidR="00494B59" w:rsidRPr="00B35761">
        <w:rPr>
          <w:rFonts w:asciiTheme="majorBidi" w:hAnsiTheme="majorBidi" w:cstheme="majorBidi"/>
          <w:i/>
          <w:color w:val="000000" w:themeColor="text1"/>
          <w:sz w:val="24"/>
          <w:szCs w:val="24"/>
        </w:rPr>
        <w:t xml:space="preserve"> x </w:t>
      </w:r>
      <w:r w:rsidRPr="00B35761">
        <w:rPr>
          <w:rFonts w:asciiTheme="majorBidi" w:hAnsiTheme="majorBidi" w:cstheme="majorBidi"/>
          <w:i/>
          <w:color w:val="000000" w:themeColor="text1"/>
          <w:sz w:val="24"/>
          <w:szCs w:val="24"/>
        </w:rPr>
        <w:t>BS25, TVP</w:t>
      </w:r>
      <w:r w:rsidR="00494B59" w:rsidRPr="00B35761">
        <w:rPr>
          <w:rFonts w:asciiTheme="majorBidi" w:hAnsiTheme="majorBidi" w:cstheme="majorBidi"/>
          <w:i/>
          <w:color w:val="000000" w:themeColor="text1"/>
          <w:sz w:val="24"/>
          <w:szCs w:val="24"/>
        </w:rPr>
        <w:t xml:space="preserve"> x </w:t>
      </w:r>
      <w:r w:rsidRPr="00B35761">
        <w:rPr>
          <w:rFonts w:asciiTheme="majorBidi" w:hAnsiTheme="majorBidi" w:cstheme="majorBidi"/>
          <w:i/>
          <w:color w:val="000000" w:themeColor="text1"/>
          <w:sz w:val="24"/>
          <w:szCs w:val="24"/>
        </w:rPr>
        <w:t xml:space="preserve">BS75) </w:t>
      </w:r>
      <w:r w:rsidRPr="00B35761">
        <w:rPr>
          <w:rFonts w:asciiTheme="majorBidi" w:hAnsiTheme="majorBidi" w:cstheme="majorBidi"/>
          <w:color w:val="000000" w:themeColor="text1"/>
          <w:sz w:val="24"/>
          <w:szCs w:val="24"/>
        </w:rPr>
        <w:t xml:space="preserve">and each interaction term together with the dummy variable </w:t>
      </w:r>
      <w:r w:rsidR="000D5C6B">
        <w:rPr>
          <w:rFonts w:asciiTheme="majorBidi" w:hAnsiTheme="majorBidi" w:cstheme="majorBidi"/>
          <w:color w:val="000000" w:themeColor="text1"/>
          <w:sz w:val="24"/>
          <w:szCs w:val="24"/>
        </w:rPr>
        <w:t>are</w:t>
      </w:r>
      <w:r w:rsidR="000D5C6B" w:rsidRPr="00B35761">
        <w:rPr>
          <w:rFonts w:asciiTheme="majorBidi" w:hAnsiTheme="majorBidi" w:cstheme="majorBidi"/>
          <w:color w:val="000000" w:themeColor="text1"/>
          <w:sz w:val="24"/>
          <w:szCs w:val="24"/>
        </w:rPr>
        <w:t xml:space="preserve"> </w:t>
      </w:r>
      <w:r w:rsidRPr="00B35761">
        <w:rPr>
          <w:rFonts w:asciiTheme="majorBidi" w:hAnsiTheme="majorBidi" w:cstheme="majorBidi"/>
          <w:color w:val="000000" w:themeColor="text1"/>
          <w:sz w:val="24"/>
          <w:szCs w:val="24"/>
        </w:rPr>
        <w:t>included in the respective models (5 &amp; 6). Table 6 shows th</w:t>
      </w:r>
      <w:r w:rsidR="000D5C6B">
        <w:rPr>
          <w:rFonts w:asciiTheme="majorBidi" w:hAnsiTheme="majorBidi" w:cstheme="majorBidi"/>
          <w:color w:val="000000" w:themeColor="text1"/>
          <w:sz w:val="24"/>
          <w:szCs w:val="24"/>
        </w:rPr>
        <w:t xml:space="preserve">at </w:t>
      </w:r>
      <w:r w:rsidRPr="00B35761">
        <w:rPr>
          <w:rFonts w:asciiTheme="majorBidi" w:hAnsiTheme="majorBidi" w:cstheme="majorBidi"/>
          <w:color w:val="000000" w:themeColor="text1"/>
          <w:sz w:val="24"/>
          <w:szCs w:val="24"/>
        </w:rPr>
        <w:t xml:space="preserve">the coefficient on </w:t>
      </w:r>
      <w:r w:rsidRPr="00B35761">
        <w:rPr>
          <w:rFonts w:asciiTheme="majorBidi" w:hAnsiTheme="majorBidi" w:cstheme="majorBidi"/>
          <w:i/>
          <w:iCs/>
          <w:color w:val="000000" w:themeColor="text1"/>
          <w:sz w:val="24"/>
          <w:szCs w:val="24"/>
        </w:rPr>
        <w:t>TVP</w:t>
      </w:r>
      <w:r w:rsidR="00494B59" w:rsidRPr="00B35761">
        <w:rPr>
          <w:rFonts w:asciiTheme="majorBidi" w:hAnsiTheme="majorBidi" w:cstheme="majorBidi"/>
          <w:i/>
          <w:iCs/>
          <w:color w:val="000000" w:themeColor="text1"/>
          <w:sz w:val="24"/>
          <w:szCs w:val="24"/>
        </w:rPr>
        <w:t xml:space="preserve"> x </w:t>
      </w:r>
      <w:r w:rsidRPr="00B35761">
        <w:rPr>
          <w:rFonts w:asciiTheme="majorBidi" w:hAnsiTheme="majorBidi" w:cstheme="majorBidi"/>
          <w:i/>
          <w:iCs/>
          <w:color w:val="000000" w:themeColor="text1"/>
          <w:sz w:val="24"/>
          <w:szCs w:val="24"/>
        </w:rPr>
        <w:t xml:space="preserve">BS25 </w:t>
      </w:r>
      <w:r w:rsidRPr="00B35761">
        <w:rPr>
          <w:rFonts w:asciiTheme="majorBidi" w:hAnsiTheme="majorBidi" w:cstheme="majorBidi"/>
          <w:color w:val="000000" w:themeColor="text1"/>
          <w:sz w:val="24"/>
          <w:szCs w:val="24"/>
        </w:rPr>
        <w:t xml:space="preserve">is negative and significant, implying that in firms with small board size, executives with bonus compensation does not increase firm value. Further, the coefficient on </w:t>
      </w:r>
      <w:r w:rsidRPr="00B35761">
        <w:rPr>
          <w:rFonts w:asciiTheme="majorBidi" w:hAnsiTheme="majorBidi" w:cstheme="majorBidi"/>
          <w:i/>
          <w:color w:val="000000" w:themeColor="text1"/>
          <w:sz w:val="24"/>
          <w:szCs w:val="24"/>
        </w:rPr>
        <w:t>TVP</w:t>
      </w:r>
      <w:r w:rsidR="00494B59" w:rsidRPr="00B35761">
        <w:rPr>
          <w:rFonts w:asciiTheme="majorBidi" w:hAnsiTheme="majorBidi" w:cstheme="majorBidi"/>
          <w:i/>
          <w:iCs/>
          <w:color w:val="000000" w:themeColor="text1"/>
          <w:sz w:val="24"/>
          <w:szCs w:val="24"/>
        </w:rPr>
        <w:t xml:space="preserve"> x </w:t>
      </w:r>
      <w:r w:rsidRPr="00B35761">
        <w:rPr>
          <w:rFonts w:asciiTheme="majorBidi" w:hAnsiTheme="majorBidi" w:cstheme="majorBidi"/>
          <w:i/>
          <w:iCs/>
          <w:color w:val="000000" w:themeColor="text1"/>
          <w:sz w:val="24"/>
          <w:szCs w:val="24"/>
        </w:rPr>
        <w:t xml:space="preserve">BS75 </w:t>
      </w:r>
      <w:r w:rsidRPr="00B35761">
        <w:rPr>
          <w:rFonts w:asciiTheme="majorBidi" w:hAnsiTheme="majorBidi" w:cstheme="majorBidi"/>
          <w:color w:val="000000" w:themeColor="text1"/>
          <w:sz w:val="24"/>
          <w:szCs w:val="24"/>
        </w:rPr>
        <w:t xml:space="preserve">is positive and statistically significant in Model 6. This suggests that bonus-incentivised executives in firms with larger boards are more likely to increase firm value. Thus, compared to small boards, large boards </w:t>
      </w:r>
      <w:proofErr w:type="gramStart"/>
      <w:r w:rsidRPr="00B35761">
        <w:rPr>
          <w:rFonts w:asciiTheme="majorBidi" w:hAnsiTheme="majorBidi" w:cstheme="majorBidi"/>
          <w:color w:val="000000" w:themeColor="text1"/>
          <w:sz w:val="24"/>
          <w:szCs w:val="24"/>
        </w:rPr>
        <w:t>are able to</w:t>
      </w:r>
      <w:proofErr w:type="gramEnd"/>
      <w:r w:rsidRPr="00B35761">
        <w:rPr>
          <w:rFonts w:asciiTheme="majorBidi" w:hAnsiTheme="majorBidi" w:cstheme="majorBidi"/>
          <w:color w:val="000000" w:themeColor="text1"/>
          <w:sz w:val="24"/>
          <w:szCs w:val="24"/>
        </w:rPr>
        <w:t xml:space="preserve"> design appropriate bonus compensation to induce executives to increase value.</w:t>
      </w:r>
      <w:r w:rsidR="00550137" w:rsidRPr="00B35761">
        <w:rPr>
          <w:rFonts w:asciiTheme="majorBidi" w:hAnsiTheme="majorBidi" w:cstheme="majorBidi"/>
          <w:color w:val="000000" w:themeColor="text1"/>
          <w:sz w:val="24"/>
          <w:szCs w:val="24"/>
        </w:rPr>
        <w:t xml:space="preserve"> </w:t>
      </w:r>
      <w:r w:rsidRPr="00B35761">
        <w:rPr>
          <w:rFonts w:asciiTheme="majorBidi" w:hAnsiTheme="majorBidi" w:cstheme="majorBidi"/>
          <w:color w:val="000000" w:themeColor="text1"/>
          <w:sz w:val="24"/>
          <w:szCs w:val="24"/>
        </w:rPr>
        <w:t xml:space="preserve"> </w:t>
      </w:r>
    </w:p>
    <w:p w14:paraId="119C07D2" w14:textId="77777777" w:rsidR="006C4901" w:rsidRPr="00B35761" w:rsidRDefault="006C4901" w:rsidP="000D5C6B">
      <w:pPr>
        <w:spacing w:line="360" w:lineRule="auto"/>
        <w:jc w:val="both"/>
        <w:rPr>
          <w:rFonts w:asciiTheme="majorBidi" w:hAnsiTheme="majorBidi" w:cstheme="majorBidi"/>
          <w:color w:val="000000" w:themeColor="text1"/>
          <w:sz w:val="24"/>
          <w:szCs w:val="24"/>
        </w:rPr>
      </w:pPr>
    </w:p>
    <w:p w14:paraId="29882FC4" w14:textId="77777777" w:rsidR="001E0DEF" w:rsidRPr="00B35761" w:rsidRDefault="001E0DEF" w:rsidP="001E0DEF">
      <w:pPr>
        <w:pStyle w:val="Heading2"/>
        <w:numPr>
          <w:ilvl w:val="0"/>
          <w:numId w:val="0"/>
        </w:numPr>
        <w:spacing w:before="240" w:after="0" w:line="360" w:lineRule="auto"/>
        <w:jc w:val="both"/>
        <w:rPr>
          <w:rFonts w:asciiTheme="majorBidi" w:hAnsiTheme="majorBidi" w:cstheme="majorBidi"/>
          <w:i/>
          <w:color w:val="000000" w:themeColor="text1"/>
          <w:sz w:val="24"/>
          <w:szCs w:val="24"/>
        </w:rPr>
      </w:pPr>
      <w:r w:rsidRPr="00B35761">
        <w:rPr>
          <w:rFonts w:asciiTheme="majorBidi" w:hAnsiTheme="majorBidi" w:cstheme="majorBidi"/>
          <w:i/>
          <w:color w:val="000000" w:themeColor="text1"/>
          <w:sz w:val="24"/>
          <w:szCs w:val="24"/>
        </w:rPr>
        <w:t xml:space="preserve">4.8. Managerial bonus compensation and firm performance – the role of non-executive board  </w:t>
      </w:r>
    </w:p>
    <w:p w14:paraId="488C1B3E" w14:textId="0271C14F" w:rsidR="00FF741F" w:rsidRDefault="00C57A06" w:rsidP="000D5C6B">
      <w:pPr>
        <w:spacing w:line="360" w:lineRule="auto"/>
        <w:jc w:val="both"/>
        <w:rPr>
          <w:rFonts w:asciiTheme="majorBidi" w:eastAsia="Calibri" w:hAnsiTheme="majorBidi" w:cstheme="majorBidi"/>
          <w:sz w:val="24"/>
          <w:szCs w:val="24"/>
        </w:rPr>
      </w:pPr>
      <w:r w:rsidRPr="00B35761">
        <w:rPr>
          <w:rFonts w:asciiTheme="majorBidi" w:eastAsia="Calibri" w:hAnsiTheme="majorBidi" w:cstheme="majorBidi"/>
          <w:sz w:val="24"/>
          <w:szCs w:val="24"/>
        </w:rPr>
        <w:t>Our fifth hypothesis (H5) s</w:t>
      </w:r>
      <w:r w:rsidR="00096728" w:rsidRPr="00B35761">
        <w:rPr>
          <w:rFonts w:asciiTheme="majorBidi" w:eastAsia="Calibri" w:hAnsiTheme="majorBidi" w:cstheme="majorBidi"/>
          <w:sz w:val="24"/>
          <w:szCs w:val="24"/>
        </w:rPr>
        <w:t>uggests</w:t>
      </w:r>
      <w:r w:rsidRPr="00B35761">
        <w:rPr>
          <w:rFonts w:asciiTheme="majorBidi" w:eastAsia="Calibri" w:hAnsiTheme="majorBidi" w:cstheme="majorBidi"/>
          <w:sz w:val="24"/>
          <w:szCs w:val="24"/>
        </w:rPr>
        <w:t xml:space="preserve"> that n</w:t>
      </w:r>
      <w:r w:rsidR="001E0DEF" w:rsidRPr="00B35761">
        <w:rPr>
          <w:rFonts w:asciiTheme="majorBidi" w:eastAsia="Calibri" w:hAnsiTheme="majorBidi" w:cstheme="majorBidi"/>
          <w:sz w:val="24"/>
          <w:szCs w:val="24"/>
        </w:rPr>
        <w:t xml:space="preserve">on-executive directors play a crucial role </w:t>
      </w:r>
      <w:r w:rsidR="00096728" w:rsidRPr="00B35761">
        <w:rPr>
          <w:rFonts w:asciiTheme="majorBidi" w:eastAsia="Calibri" w:hAnsiTheme="majorBidi" w:cstheme="majorBidi"/>
          <w:sz w:val="24"/>
          <w:szCs w:val="24"/>
        </w:rPr>
        <w:t xml:space="preserve">in </w:t>
      </w:r>
      <w:r w:rsidR="001E0DEF" w:rsidRPr="00B35761">
        <w:rPr>
          <w:rFonts w:asciiTheme="majorBidi" w:eastAsia="Calibri" w:hAnsiTheme="majorBidi" w:cstheme="majorBidi"/>
          <w:sz w:val="24"/>
          <w:szCs w:val="24"/>
        </w:rPr>
        <w:t xml:space="preserve">influencing executives’ pay and the ultimate </w:t>
      </w:r>
      <w:r w:rsidRPr="00B35761">
        <w:rPr>
          <w:rFonts w:asciiTheme="majorBidi" w:eastAsia="Calibri" w:hAnsiTheme="majorBidi" w:cstheme="majorBidi"/>
          <w:sz w:val="24"/>
          <w:szCs w:val="24"/>
        </w:rPr>
        <w:t xml:space="preserve">firm </w:t>
      </w:r>
      <w:r w:rsidR="001E0DEF" w:rsidRPr="00B35761">
        <w:rPr>
          <w:rFonts w:asciiTheme="majorBidi" w:eastAsia="Calibri" w:hAnsiTheme="majorBidi" w:cstheme="majorBidi"/>
          <w:sz w:val="24"/>
          <w:szCs w:val="24"/>
        </w:rPr>
        <w:t xml:space="preserve">value (Mehran, 1995). </w:t>
      </w:r>
      <w:r w:rsidR="009256FF" w:rsidRPr="00B35761">
        <w:rPr>
          <w:rFonts w:asciiTheme="majorBidi" w:eastAsia="Calibri" w:hAnsiTheme="majorBidi" w:cstheme="majorBidi"/>
          <w:sz w:val="24"/>
          <w:szCs w:val="24"/>
        </w:rPr>
        <w:t xml:space="preserve">As mandated by the Hampel Report (1998), UK non-executive directors are expected </w:t>
      </w:r>
      <w:r w:rsidR="00D52961" w:rsidRPr="00B35761">
        <w:rPr>
          <w:rFonts w:asciiTheme="majorBidi" w:eastAsia="Calibri" w:hAnsiTheme="majorBidi" w:cstheme="majorBidi"/>
          <w:sz w:val="24"/>
          <w:szCs w:val="24"/>
        </w:rPr>
        <w:t xml:space="preserve">to </w:t>
      </w:r>
      <w:r w:rsidR="000D5C6B">
        <w:rPr>
          <w:rFonts w:asciiTheme="majorBidi" w:eastAsia="Calibri" w:hAnsiTheme="majorBidi" w:cstheme="majorBidi"/>
          <w:sz w:val="24"/>
          <w:szCs w:val="24"/>
        </w:rPr>
        <w:t xml:space="preserve">protect </w:t>
      </w:r>
      <w:r w:rsidR="000D5C6B" w:rsidRPr="00B35761">
        <w:rPr>
          <w:rFonts w:asciiTheme="majorBidi" w:eastAsia="Calibri" w:hAnsiTheme="majorBidi" w:cstheme="majorBidi"/>
          <w:sz w:val="24"/>
          <w:szCs w:val="24"/>
        </w:rPr>
        <w:t>shareholders’</w:t>
      </w:r>
      <w:r w:rsidR="00D52961" w:rsidRPr="00B35761">
        <w:rPr>
          <w:rFonts w:asciiTheme="majorBidi" w:eastAsia="Calibri" w:hAnsiTheme="majorBidi" w:cstheme="majorBidi"/>
          <w:sz w:val="24"/>
          <w:szCs w:val="24"/>
        </w:rPr>
        <w:t xml:space="preserve"> interests </w:t>
      </w:r>
      <w:r w:rsidR="000D5C6B">
        <w:rPr>
          <w:rFonts w:asciiTheme="majorBidi" w:eastAsia="Calibri" w:hAnsiTheme="majorBidi" w:cstheme="majorBidi"/>
          <w:sz w:val="24"/>
          <w:szCs w:val="24"/>
        </w:rPr>
        <w:t xml:space="preserve">including </w:t>
      </w:r>
      <w:r w:rsidR="0047701B">
        <w:rPr>
          <w:rFonts w:asciiTheme="majorBidi" w:eastAsia="Calibri" w:hAnsiTheme="majorBidi" w:cstheme="majorBidi"/>
          <w:sz w:val="24"/>
          <w:szCs w:val="24"/>
        </w:rPr>
        <w:t xml:space="preserve">by </w:t>
      </w:r>
      <w:r w:rsidR="0047701B" w:rsidRPr="00B35761">
        <w:rPr>
          <w:rFonts w:asciiTheme="majorBidi" w:eastAsia="Calibri" w:hAnsiTheme="majorBidi" w:cstheme="majorBidi"/>
          <w:sz w:val="24"/>
          <w:szCs w:val="24"/>
        </w:rPr>
        <w:t>monitoring</w:t>
      </w:r>
      <w:r w:rsidR="00096728" w:rsidRPr="00B35761">
        <w:rPr>
          <w:rFonts w:asciiTheme="majorBidi" w:eastAsia="Calibri" w:hAnsiTheme="majorBidi" w:cstheme="majorBidi"/>
          <w:sz w:val="24"/>
          <w:szCs w:val="24"/>
        </w:rPr>
        <w:t xml:space="preserve"> </w:t>
      </w:r>
      <w:r w:rsidR="000D5C6B">
        <w:rPr>
          <w:rFonts w:asciiTheme="majorBidi" w:eastAsia="Calibri" w:hAnsiTheme="majorBidi" w:cstheme="majorBidi"/>
          <w:sz w:val="24"/>
          <w:szCs w:val="24"/>
        </w:rPr>
        <w:t xml:space="preserve">executive </w:t>
      </w:r>
      <w:r w:rsidR="00930A9B">
        <w:rPr>
          <w:rFonts w:asciiTheme="majorBidi" w:eastAsia="Calibri" w:hAnsiTheme="majorBidi" w:cstheme="majorBidi"/>
          <w:sz w:val="24"/>
          <w:szCs w:val="24"/>
        </w:rPr>
        <w:t xml:space="preserve">compensation </w:t>
      </w:r>
      <w:r w:rsidR="00930A9B" w:rsidRPr="00B35761">
        <w:rPr>
          <w:rFonts w:asciiTheme="majorBidi" w:eastAsia="Calibri" w:hAnsiTheme="majorBidi" w:cstheme="majorBidi"/>
          <w:sz w:val="24"/>
          <w:szCs w:val="24"/>
        </w:rPr>
        <w:t>decisions</w:t>
      </w:r>
      <w:r w:rsidR="00D52961" w:rsidRPr="00B35761">
        <w:rPr>
          <w:rFonts w:asciiTheme="majorBidi" w:eastAsia="Calibri" w:hAnsiTheme="majorBidi" w:cstheme="majorBidi"/>
          <w:sz w:val="24"/>
          <w:szCs w:val="24"/>
        </w:rPr>
        <w:t>. W</w:t>
      </w:r>
      <w:r w:rsidR="001E0DEF" w:rsidRPr="00B35761">
        <w:rPr>
          <w:rFonts w:asciiTheme="majorBidi" w:eastAsia="Calibri" w:hAnsiTheme="majorBidi" w:cstheme="majorBidi"/>
          <w:sz w:val="24"/>
          <w:szCs w:val="24"/>
        </w:rPr>
        <w:t xml:space="preserve">e </w:t>
      </w:r>
      <w:r w:rsidR="00D52961" w:rsidRPr="00B35761">
        <w:rPr>
          <w:rFonts w:asciiTheme="majorBidi" w:eastAsia="Calibri" w:hAnsiTheme="majorBidi" w:cstheme="majorBidi"/>
          <w:sz w:val="24"/>
          <w:szCs w:val="24"/>
        </w:rPr>
        <w:t>test the extent to which</w:t>
      </w:r>
      <w:r w:rsidR="001E0DEF" w:rsidRPr="00B35761">
        <w:rPr>
          <w:rFonts w:asciiTheme="majorBidi" w:eastAsia="Calibri" w:hAnsiTheme="majorBidi" w:cstheme="majorBidi"/>
          <w:sz w:val="24"/>
          <w:szCs w:val="24"/>
        </w:rPr>
        <w:t xml:space="preserve"> non-executive </w:t>
      </w:r>
      <w:r w:rsidR="00D52961" w:rsidRPr="00B35761">
        <w:rPr>
          <w:rFonts w:asciiTheme="majorBidi" w:eastAsia="Calibri" w:hAnsiTheme="majorBidi" w:cstheme="majorBidi"/>
          <w:sz w:val="24"/>
          <w:szCs w:val="24"/>
        </w:rPr>
        <w:t>directors’</w:t>
      </w:r>
      <w:r w:rsidR="001E0DEF" w:rsidRPr="00B35761">
        <w:rPr>
          <w:rFonts w:asciiTheme="majorBidi" w:eastAsia="Calibri" w:hAnsiTheme="majorBidi" w:cstheme="majorBidi"/>
          <w:sz w:val="24"/>
          <w:szCs w:val="24"/>
        </w:rPr>
        <w:t xml:space="preserve"> </w:t>
      </w:r>
      <w:r w:rsidR="00D52961" w:rsidRPr="00B35761">
        <w:rPr>
          <w:rFonts w:asciiTheme="majorBidi" w:eastAsia="Calibri" w:hAnsiTheme="majorBidi" w:cstheme="majorBidi"/>
          <w:sz w:val="24"/>
          <w:szCs w:val="24"/>
        </w:rPr>
        <w:t>presence</w:t>
      </w:r>
      <w:r w:rsidR="001E0DEF" w:rsidRPr="00B35761">
        <w:rPr>
          <w:rFonts w:asciiTheme="majorBidi" w:eastAsia="Calibri" w:hAnsiTheme="majorBidi" w:cstheme="majorBidi"/>
          <w:sz w:val="24"/>
          <w:szCs w:val="24"/>
        </w:rPr>
        <w:t xml:space="preserve"> </w:t>
      </w:r>
      <w:r w:rsidR="00D52961" w:rsidRPr="00B35761">
        <w:rPr>
          <w:rFonts w:asciiTheme="majorBidi" w:eastAsia="Calibri" w:hAnsiTheme="majorBidi" w:cstheme="majorBidi"/>
          <w:sz w:val="24"/>
          <w:szCs w:val="24"/>
        </w:rPr>
        <w:t xml:space="preserve">may </w:t>
      </w:r>
      <w:r w:rsidR="001E0DEF" w:rsidRPr="00B35761">
        <w:rPr>
          <w:rFonts w:asciiTheme="majorBidi" w:eastAsia="Calibri" w:hAnsiTheme="majorBidi" w:cstheme="majorBidi"/>
          <w:sz w:val="24"/>
          <w:szCs w:val="24"/>
        </w:rPr>
        <w:t xml:space="preserve">influence </w:t>
      </w:r>
      <w:r w:rsidR="00D52961" w:rsidRPr="00B35761">
        <w:rPr>
          <w:rFonts w:asciiTheme="majorBidi" w:eastAsia="Calibri" w:hAnsiTheme="majorBidi" w:cstheme="majorBidi"/>
          <w:sz w:val="24"/>
          <w:szCs w:val="24"/>
        </w:rPr>
        <w:t xml:space="preserve">compensation – performance relation. </w:t>
      </w:r>
    </w:p>
    <w:p w14:paraId="6111B470" w14:textId="77777777" w:rsidR="00C85FD2" w:rsidRPr="00B35761" w:rsidRDefault="00C85FD2" w:rsidP="000D5C6B">
      <w:pPr>
        <w:spacing w:line="360" w:lineRule="auto"/>
        <w:jc w:val="both"/>
        <w:rPr>
          <w:rFonts w:asciiTheme="majorBidi" w:eastAsia="Calibri" w:hAnsiTheme="majorBidi" w:cstheme="majorBidi"/>
          <w:sz w:val="24"/>
          <w:szCs w:val="24"/>
        </w:rPr>
      </w:pPr>
    </w:p>
    <w:p w14:paraId="73E51457" w14:textId="7D284041" w:rsidR="00E54E2E" w:rsidRPr="00B35761" w:rsidRDefault="00D52961" w:rsidP="001E0DEF">
      <w:pPr>
        <w:spacing w:line="360" w:lineRule="auto"/>
        <w:jc w:val="both"/>
        <w:rPr>
          <w:rFonts w:asciiTheme="majorBidi" w:hAnsiTheme="majorBidi" w:cstheme="majorBidi"/>
          <w:color w:val="000000" w:themeColor="text1"/>
          <w:sz w:val="24"/>
          <w:szCs w:val="24"/>
        </w:rPr>
      </w:pPr>
      <w:r w:rsidRPr="00B35761">
        <w:rPr>
          <w:rFonts w:asciiTheme="majorBidi" w:eastAsia="Calibri" w:hAnsiTheme="majorBidi" w:cstheme="majorBidi"/>
          <w:sz w:val="24"/>
          <w:szCs w:val="24"/>
        </w:rPr>
        <w:t>In achieving this</w:t>
      </w:r>
      <w:r w:rsidR="001E0DEF" w:rsidRPr="00B35761">
        <w:rPr>
          <w:rFonts w:asciiTheme="majorBidi" w:eastAsia="Calibri" w:hAnsiTheme="majorBidi" w:cstheme="majorBidi"/>
          <w:sz w:val="24"/>
          <w:szCs w:val="24"/>
        </w:rPr>
        <w:t xml:space="preserve">, </w:t>
      </w:r>
      <w:r w:rsidR="001E0DEF" w:rsidRPr="00B35761">
        <w:rPr>
          <w:rFonts w:asciiTheme="majorBidi" w:hAnsiTheme="majorBidi" w:cstheme="majorBidi"/>
          <w:color w:val="000000" w:themeColor="text1"/>
          <w:sz w:val="24"/>
          <w:szCs w:val="24"/>
        </w:rPr>
        <w:t xml:space="preserve">we use the number of </w:t>
      </w:r>
      <w:r w:rsidR="00930A9B">
        <w:rPr>
          <w:rFonts w:asciiTheme="majorBidi" w:hAnsiTheme="majorBidi" w:cstheme="majorBidi"/>
          <w:color w:val="000000" w:themeColor="text1"/>
          <w:sz w:val="24"/>
          <w:szCs w:val="24"/>
        </w:rPr>
        <w:t xml:space="preserve">independent board </w:t>
      </w:r>
      <w:r w:rsidR="001E0DEF" w:rsidRPr="00B35761">
        <w:rPr>
          <w:rFonts w:asciiTheme="majorBidi" w:hAnsiTheme="majorBidi" w:cstheme="majorBidi"/>
          <w:color w:val="000000" w:themeColor="text1"/>
          <w:sz w:val="24"/>
          <w:szCs w:val="24"/>
        </w:rPr>
        <w:t xml:space="preserve">members </w:t>
      </w:r>
      <w:r w:rsidR="00211D2E">
        <w:rPr>
          <w:rFonts w:asciiTheme="majorBidi" w:hAnsiTheme="majorBidi" w:cstheme="majorBidi"/>
          <w:color w:val="000000" w:themeColor="text1"/>
          <w:sz w:val="24"/>
          <w:szCs w:val="24"/>
        </w:rPr>
        <w:t xml:space="preserve">who are non-executive </w:t>
      </w:r>
      <w:r w:rsidR="001E0DEF" w:rsidRPr="00B35761">
        <w:rPr>
          <w:rFonts w:asciiTheme="majorBidi" w:hAnsiTheme="majorBidi" w:cstheme="majorBidi"/>
          <w:color w:val="000000" w:themeColor="text1"/>
          <w:sz w:val="24"/>
          <w:szCs w:val="24"/>
        </w:rPr>
        <w:t>as our measure</w:t>
      </w:r>
      <w:r w:rsidR="00930A9B">
        <w:rPr>
          <w:rFonts w:asciiTheme="majorBidi" w:hAnsiTheme="majorBidi" w:cstheme="majorBidi"/>
          <w:color w:val="000000" w:themeColor="text1"/>
          <w:sz w:val="24"/>
          <w:szCs w:val="24"/>
        </w:rPr>
        <w:t>.</w:t>
      </w:r>
      <w:r w:rsidR="001E0DEF" w:rsidRPr="00B35761">
        <w:rPr>
          <w:rFonts w:asciiTheme="majorBidi" w:hAnsiTheme="majorBidi" w:cstheme="majorBidi"/>
          <w:color w:val="000000" w:themeColor="text1"/>
          <w:sz w:val="24"/>
          <w:szCs w:val="24"/>
        </w:rPr>
        <w:t xml:space="preserve"> </w:t>
      </w:r>
      <w:r w:rsidR="001E0DEF" w:rsidRPr="00B35761">
        <w:rPr>
          <w:rFonts w:asciiTheme="majorBidi" w:hAnsiTheme="majorBidi" w:cstheme="majorBidi"/>
          <w:sz w:val="24"/>
          <w:szCs w:val="24"/>
        </w:rPr>
        <w:t xml:space="preserve">Specifically, </w:t>
      </w:r>
      <w:r w:rsidR="00312AC8">
        <w:rPr>
          <w:rFonts w:asciiTheme="majorBidi" w:hAnsiTheme="majorBidi" w:cstheme="majorBidi"/>
          <w:sz w:val="24"/>
          <w:szCs w:val="24"/>
        </w:rPr>
        <w:t xml:space="preserve">the number of </w:t>
      </w:r>
      <w:r w:rsidR="00930A9B">
        <w:rPr>
          <w:rFonts w:asciiTheme="majorBidi" w:hAnsiTheme="majorBidi" w:cstheme="majorBidi"/>
          <w:color w:val="000000" w:themeColor="text1"/>
          <w:sz w:val="24"/>
          <w:szCs w:val="24"/>
        </w:rPr>
        <w:t xml:space="preserve">independent </w:t>
      </w:r>
      <w:r w:rsidR="00312AC8">
        <w:rPr>
          <w:rFonts w:asciiTheme="majorBidi" w:hAnsiTheme="majorBidi" w:cstheme="majorBidi"/>
          <w:sz w:val="24"/>
          <w:szCs w:val="24"/>
        </w:rPr>
        <w:t>board members</w:t>
      </w:r>
      <w:r w:rsidR="001E0DEF" w:rsidRPr="00B35761">
        <w:rPr>
          <w:rFonts w:asciiTheme="majorBidi" w:hAnsiTheme="majorBidi" w:cstheme="majorBidi"/>
          <w:sz w:val="24"/>
          <w:szCs w:val="24"/>
        </w:rPr>
        <w:t xml:space="preserve"> above the top one-t</w:t>
      </w:r>
      <w:r w:rsidR="00312AC8">
        <w:rPr>
          <w:rFonts w:asciiTheme="majorBidi" w:hAnsiTheme="majorBidi" w:cstheme="majorBidi"/>
          <w:sz w:val="24"/>
          <w:szCs w:val="24"/>
        </w:rPr>
        <w:t>hird quantile is marked as independent board</w:t>
      </w:r>
      <w:r w:rsidR="001E0DEF" w:rsidRPr="00B35761">
        <w:rPr>
          <w:rFonts w:asciiTheme="majorBidi" w:hAnsiTheme="majorBidi" w:cstheme="majorBidi"/>
          <w:sz w:val="24"/>
          <w:szCs w:val="24"/>
        </w:rPr>
        <w:t xml:space="preserve"> (NE75), whilst those at the bottom one-third q</w:t>
      </w:r>
      <w:r w:rsidR="00312AC8">
        <w:rPr>
          <w:rFonts w:asciiTheme="majorBidi" w:hAnsiTheme="majorBidi" w:cstheme="majorBidi"/>
          <w:sz w:val="24"/>
          <w:szCs w:val="24"/>
        </w:rPr>
        <w:t>uantile are marked as less independent board</w:t>
      </w:r>
      <w:r w:rsidR="001E0DEF" w:rsidRPr="00B35761">
        <w:rPr>
          <w:rFonts w:asciiTheme="majorBidi" w:hAnsiTheme="majorBidi" w:cstheme="majorBidi"/>
          <w:sz w:val="24"/>
          <w:szCs w:val="24"/>
        </w:rPr>
        <w:t xml:space="preserve"> (NE2</w:t>
      </w:r>
      <w:r w:rsidR="00312AC8">
        <w:rPr>
          <w:rFonts w:asciiTheme="majorBidi" w:hAnsiTheme="majorBidi" w:cstheme="majorBidi"/>
          <w:sz w:val="24"/>
          <w:szCs w:val="24"/>
        </w:rPr>
        <w:t>5)</w:t>
      </w:r>
      <w:r w:rsidR="001E0DEF" w:rsidRPr="00B35761">
        <w:rPr>
          <w:rFonts w:asciiTheme="majorBidi" w:hAnsiTheme="majorBidi" w:cstheme="majorBidi"/>
          <w:sz w:val="24"/>
          <w:szCs w:val="24"/>
        </w:rPr>
        <w:t>. We</w:t>
      </w:r>
      <w:r w:rsidR="00312AC8">
        <w:rPr>
          <w:rFonts w:asciiTheme="majorBidi" w:hAnsiTheme="majorBidi" w:cstheme="majorBidi"/>
          <w:sz w:val="24"/>
          <w:szCs w:val="24"/>
        </w:rPr>
        <w:t xml:space="preserve"> represent the dummies for independent board</w:t>
      </w:r>
      <w:r w:rsidR="001E0DEF" w:rsidRPr="00B35761">
        <w:rPr>
          <w:rFonts w:asciiTheme="majorBidi" w:hAnsiTheme="majorBidi" w:cstheme="majorBidi"/>
          <w:sz w:val="24"/>
          <w:szCs w:val="24"/>
        </w:rPr>
        <w:t xml:space="preserve"> (NE75) equal to one (1) for</w:t>
      </w:r>
      <w:r w:rsidR="00312AC8">
        <w:rPr>
          <w:rFonts w:asciiTheme="majorBidi" w:hAnsiTheme="majorBidi" w:cstheme="majorBidi"/>
          <w:sz w:val="24"/>
          <w:szCs w:val="24"/>
        </w:rPr>
        <w:t xml:space="preserve"> independent</w:t>
      </w:r>
      <w:r w:rsidR="001E0DEF" w:rsidRPr="00B35761">
        <w:rPr>
          <w:rFonts w:asciiTheme="majorBidi" w:hAnsiTheme="majorBidi" w:cstheme="majorBidi"/>
          <w:sz w:val="24"/>
          <w:szCs w:val="24"/>
        </w:rPr>
        <w:t xml:space="preserve"> b</w:t>
      </w:r>
      <w:r w:rsidR="00312AC8">
        <w:rPr>
          <w:rFonts w:asciiTheme="majorBidi" w:hAnsiTheme="majorBidi" w:cstheme="majorBidi"/>
          <w:sz w:val="24"/>
          <w:szCs w:val="24"/>
        </w:rPr>
        <w:t>oard members</w:t>
      </w:r>
      <w:r w:rsidR="00312AC8">
        <w:rPr>
          <w:rStyle w:val="CommentReference"/>
        </w:rPr>
        <w:t xml:space="preserve"> </w:t>
      </w:r>
      <w:r w:rsidR="00312AC8">
        <w:rPr>
          <w:rFonts w:asciiTheme="majorBidi" w:hAnsiTheme="majorBidi" w:cstheme="majorBidi"/>
          <w:sz w:val="24"/>
          <w:szCs w:val="24"/>
        </w:rPr>
        <w:t>in</w:t>
      </w:r>
      <w:r w:rsidR="001E0DEF" w:rsidRPr="00B35761">
        <w:rPr>
          <w:rFonts w:asciiTheme="majorBidi" w:hAnsiTheme="majorBidi" w:cstheme="majorBidi"/>
          <w:sz w:val="24"/>
          <w:szCs w:val="24"/>
        </w:rPr>
        <w:t xml:space="preserve"> the top one-third quantile and zero (0) other</w:t>
      </w:r>
      <w:r w:rsidR="00312AC8">
        <w:rPr>
          <w:rFonts w:asciiTheme="majorBidi" w:hAnsiTheme="majorBidi" w:cstheme="majorBidi"/>
          <w:sz w:val="24"/>
          <w:szCs w:val="24"/>
        </w:rPr>
        <w:t>wise while those with less independent board</w:t>
      </w:r>
      <w:r w:rsidR="001E0DEF" w:rsidRPr="00B35761">
        <w:rPr>
          <w:rFonts w:asciiTheme="majorBidi" w:hAnsiTheme="majorBidi" w:cstheme="majorBidi"/>
          <w:sz w:val="24"/>
          <w:szCs w:val="24"/>
        </w:rPr>
        <w:t xml:space="preserve"> (NE25) is equal to one (1) and zero (0) otherwise. </w:t>
      </w:r>
      <w:r w:rsidR="001E0DEF" w:rsidRPr="00B35761">
        <w:rPr>
          <w:rFonts w:asciiTheme="majorBidi" w:hAnsiTheme="majorBidi" w:cstheme="majorBidi"/>
          <w:color w:val="000000" w:themeColor="text1"/>
          <w:sz w:val="24"/>
          <w:szCs w:val="24"/>
        </w:rPr>
        <w:t>We interact these dummies (NE75) and (NE25) with the independent variable to get the interaction terms (</w:t>
      </w:r>
      <w:r w:rsidR="001E0DEF" w:rsidRPr="00B35761">
        <w:rPr>
          <w:rFonts w:asciiTheme="majorBidi" w:hAnsiTheme="majorBidi" w:cstheme="majorBidi"/>
          <w:i/>
          <w:color w:val="000000" w:themeColor="text1"/>
          <w:sz w:val="24"/>
          <w:szCs w:val="24"/>
        </w:rPr>
        <w:t>TVP</w:t>
      </w:r>
      <w:r w:rsidR="000F5F51" w:rsidRPr="00B35761">
        <w:rPr>
          <w:rFonts w:asciiTheme="majorBidi" w:hAnsiTheme="majorBidi" w:cstheme="majorBidi"/>
          <w:i/>
          <w:color w:val="000000" w:themeColor="text1"/>
          <w:sz w:val="24"/>
          <w:szCs w:val="24"/>
        </w:rPr>
        <w:t xml:space="preserve"> x </w:t>
      </w:r>
      <w:r w:rsidR="001E0DEF" w:rsidRPr="00B35761">
        <w:rPr>
          <w:rFonts w:asciiTheme="majorBidi" w:hAnsiTheme="majorBidi" w:cstheme="majorBidi"/>
          <w:i/>
          <w:color w:val="000000" w:themeColor="text1"/>
          <w:sz w:val="24"/>
          <w:szCs w:val="24"/>
        </w:rPr>
        <w:t>NE25, TVP</w:t>
      </w:r>
      <w:r w:rsidR="000F5F51" w:rsidRPr="00B35761">
        <w:rPr>
          <w:rFonts w:asciiTheme="majorBidi" w:hAnsiTheme="majorBidi" w:cstheme="majorBidi"/>
          <w:i/>
          <w:color w:val="000000" w:themeColor="text1"/>
          <w:sz w:val="24"/>
          <w:szCs w:val="24"/>
        </w:rPr>
        <w:t xml:space="preserve"> x </w:t>
      </w:r>
      <w:r w:rsidR="001E0DEF" w:rsidRPr="00B35761">
        <w:rPr>
          <w:rFonts w:asciiTheme="majorBidi" w:hAnsiTheme="majorBidi" w:cstheme="majorBidi"/>
          <w:i/>
          <w:color w:val="000000" w:themeColor="text1"/>
          <w:sz w:val="24"/>
          <w:szCs w:val="24"/>
        </w:rPr>
        <w:t xml:space="preserve">NE75) </w:t>
      </w:r>
      <w:r w:rsidR="001E0DEF" w:rsidRPr="00B35761">
        <w:rPr>
          <w:rFonts w:asciiTheme="majorBidi" w:hAnsiTheme="majorBidi" w:cstheme="majorBidi"/>
          <w:color w:val="000000" w:themeColor="text1"/>
          <w:sz w:val="24"/>
          <w:szCs w:val="24"/>
        </w:rPr>
        <w:t xml:space="preserve">and each interaction term together with the dummy variable is included in the respective models (7 &amp; 8). Thus, Table 6 reports the results, and it shows the coefficient on </w:t>
      </w:r>
      <w:r w:rsidR="001E0DEF" w:rsidRPr="00B35761">
        <w:rPr>
          <w:rFonts w:asciiTheme="majorBidi" w:hAnsiTheme="majorBidi" w:cstheme="majorBidi"/>
          <w:i/>
          <w:iCs/>
          <w:color w:val="000000" w:themeColor="text1"/>
          <w:sz w:val="24"/>
          <w:szCs w:val="24"/>
        </w:rPr>
        <w:t>TVP</w:t>
      </w:r>
      <w:r w:rsidR="000F5F51" w:rsidRPr="00B35761">
        <w:rPr>
          <w:rFonts w:asciiTheme="majorBidi" w:hAnsiTheme="majorBidi" w:cstheme="majorBidi"/>
          <w:i/>
          <w:iCs/>
          <w:color w:val="000000" w:themeColor="text1"/>
          <w:sz w:val="24"/>
          <w:szCs w:val="24"/>
        </w:rPr>
        <w:t xml:space="preserve"> x </w:t>
      </w:r>
      <w:r w:rsidR="001E0DEF" w:rsidRPr="00B35761">
        <w:rPr>
          <w:rFonts w:asciiTheme="majorBidi" w:hAnsiTheme="majorBidi" w:cstheme="majorBidi"/>
          <w:i/>
          <w:iCs/>
          <w:color w:val="000000" w:themeColor="text1"/>
          <w:sz w:val="24"/>
          <w:szCs w:val="24"/>
        </w:rPr>
        <w:t xml:space="preserve">NE25 </w:t>
      </w:r>
      <w:r w:rsidR="001E0DEF" w:rsidRPr="00B35761">
        <w:rPr>
          <w:rFonts w:asciiTheme="majorBidi" w:hAnsiTheme="majorBidi" w:cstheme="majorBidi"/>
          <w:color w:val="000000" w:themeColor="text1"/>
          <w:sz w:val="24"/>
          <w:szCs w:val="24"/>
        </w:rPr>
        <w:t>is negative and significant, suggesting that in firm</w:t>
      </w:r>
      <w:r w:rsidR="00312AC8">
        <w:rPr>
          <w:rFonts w:asciiTheme="majorBidi" w:hAnsiTheme="majorBidi" w:cstheme="majorBidi"/>
          <w:color w:val="000000" w:themeColor="text1"/>
          <w:sz w:val="24"/>
          <w:szCs w:val="24"/>
        </w:rPr>
        <w:t>s with less independent board</w:t>
      </w:r>
      <w:r w:rsidR="001E0DEF" w:rsidRPr="00B35761">
        <w:rPr>
          <w:rFonts w:asciiTheme="majorBidi" w:hAnsiTheme="majorBidi" w:cstheme="majorBidi"/>
          <w:color w:val="000000" w:themeColor="text1"/>
          <w:sz w:val="24"/>
          <w:szCs w:val="24"/>
        </w:rPr>
        <w:t xml:space="preserve">, executives with bonus compensation decrease firm value. However, the coefficient estimates on </w:t>
      </w:r>
      <w:r w:rsidR="001E0DEF" w:rsidRPr="00B35761">
        <w:rPr>
          <w:rFonts w:asciiTheme="majorBidi" w:hAnsiTheme="majorBidi" w:cstheme="majorBidi"/>
          <w:i/>
          <w:iCs/>
          <w:color w:val="000000" w:themeColor="text1"/>
          <w:sz w:val="24"/>
          <w:szCs w:val="24"/>
        </w:rPr>
        <w:t>TVP</w:t>
      </w:r>
      <w:r w:rsidR="000F5F51" w:rsidRPr="00B35761">
        <w:rPr>
          <w:rFonts w:asciiTheme="majorBidi" w:hAnsiTheme="majorBidi" w:cstheme="majorBidi"/>
          <w:i/>
          <w:iCs/>
          <w:color w:val="000000" w:themeColor="text1"/>
          <w:sz w:val="24"/>
          <w:szCs w:val="24"/>
        </w:rPr>
        <w:t xml:space="preserve"> x </w:t>
      </w:r>
      <w:r w:rsidR="001E0DEF" w:rsidRPr="00B35761">
        <w:rPr>
          <w:rFonts w:asciiTheme="majorBidi" w:hAnsiTheme="majorBidi" w:cstheme="majorBidi"/>
          <w:i/>
          <w:iCs/>
          <w:color w:val="000000" w:themeColor="text1"/>
          <w:sz w:val="24"/>
          <w:szCs w:val="24"/>
        </w:rPr>
        <w:t xml:space="preserve">NE75 </w:t>
      </w:r>
      <w:r w:rsidR="001E0DEF" w:rsidRPr="00B35761">
        <w:rPr>
          <w:rFonts w:asciiTheme="majorBidi" w:hAnsiTheme="majorBidi" w:cstheme="majorBidi"/>
          <w:color w:val="000000" w:themeColor="text1"/>
          <w:sz w:val="24"/>
          <w:szCs w:val="24"/>
        </w:rPr>
        <w:t>is positive but insignificant. Overall, this evidence partly supports the view that managers may pursue own policies p</w:t>
      </w:r>
      <w:r w:rsidR="00312AC8">
        <w:rPr>
          <w:rFonts w:asciiTheme="majorBidi" w:hAnsiTheme="majorBidi" w:cstheme="majorBidi"/>
          <w:color w:val="000000" w:themeColor="text1"/>
          <w:sz w:val="24"/>
          <w:szCs w:val="24"/>
        </w:rPr>
        <w:t>articularly in firms with less independent board</w:t>
      </w:r>
      <w:r w:rsidR="001E0DEF" w:rsidRPr="00B35761">
        <w:rPr>
          <w:rFonts w:asciiTheme="majorBidi" w:hAnsiTheme="majorBidi" w:cstheme="majorBidi"/>
          <w:color w:val="000000" w:themeColor="text1"/>
          <w:sz w:val="24"/>
          <w:szCs w:val="24"/>
        </w:rPr>
        <w:t>. This is because, in such firms’ managers may find</w:t>
      </w:r>
      <w:r w:rsidR="00312AC8">
        <w:rPr>
          <w:rFonts w:asciiTheme="majorBidi" w:hAnsiTheme="majorBidi" w:cstheme="majorBidi"/>
          <w:color w:val="000000" w:themeColor="text1"/>
          <w:sz w:val="24"/>
          <w:szCs w:val="24"/>
        </w:rPr>
        <w:t xml:space="preserve"> it easy to influence fewer </w:t>
      </w:r>
      <w:r w:rsidR="000A019C">
        <w:rPr>
          <w:rFonts w:asciiTheme="majorBidi" w:hAnsiTheme="majorBidi" w:cstheme="majorBidi"/>
          <w:color w:val="000000" w:themeColor="text1"/>
          <w:sz w:val="24"/>
          <w:szCs w:val="24"/>
        </w:rPr>
        <w:t>independent</w:t>
      </w:r>
      <w:r w:rsidR="001E0DEF" w:rsidRPr="00B35761">
        <w:rPr>
          <w:rFonts w:asciiTheme="majorBidi" w:hAnsiTheme="majorBidi" w:cstheme="majorBidi"/>
          <w:color w:val="000000" w:themeColor="text1"/>
          <w:sz w:val="24"/>
          <w:szCs w:val="24"/>
        </w:rPr>
        <w:t xml:space="preserve"> </w:t>
      </w:r>
      <w:r w:rsidR="000A019C">
        <w:rPr>
          <w:rFonts w:asciiTheme="majorBidi" w:hAnsiTheme="majorBidi" w:cstheme="majorBidi"/>
          <w:color w:val="000000" w:themeColor="text1"/>
          <w:sz w:val="24"/>
          <w:szCs w:val="24"/>
        </w:rPr>
        <w:t xml:space="preserve">board </w:t>
      </w:r>
      <w:r w:rsidR="001E0DEF" w:rsidRPr="00B35761">
        <w:rPr>
          <w:rFonts w:asciiTheme="majorBidi" w:hAnsiTheme="majorBidi" w:cstheme="majorBidi"/>
          <w:color w:val="000000" w:themeColor="text1"/>
          <w:sz w:val="24"/>
          <w:szCs w:val="24"/>
        </w:rPr>
        <w:t xml:space="preserve">numbers appointed to the board. </w:t>
      </w:r>
    </w:p>
    <w:p w14:paraId="5A2DA03D" w14:textId="2FB9EE15" w:rsidR="00E54E2E" w:rsidRPr="00B35761" w:rsidRDefault="00E54E2E" w:rsidP="001E0DEF">
      <w:pPr>
        <w:spacing w:line="360" w:lineRule="auto"/>
        <w:jc w:val="both"/>
        <w:rPr>
          <w:rFonts w:asciiTheme="majorBidi" w:hAnsiTheme="majorBidi" w:cstheme="majorBidi"/>
          <w:color w:val="000000" w:themeColor="text1"/>
          <w:sz w:val="24"/>
          <w:szCs w:val="24"/>
        </w:rPr>
      </w:pPr>
    </w:p>
    <w:p w14:paraId="79DACD40" w14:textId="1946D1D8" w:rsidR="00E54E2E" w:rsidRPr="00B35761" w:rsidRDefault="00E54E2E" w:rsidP="00D5505E">
      <w:pPr>
        <w:pStyle w:val="Heading1"/>
        <w:numPr>
          <w:ilvl w:val="0"/>
          <w:numId w:val="0"/>
        </w:numPr>
        <w:spacing w:before="240" w:after="0" w:line="360" w:lineRule="auto"/>
        <w:jc w:val="center"/>
        <w:rPr>
          <w:rFonts w:ascii="Times New Roman" w:hAnsi="Times New Roman" w:cs="Times New Roman"/>
          <w:color w:val="000000" w:themeColor="text1"/>
          <w:sz w:val="24"/>
          <w:szCs w:val="24"/>
        </w:rPr>
      </w:pPr>
      <w:r w:rsidRPr="00B35761">
        <w:rPr>
          <w:rFonts w:ascii="Times New Roman" w:hAnsi="Times New Roman" w:cs="Times New Roman"/>
          <w:color w:val="000000" w:themeColor="text1"/>
          <w:sz w:val="24"/>
          <w:szCs w:val="24"/>
        </w:rPr>
        <w:t xml:space="preserve">5. </w:t>
      </w:r>
      <w:r w:rsidR="00D5505E">
        <w:rPr>
          <w:rFonts w:ascii="Times New Roman" w:hAnsi="Times New Roman" w:cs="Times New Roman"/>
          <w:color w:val="000000" w:themeColor="text1"/>
          <w:sz w:val="24"/>
          <w:szCs w:val="24"/>
        </w:rPr>
        <w:t>CONCLUSION AND IMPLICATIONS</w:t>
      </w:r>
    </w:p>
    <w:p w14:paraId="5A010D9B" w14:textId="1F5AB24E" w:rsidR="00E54E2E" w:rsidRDefault="00E07D59" w:rsidP="00E54E2E">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E54E2E" w:rsidRPr="00B35761">
        <w:rPr>
          <w:rFonts w:ascii="Times New Roman" w:hAnsi="Times New Roman" w:cs="Times New Roman"/>
          <w:color w:val="000000" w:themeColor="text1"/>
          <w:sz w:val="24"/>
          <w:szCs w:val="24"/>
        </w:rPr>
        <w:t>his paper examine</w:t>
      </w:r>
      <w:r>
        <w:rPr>
          <w:rFonts w:ascii="Times New Roman" w:hAnsi="Times New Roman" w:cs="Times New Roman"/>
          <w:color w:val="000000" w:themeColor="text1"/>
          <w:sz w:val="24"/>
          <w:szCs w:val="24"/>
        </w:rPr>
        <w:t>s</w:t>
      </w:r>
      <w:r w:rsidR="00E54E2E" w:rsidRPr="00B35761">
        <w:rPr>
          <w:rFonts w:ascii="Times New Roman" w:hAnsi="Times New Roman" w:cs="Times New Roman"/>
          <w:color w:val="000000" w:themeColor="text1"/>
          <w:sz w:val="24"/>
          <w:szCs w:val="24"/>
        </w:rPr>
        <w:t xml:space="preserve"> how managerial (executives) bonus compensation affects firm performance and the extent to which this relationship is conditional on managerial ownership, institutional ownership, board size and non-executive ownership. We find that executives’ bonus compensation has a positive effect on firm value</w:t>
      </w:r>
      <w:r w:rsidR="00550137" w:rsidRPr="00B35761">
        <w:rPr>
          <w:rFonts w:ascii="Times New Roman" w:hAnsi="Times New Roman" w:cs="Times New Roman"/>
          <w:color w:val="000000" w:themeColor="text1"/>
          <w:sz w:val="24"/>
          <w:szCs w:val="24"/>
        </w:rPr>
        <w:t xml:space="preserve">, consistent with optimal compensation theory </w:t>
      </w:r>
      <w:r w:rsidR="00E24F7E" w:rsidRPr="00B35761">
        <w:rPr>
          <w:rFonts w:ascii="Times New Roman" w:hAnsi="Times New Roman" w:cs="Times New Roman"/>
          <w:color w:val="000000" w:themeColor="text1"/>
          <w:sz w:val="24"/>
          <w:szCs w:val="24"/>
        </w:rPr>
        <w:t>(</w:t>
      </w:r>
      <w:proofErr w:type="spellStart"/>
      <w:r w:rsidR="00E24F7E" w:rsidRPr="00B35761">
        <w:rPr>
          <w:rFonts w:ascii="Times New Roman" w:hAnsi="Times New Roman" w:cs="Times New Roman"/>
          <w:sz w:val="24"/>
          <w:szCs w:val="24"/>
        </w:rPr>
        <w:t>Conyon</w:t>
      </w:r>
      <w:proofErr w:type="spellEnd"/>
      <w:r w:rsidR="00E24F7E" w:rsidRPr="00B35761">
        <w:rPr>
          <w:rFonts w:ascii="Times New Roman" w:hAnsi="Times New Roman" w:cs="Times New Roman"/>
          <w:sz w:val="24"/>
          <w:szCs w:val="24"/>
        </w:rPr>
        <w:t xml:space="preserve"> </w:t>
      </w:r>
      <w:r w:rsidR="00E24F7E" w:rsidRPr="00B35761">
        <w:rPr>
          <w:rFonts w:ascii="Times New Roman" w:hAnsi="Times New Roman" w:cs="Times New Roman"/>
          <w:i/>
          <w:sz w:val="24"/>
          <w:szCs w:val="24"/>
        </w:rPr>
        <w:t>et al</w:t>
      </w:r>
      <w:r w:rsidR="00E24F7E" w:rsidRPr="00B35761">
        <w:rPr>
          <w:rFonts w:ascii="Times New Roman" w:hAnsi="Times New Roman" w:cs="Times New Roman"/>
          <w:sz w:val="24"/>
          <w:szCs w:val="24"/>
        </w:rPr>
        <w:t>., 2000; Jensen &amp; Murphy, 1990</w:t>
      </w:r>
      <w:r w:rsidR="00E24F7E" w:rsidRPr="00B35761">
        <w:rPr>
          <w:rFonts w:ascii="Times New Roman" w:hAnsi="Times New Roman" w:cs="Times New Roman"/>
          <w:color w:val="000000" w:themeColor="text1"/>
          <w:sz w:val="24"/>
          <w:szCs w:val="24"/>
        </w:rPr>
        <w:t>).</w:t>
      </w:r>
      <w:r w:rsidR="00E54E2E" w:rsidRPr="00B35761">
        <w:rPr>
          <w:rFonts w:ascii="Times New Roman" w:hAnsi="Times New Roman" w:cs="Times New Roman"/>
          <w:color w:val="000000" w:themeColor="text1"/>
          <w:sz w:val="24"/>
          <w:szCs w:val="24"/>
        </w:rPr>
        <w:t xml:space="preserve"> This finding is robust to all our adopted econometric specifications, including three-stage least squares (3SLS), which accounts for the simultaneous determination of executive compensation and the firm</w:t>
      </w:r>
      <w:r w:rsidR="00E24F7E" w:rsidRPr="00B35761">
        <w:rPr>
          <w:rFonts w:ascii="Times New Roman" w:hAnsi="Times New Roman" w:cs="Times New Roman"/>
          <w:color w:val="000000" w:themeColor="text1"/>
          <w:sz w:val="24"/>
          <w:szCs w:val="24"/>
        </w:rPr>
        <w:t xml:space="preserve"> </w:t>
      </w:r>
      <w:r w:rsidR="00E54E2E" w:rsidRPr="00B35761">
        <w:rPr>
          <w:rFonts w:ascii="Times New Roman" w:hAnsi="Times New Roman" w:cs="Times New Roman"/>
          <w:color w:val="000000" w:themeColor="text1"/>
          <w:sz w:val="24"/>
          <w:szCs w:val="24"/>
        </w:rPr>
        <w:t>value. Theoretically, this result offers support for the incentive alignment argument under the optimal compensation theory (</w:t>
      </w:r>
      <w:proofErr w:type="spellStart"/>
      <w:r w:rsidR="00E54E2E" w:rsidRPr="00B35761">
        <w:rPr>
          <w:rFonts w:ascii="Times New Roman" w:hAnsi="Times New Roman" w:cs="Times New Roman"/>
          <w:sz w:val="24"/>
          <w:szCs w:val="24"/>
        </w:rPr>
        <w:t>Conyon</w:t>
      </w:r>
      <w:proofErr w:type="spellEnd"/>
      <w:r w:rsidR="00E54E2E" w:rsidRPr="00B35761">
        <w:rPr>
          <w:rFonts w:ascii="Times New Roman" w:hAnsi="Times New Roman" w:cs="Times New Roman"/>
          <w:sz w:val="24"/>
          <w:szCs w:val="24"/>
        </w:rPr>
        <w:t xml:space="preserve"> </w:t>
      </w:r>
      <w:r w:rsidR="00E54E2E" w:rsidRPr="00B35761">
        <w:rPr>
          <w:rFonts w:ascii="Times New Roman" w:hAnsi="Times New Roman" w:cs="Times New Roman"/>
          <w:i/>
          <w:sz w:val="24"/>
          <w:szCs w:val="24"/>
        </w:rPr>
        <w:t>et al</w:t>
      </w:r>
      <w:r w:rsidR="00E54E2E" w:rsidRPr="00B35761">
        <w:rPr>
          <w:rFonts w:ascii="Times New Roman" w:hAnsi="Times New Roman" w:cs="Times New Roman"/>
          <w:sz w:val="24"/>
          <w:szCs w:val="24"/>
        </w:rPr>
        <w:t>., 2000;</w:t>
      </w:r>
      <w:r w:rsidR="00493549" w:rsidRPr="00B35761">
        <w:rPr>
          <w:rFonts w:ascii="Times New Roman" w:hAnsi="Times New Roman" w:cs="Times New Roman"/>
          <w:color w:val="000000" w:themeColor="text1"/>
          <w:sz w:val="24"/>
          <w:szCs w:val="24"/>
        </w:rPr>
        <w:t xml:space="preserve"> </w:t>
      </w:r>
      <w:r w:rsidR="00085A0F" w:rsidRPr="00B35761">
        <w:rPr>
          <w:rFonts w:ascii="Times New Roman" w:hAnsi="Times New Roman" w:cs="Times New Roman"/>
          <w:color w:val="000000" w:themeColor="text1"/>
          <w:sz w:val="24"/>
          <w:szCs w:val="24"/>
        </w:rPr>
        <w:t xml:space="preserve">Chahine and </w:t>
      </w:r>
      <w:proofErr w:type="spellStart"/>
      <w:r w:rsidR="00085A0F" w:rsidRPr="00B35761">
        <w:rPr>
          <w:rFonts w:ascii="Times New Roman" w:hAnsi="Times New Roman" w:cs="Times New Roman"/>
          <w:color w:val="000000" w:themeColor="text1"/>
          <w:sz w:val="24"/>
          <w:szCs w:val="24"/>
        </w:rPr>
        <w:t>Goergen</w:t>
      </w:r>
      <w:proofErr w:type="spellEnd"/>
      <w:r w:rsidR="00085A0F" w:rsidRPr="00B35761">
        <w:rPr>
          <w:rFonts w:ascii="Times New Roman" w:hAnsi="Times New Roman" w:cs="Times New Roman"/>
          <w:color w:val="000000" w:themeColor="text1"/>
          <w:sz w:val="24"/>
          <w:szCs w:val="24"/>
        </w:rPr>
        <w:t xml:space="preserve">, 2014; </w:t>
      </w:r>
      <w:proofErr w:type="spellStart"/>
      <w:r w:rsidR="00493549" w:rsidRPr="00B35761">
        <w:rPr>
          <w:rFonts w:ascii="Times New Roman" w:hAnsi="Times New Roman" w:cs="Times New Roman"/>
          <w:color w:val="000000" w:themeColor="text1"/>
          <w:sz w:val="24"/>
          <w:szCs w:val="24"/>
        </w:rPr>
        <w:t>Ntim</w:t>
      </w:r>
      <w:proofErr w:type="spellEnd"/>
      <w:r w:rsidR="00493549" w:rsidRPr="00B35761">
        <w:rPr>
          <w:rFonts w:ascii="Times New Roman" w:hAnsi="Times New Roman" w:cs="Times New Roman"/>
          <w:color w:val="000000" w:themeColor="text1"/>
          <w:sz w:val="24"/>
          <w:szCs w:val="24"/>
        </w:rPr>
        <w:t xml:space="preserve"> et al., 2019</w:t>
      </w:r>
      <w:r w:rsidR="00E54E2E" w:rsidRPr="00B35761">
        <w:rPr>
          <w:rFonts w:ascii="Times New Roman" w:hAnsi="Times New Roman" w:cs="Times New Roman"/>
          <w:color w:val="000000" w:themeColor="text1"/>
          <w:sz w:val="24"/>
          <w:szCs w:val="24"/>
        </w:rPr>
        <w:t xml:space="preserve">). Our study further shows that managerial ownership, board size and non-executive ownership matter in the bonus compensation–firm value relationship (Haque and </w:t>
      </w:r>
      <w:proofErr w:type="spellStart"/>
      <w:r w:rsidR="00E54E2E" w:rsidRPr="00B35761">
        <w:rPr>
          <w:rFonts w:ascii="Times New Roman" w:hAnsi="Times New Roman" w:cs="Times New Roman"/>
          <w:color w:val="000000" w:themeColor="text1"/>
          <w:sz w:val="24"/>
          <w:szCs w:val="24"/>
        </w:rPr>
        <w:t>Ntim</w:t>
      </w:r>
      <w:proofErr w:type="spellEnd"/>
      <w:r w:rsidR="00E54E2E" w:rsidRPr="00B35761">
        <w:rPr>
          <w:rFonts w:ascii="Times New Roman" w:hAnsi="Times New Roman" w:cs="Times New Roman"/>
          <w:color w:val="000000" w:themeColor="text1"/>
          <w:sz w:val="24"/>
          <w:szCs w:val="24"/>
        </w:rPr>
        <w:t xml:space="preserve">, 2020; </w:t>
      </w:r>
      <w:proofErr w:type="spellStart"/>
      <w:r w:rsidR="00E24F7E" w:rsidRPr="00B35761">
        <w:rPr>
          <w:rFonts w:ascii="Times New Roman" w:hAnsi="Times New Roman" w:cs="Times New Roman"/>
          <w:color w:val="000000" w:themeColor="text1"/>
          <w:sz w:val="24"/>
          <w:szCs w:val="24"/>
        </w:rPr>
        <w:t>Ntim</w:t>
      </w:r>
      <w:proofErr w:type="spellEnd"/>
      <w:r w:rsidR="00E24F7E" w:rsidRPr="00B35761">
        <w:rPr>
          <w:rFonts w:ascii="Times New Roman" w:hAnsi="Times New Roman" w:cs="Times New Roman"/>
          <w:color w:val="000000" w:themeColor="text1"/>
          <w:sz w:val="24"/>
          <w:szCs w:val="24"/>
        </w:rPr>
        <w:t xml:space="preserve"> et al., 2019</w:t>
      </w:r>
      <w:r w:rsidR="00E54E2E" w:rsidRPr="00B35761">
        <w:rPr>
          <w:rFonts w:ascii="Times New Roman" w:hAnsi="Times New Roman" w:cs="Times New Roman"/>
          <w:color w:val="000000" w:themeColor="text1"/>
          <w:sz w:val="24"/>
          <w:szCs w:val="24"/>
        </w:rPr>
        <w:t xml:space="preserve">). That is, we observe a negative link between bonus compensation – corporate value for those firms with </w:t>
      </w:r>
      <w:r w:rsidR="00FE74FF" w:rsidRPr="00B35761">
        <w:rPr>
          <w:rFonts w:ascii="Times New Roman" w:hAnsi="Times New Roman" w:cs="Times New Roman"/>
          <w:color w:val="000000" w:themeColor="text1"/>
          <w:sz w:val="24"/>
          <w:szCs w:val="24"/>
        </w:rPr>
        <w:t>large</w:t>
      </w:r>
      <w:r w:rsidR="00E54E2E" w:rsidRPr="00B35761">
        <w:rPr>
          <w:rFonts w:ascii="Times New Roman" w:hAnsi="Times New Roman" w:cs="Times New Roman"/>
          <w:color w:val="000000" w:themeColor="text1"/>
          <w:sz w:val="24"/>
          <w:szCs w:val="24"/>
        </w:rPr>
        <w:t xml:space="preserve"> managerial ownership. We also show that the bonus compensation – firm value linkage is negative for small board size but positive for </w:t>
      </w:r>
      <w:r>
        <w:rPr>
          <w:rFonts w:ascii="Times New Roman" w:hAnsi="Times New Roman" w:cs="Times New Roman"/>
          <w:color w:val="000000" w:themeColor="text1"/>
          <w:sz w:val="24"/>
          <w:szCs w:val="24"/>
        </w:rPr>
        <w:t xml:space="preserve">firms with </w:t>
      </w:r>
      <w:r w:rsidR="00E54E2E" w:rsidRPr="00B35761">
        <w:rPr>
          <w:rFonts w:ascii="Times New Roman" w:hAnsi="Times New Roman" w:cs="Times New Roman"/>
          <w:color w:val="000000" w:themeColor="text1"/>
          <w:sz w:val="24"/>
          <w:szCs w:val="24"/>
        </w:rPr>
        <w:t>large board</w:t>
      </w:r>
      <w:r>
        <w:rPr>
          <w:rFonts w:ascii="Times New Roman" w:hAnsi="Times New Roman" w:cs="Times New Roman"/>
          <w:color w:val="000000" w:themeColor="text1"/>
          <w:sz w:val="24"/>
          <w:szCs w:val="24"/>
        </w:rPr>
        <w:t>s</w:t>
      </w:r>
      <w:r w:rsidR="00E54E2E" w:rsidRPr="00B35761">
        <w:rPr>
          <w:rFonts w:ascii="Times New Roman" w:hAnsi="Times New Roman" w:cs="Times New Roman"/>
          <w:color w:val="000000" w:themeColor="text1"/>
          <w:sz w:val="24"/>
          <w:szCs w:val="24"/>
        </w:rPr>
        <w:t xml:space="preserve">. Further, while we find no strong evidence for the moderating role of institutional ownership in the bonus compensation – firm value linkage, we observe a negative impact for those firms with </w:t>
      </w:r>
      <w:r w:rsidR="00E51F5B" w:rsidRPr="00B35761">
        <w:rPr>
          <w:rFonts w:ascii="Times New Roman" w:hAnsi="Times New Roman" w:cs="Times New Roman"/>
          <w:color w:val="000000" w:themeColor="text1"/>
          <w:sz w:val="24"/>
          <w:szCs w:val="24"/>
        </w:rPr>
        <w:t>small</w:t>
      </w:r>
      <w:r w:rsidR="00E54E2E" w:rsidRPr="00B35761">
        <w:rPr>
          <w:rFonts w:ascii="Times New Roman" w:hAnsi="Times New Roman" w:cs="Times New Roman"/>
          <w:color w:val="000000" w:themeColor="text1"/>
          <w:sz w:val="24"/>
          <w:szCs w:val="24"/>
        </w:rPr>
        <w:t xml:space="preserve"> non-executive ownership. From both theoretical and empirical perspectives, the results show that </w:t>
      </w:r>
      <w:r>
        <w:rPr>
          <w:rFonts w:ascii="Times New Roman" w:hAnsi="Times New Roman" w:cs="Times New Roman"/>
          <w:color w:val="000000" w:themeColor="text1"/>
          <w:sz w:val="24"/>
          <w:szCs w:val="24"/>
        </w:rPr>
        <w:t>‘</w:t>
      </w:r>
      <w:r w:rsidR="00E54E2E" w:rsidRPr="00B35761">
        <w:rPr>
          <w:rFonts w:ascii="Times New Roman" w:hAnsi="Times New Roman" w:cs="Times New Roman"/>
          <w:color w:val="000000" w:themeColor="text1"/>
          <w:sz w:val="24"/>
          <w:szCs w:val="24"/>
        </w:rPr>
        <w:t>bonus executives</w:t>
      </w:r>
      <w:r>
        <w:rPr>
          <w:rFonts w:ascii="Times New Roman" w:hAnsi="Times New Roman" w:cs="Times New Roman"/>
          <w:color w:val="000000" w:themeColor="text1"/>
          <w:sz w:val="24"/>
          <w:szCs w:val="24"/>
        </w:rPr>
        <w:t>’</w:t>
      </w:r>
      <w:r w:rsidR="00E54E2E" w:rsidRPr="00B35761">
        <w:rPr>
          <w:rFonts w:ascii="Times New Roman" w:hAnsi="Times New Roman" w:cs="Times New Roman"/>
          <w:color w:val="000000" w:themeColor="text1"/>
          <w:sz w:val="24"/>
          <w:szCs w:val="24"/>
        </w:rPr>
        <w:t xml:space="preserve"> become more risk averse particularly when they hold large ownership stake causing them to take less risky investment and financing decisions which</w:t>
      </w:r>
      <w:r w:rsidR="00E24F7E" w:rsidRPr="00B35761">
        <w:rPr>
          <w:rFonts w:ascii="Times New Roman" w:hAnsi="Times New Roman" w:cs="Times New Roman"/>
          <w:color w:val="000000" w:themeColor="text1"/>
          <w:sz w:val="24"/>
          <w:szCs w:val="24"/>
        </w:rPr>
        <w:t xml:space="preserve"> could</w:t>
      </w:r>
      <w:r w:rsidR="00E54E2E" w:rsidRPr="00B35761">
        <w:rPr>
          <w:rFonts w:ascii="Times New Roman" w:hAnsi="Times New Roman" w:cs="Times New Roman"/>
          <w:color w:val="000000" w:themeColor="text1"/>
          <w:sz w:val="24"/>
          <w:szCs w:val="24"/>
        </w:rPr>
        <w:t xml:space="preserve"> ultimately lead to lower </w:t>
      </w:r>
      <w:r>
        <w:rPr>
          <w:rFonts w:ascii="Times New Roman" w:hAnsi="Times New Roman" w:cs="Times New Roman"/>
          <w:color w:val="000000" w:themeColor="text1"/>
          <w:sz w:val="24"/>
          <w:szCs w:val="24"/>
        </w:rPr>
        <w:t xml:space="preserve">firm </w:t>
      </w:r>
      <w:r w:rsidR="00A22E22" w:rsidRPr="00B35761">
        <w:rPr>
          <w:rFonts w:ascii="Times New Roman" w:hAnsi="Times New Roman" w:cs="Times New Roman"/>
          <w:color w:val="000000" w:themeColor="text1"/>
          <w:sz w:val="24"/>
          <w:szCs w:val="24"/>
        </w:rPr>
        <w:t>value.</w:t>
      </w:r>
      <w:r w:rsidR="00E54E2E" w:rsidRPr="00B35761">
        <w:rPr>
          <w:rFonts w:ascii="Times New Roman" w:hAnsi="Times New Roman" w:cs="Times New Roman"/>
          <w:color w:val="000000" w:themeColor="text1"/>
          <w:sz w:val="24"/>
          <w:szCs w:val="24"/>
        </w:rPr>
        <w:t xml:space="preserve"> Thus, our finding shows that board of directors (on behalf of shareholders) should be conscious of managerial ownership stake when designing executive compensation. Also, the board size is important in the bonus compensation – firm value relation. This finding is particularly crucial for firms with smaller board to increase the size of the board. </w:t>
      </w:r>
    </w:p>
    <w:p w14:paraId="75772124" w14:textId="77777777" w:rsidR="006C4901" w:rsidRPr="00B35761" w:rsidRDefault="006C4901" w:rsidP="00E54E2E">
      <w:pPr>
        <w:spacing w:before="120" w:after="120" w:line="360" w:lineRule="auto"/>
        <w:jc w:val="both"/>
        <w:rPr>
          <w:rFonts w:ascii="Times New Roman" w:hAnsi="Times New Roman" w:cs="Times New Roman"/>
          <w:color w:val="000000" w:themeColor="text1"/>
          <w:sz w:val="24"/>
          <w:szCs w:val="24"/>
        </w:rPr>
      </w:pPr>
    </w:p>
    <w:p w14:paraId="01E651E1" w14:textId="5BEC3878" w:rsidR="00392B53" w:rsidRDefault="00E54E2E" w:rsidP="006C4901">
      <w:pPr>
        <w:spacing w:before="120" w:after="120" w:line="360" w:lineRule="auto"/>
        <w:jc w:val="both"/>
        <w:rPr>
          <w:rFonts w:ascii="Times New Roman" w:hAnsi="Times New Roman" w:cs="Times New Roman"/>
          <w:color w:val="000000" w:themeColor="text1"/>
          <w:sz w:val="24"/>
          <w:szCs w:val="24"/>
        </w:rPr>
      </w:pPr>
      <w:r w:rsidRPr="00B35761">
        <w:rPr>
          <w:rFonts w:ascii="Times New Roman" w:hAnsi="Times New Roman" w:cs="Times New Roman"/>
          <w:color w:val="000000" w:themeColor="text1"/>
          <w:sz w:val="24"/>
          <w:szCs w:val="24"/>
        </w:rPr>
        <w:t xml:space="preserve">Notwithstanding these important findings, there are a few limitations worth pointing out. First, our dataset is based on UK FTSE 100 firms, and this limits the generalisation of the findings. Thus, the existing institutional differences across developed and developing countries offer an opportunity to replicate this study </w:t>
      </w:r>
      <w:r w:rsidR="00F318F8">
        <w:rPr>
          <w:rFonts w:ascii="Times New Roman" w:hAnsi="Times New Roman" w:cs="Times New Roman"/>
          <w:color w:val="000000" w:themeColor="text1"/>
          <w:sz w:val="24"/>
          <w:szCs w:val="24"/>
        </w:rPr>
        <w:t xml:space="preserve">in </w:t>
      </w:r>
      <w:r w:rsidRPr="00B35761">
        <w:rPr>
          <w:rFonts w:ascii="Times New Roman" w:hAnsi="Times New Roman" w:cs="Times New Roman"/>
          <w:color w:val="000000" w:themeColor="text1"/>
          <w:sz w:val="24"/>
          <w:szCs w:val="24"/>
        </w:rPr>
        <w:t>different settings. Future studies can offer further insight by extending our findings to both emerging and developed economies. Our study does not consider executives retirement plans (pension entitlement) in the bonus compensation package, future studies can look at how executive pension entitlement affects corporate value.</w:t>
      </w:r>
    </w:p>
    <w:p w14:paraId="103F44D0" w14:textId="48EAEF90" w:rsidR="00072426" w:rsidRDefault="00072426" w:rsidP="006C4901">
      <w:pPr>
        <w:spacing w:before="120" w:after="120" w:line="360" w:lineRule="auto"/>
        <w:jc w:val="both"/>
        <w:rPr>
          <w:rFonts w:ascii="Times New Roman" w:hAnsi="Times New Roman" w:cs="Times New Roman"/>
          <w:color w:val="000000" w:themeColor="text1"/>
          <w:sz w:val="24"/>
          <w:szCs w:val="24"/>
        </w:rPr>
      </w:pPr>
    </w:p>
    <w:p w14:paraId="3171B4A7" w14:textId="5A3AB2BC" w:rsidR="00072426" w:rsidRDefault="00072426" w:rsidP="006C4901">
      <w:pPr>
        <w:spacing w:before="120" w:after="120" w:line="360" w:lineRule="auto"/>
        <w:jc w:val="both"/>
        <w:rPr>
          <w:rFonts w:ascii="Times New Roman" w:hAnsi="Times New Roman" w:cs="Times New Roman"/>
          <w:color w:val="000000" w:themeColor="text1"/>
          <w:sz w:val="24"/>
          <w:szCs w:val="24"/>
        </w:rPr>
      </w:pPr>
    </w:p>
    <w:p w14:paraId="18E7ACC4" w14:textId="5B02923E" w:rsidR="00072426" w:rsidRDefault="00072426" w:rsidP="006C4901">
      <w:pPr>
        <w:spacing w:before="120" w:after="120" w:line="360" w:lineRule="auto"/>
        <w:jc w:val="both"/>
        <w:rPr>
          <w:rFonts w:ascii="Times New Roman" w:hAnsi="Times New Roman" w:cs="Times New Roman"/>
          <w:color w:val="000000" w:themeColor="text1"/>
          <w:sz w:val="24"/>
          <w:szCs w:val="24"/>
        </w:rPr>
      </w:pPr>
    </w:p>
    <w:p w14:paraId="0CB1382E" w14:textId="2734EB21" w:rsidR="00072426" w:rsidRDefault="00072426" w:rsidP="006C4901">
      <w:pPr>
        <w:spacing w:before="120" w:after="120" w:line="360" w:lineRule="auto"/>
        <w:jc w:val="both"/>
        <w:rPr>
          <w:rFonts w:ascii="Times New Roman" w:hAnsi="Times New Roman" w:cs="Times New Roman"/>
          <w:color w:val="000000" w:themeColor="text1"/>
          <w:sz w:val="24"/>
          <w:szCs w:val="24"/>
        </w:rPr>
      </w:pPr>
    </w:p>
    <w:p w14:paraId="342D2296" w14:textId="4C225F4F" w:rsidR="00072426" w:rsidRDefault="00072426" w:rsidP="006C4901">
      <w:pPr>
        <w:spacing w:before="120" w:after="120" w:line="360" w:lineRule="auto"/>
        <w:jc w:val="both"/>
        <w:rPr>
          <w:rFonts w:ascii="Times New Roman" w:hAnsi="Times New Roman" w:cs="Times New Roman"/>
          <w:color w:val="000000" w:themeColor="text1"/>
          <w:sz w:val="24"/>
          <w:szCs w:val="24"/>
        </w:rPr>
      </w:pPr>
    </w:p>
    <w:p w14:paraId="5DAF32A3" w14:textId="77777777" w:rsidR="00072426" w:rsidRPr="006C4901" w:rsidRDefault="00072426" w:rsidP="006C4901">
      <w:pPr>
        <w:spacing w:before="120" w:after="120" w:line="360" w:lineRule="auto"/>
        <w:jc w:val="both"/>
        <w:rPr>
          <w:rFonts w:ascii="Times New Roman" w:hAnsi="Times New Roman" w:cs="Times New Roman"/>
          <w:color w:val="000000" w:themeColor="text1"/>
          <w:sz w:val="24"/>
          <w:szCs w:val="24"/>
        </w:rPr>
      </w:pPr>
    </w:p>
    <w:p w14:paraId="16F07343" w14:textId="169C1102" w:rsidR="00147C41" w:rsidRPr="00F06767" w:rsidRDefault="00147C41" w:rsidP="003D25A1">
      <w:pPr>
        <w:jc w:val="center"/>
        <w:rPr>
          <w:rFonts w:ascii="Times New Roman" w:hAnsi="Times New Roman" w:cs="Times New Roman"/>
          <w:b/>
          <w:bCs/>
        </w:rPr>
      </w:pPr>
      <w:r w:rsidRPr="00F06767">
        <w:rPr>
          <w:rFonts w:ascii="Times New Roman" w:hAnsi="Times New Roman" w:cs="Times New Roman"/>
          <w:b/>
          <w:bCs/>
        </w:rPr>
        <w:t>References</w:t>
      </w:r>
    </w:p>
    <w:p w14:paraId="2816ED20" w14:textId="0C726A36" w:rsidR="00147C41" w:rsidRPr="00F06767" w:rsidRDefault="00147C41" w:rsidP="003D25A1">
      <w:pPr>
        <w:pStyle w:val="NormalWeb"/>
        <w:jc w:val="both"/>
        <w:rPr>
          <w:sz w:val="22"/>
          <w:szCs w:val="22"/>
        </w:rPr>
      </w:pPr>
      <w:proofErr w:type="spellStart"/>
      <w:r w:rsidRPr="00F06767">
        <w:rPr>
          <w:sz w:val="22"/>
          <w:szCs w:val="22"/>
        </w:rPr>
        <w:t>Adu</w:t>
      </w:r>
      <w:proofErr w:type="spellEnd"/>
      <w:r w:rsidRPr="00F06767">
        <w:rPr>
          <w:sz w:val="22"/>
          <w:szCs w:val="22"/>
        </w:rPr>
        <w:t xml:space="preserve">-Ameyaw, E., </w:t>
      </w:r>
      <w:proofErr w:type="spellStart"/>
      <w:r w:rsidRPr="00F06767">
        <w:rPr>
          <w:sz w:val="22"/>
          <w:szCs w:val="22"/>
        </w:rPr>
        <w:t>Danso</w:t>
      </w:r>
      <w:proofErr w:type="spellEnd"/>
      <w:r w:rsidRPr="00F06767">
        <w:rPr>
          <w:sz w:val="22"/>
          <w:szCs w:val="22"/>
        </w:rPr>
        <w:t>, A., Acheampong,</w:t>
      </w:r>
      <w:r w:rsidR="00312AC8">
        <w:rPr>
          <w:sz w:val="22"/>
          <w:szCs w:val="22"/>
        </w:rPr>
        <w:t xml:space="preserve"> S., &amp; </w:t>
      </w:r>
      <w:proofErr w:type="spellStart"/>
      <w:r w:rsidR="00312AC8">
        <w:rPr>
          <w:sz w:val="22"/>
          <w:szCs w:val="22"/>
        </w:rPr>
        <w:t>Akwei</w:t>
      </w:r>
      <w:proofErr w:type="spellEnd"/>
      <w:r w:rsidR="00312AC8">
        <w:rPr>
          <w:sz w:val="22"/>
          <w:szCs w:val="22"/>
        </w:rPr>
        <w:t xml:space="preserve">, C. (2021). </w:t>
      </w:r>
      <w:r w:rsidRPr="00F06767">
        <w:rPr>
          <w:sz w:val="22"/>
          <w:szCs w:val="22"/>
        </w:rPr>
        <w:t xml:space="preserve">Executive bonus compensation and financial leverage: do growth </w:t>
      </w:r>
      <w:r w:rsidR="00312AC8">
        <w:rPr>
          <w:sz w:val="22"/>
          <w:szCs w:val="22"/>
        </w:rPr>
        <w:t>and executive ownership matter?</w:t>
      </w:r>
      <w:r w:rsidRPr="00F06767">
        <w:rPr>
          <w:sz w:val="22"/>
          <w:szCs w:val="22"/>
        </w:rPr>
        <w:t xml:space="preserve"> I</w:t>
      </w:r>
      <w:r w:rsidRPr="00F06767">
        <w:rPr>
          <w:i/>
          <w:iCs/>
          <w:sz w:val="22"/>
          <w:szCs w:val="22"/>
        </w:rPr>
        <w:t>nternational Journal of Accounting &amp; Information Management</w:t>
      </w:r>
      <w:r w:rsidR="002D7CED">
        <w:rPr>
          <w:sz w:val="22"/>
          <w:szCs w:val="22"/>
        </w:rPr>
        <w:t xml:space="preserve">, 9 </w:t>
      </w:r>
      <w:r w:rsidR="00312AC8">
        <w:rPr>
          <w:sz w:val="22"/>
          <w:szCs w:val="22"/>
        </w:rPr>
        <w:t>(</w:t>
      </w:r>
      <w:r w:rsidR="002D7CED">
        <w:rPr>
          <w:sz w:val="22"/>
          <w:szCs w:val="22"/>
        </w:rPr>
        <w:t>3</w:t>
      </w:r>
      <w:r w:rsidR="00312AC8">
        <w:rPr>
          <w:sz w:val="22"/>
          <w:szCs w:val="22"/>
        </w:rPr>
        <w:t>)</w:t>
      </w:r>
      <w:r w:rsidR="000B7C7C">
        <w:rPr>
          <w:sz w:val="22"/>
          <w:szCs w:val="22"/>
        </w:rPr>
        <w:t>,</w:t>
      </w:r>
      <w:r w:rsidR="002D7CED">
        <w:rPr>
          <w:sz w:val="22"/>
          <w:szCs w:val="22"/>
        </w:rPr>
        <w:t xml:space="preserve"> 392 – 409. </w:t>
      </w:r>
    </w:p>
    <w:p w14:paraId="1293A31E" w14:textId="77777777" w:rsidR="00147C41" w:rsidRPr="00F06767" w:rsidRDefault="00147C41" w:rsidP="003D25A1">
      <w:pPr>
        <w:autoSpaceDE w:val="0"/>
        <w:autoSpaceDN w:val="0"/>
        <w:adjustRightInd w:val="0"/>
        <w:spacing w:after="0" w:line="240" w:lineRule="auto"/>
        <w:jc w:val="both"/>
        <w:rPr>
          <w:rFonts w:ascii="Times New Roman" w:eastAsiaTheme="minorHAnsi" w:hAnsi="Times New Roman" w:cs="Times New Roman"/>
          <w:lang w:eastAsia="en-US"/>
        </w:rPr>
      </w:pPr>
      <w:proofErr w:type="spellStart"/>
      <w:r w:rsidRPr="00F06767">
        <w:rPr>
          <w:rFonts w:ascii="Times New Roman" w:eastAsiaTheme="minorHAnsi" w:hAnsi="Times New Roman" w:cs="Times New Roman"/>
          <w:lang w:eastAsia="en-US"/>
        </w:rPr>
        <w:t>Balafas</w:t>
      </w:r>
      <w:proofErr w:type="spellEnd"/>
      <w:r w:rsidRPr="00F06767">
        <w:rPr>
          <w:rFonts w:ascii="Times New Roman" w:eastAsiaTheme="minorHAnsi" w:hAnsi="Times New Roman" w:cs="Times New Roman"/>
          <w:lang w:eastAsia="en-US"/>
        </w:rPr>
        <w:t xml:space="preserve">, N., &amp; </w:t>
      </w:r>
      <w:proofErr w:type="spellStart"/>
      <w:r w:rsidRPr="00F06767">
        <w:rPr>
          <w:rFonts w:ascii="Times New Roman" w:eastAsiaTheme="minorHAnsi" w:hAnsi="Times New Roman" w:cs="Times New Roman"/>
          <w:lang w:eastAsia="en-US"/>
        </w:rPr>
        <w:t>Florackis</w:t>
      </w:r>
      <w:proofErr w:type="spellEnd"/>
      <w:r w:rsidRPr="00F06767">
        <w:rPr>
          <w:rFonts w:ascii="Times New Roman" w:eastAsiaTheme="minorHAnsi" w:hAnsi="Times New Roman" w:cs="Times New Roman"/>
          <w:lang w:eastAsia="en-US"/>
        </w:rPr>
        <w:t>, C. (2014). CEO compensation and future shareholder returns: Evidence</w:t>
      </w:r>
    </w:p>
    <w:p w14:paraId="44E57C1B" w14:textId="691AD867" w:rsidR="00147C41" w:rsidRDefault="00147C41" w:rsidP="003D25A1">
      <w:pPr>
        <w:autoSpaceDE w:val="0"/>
        <w:autoSpaceDN w:val="0"/>
        <w:adjustRightInd w:val="0"/>
        <w:spacing w:after="0"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lang w:eastAsia="en-US"/>
        </w:rPr>
        <w:t xml:space="preserve">from the London Stock Exchange. </w:t>
      </w:r>
      <w:r w:rsidRPr="00F06767">
        <w:rPr>
          <w:rFonts w:ascii="Times New Roman" w:eastAsiaTheme="minorHAnsi" w:hAnsi="Times New Roman" w:cs="Times New Roman"/>
          <w:i/>
          <w:iCs/>
          <w:lang w:eastAsia="en-US"/>
        </w:rPr>
        <w:t>Journal of Empirical Finance, 27</w:t>
      </w:r>
      <w:r w:rsidRPr="00F06767">
        <w:rPr>
          <w:rFonts w:ascii="Times New Roman" w:eastAsiaTheme="minorHAnsi" w:hAnsi="Times New Roman" w:cs="Times New Roman"/>
          <w:lang w:eastAsia="en-US"/>
        </w:rPr>
        <w:t>, 97–115.</w:t>
      </w:r>
    </w:p>
    <w:p w14:paraId="45ECD749" w14:textId="77777777" w:rsidR="00F318F8" w:rsidRPr="00F06767" w:rsidRDefault="00F318F8" w:rsidP="003D25A1">
      <w:pPr>
        <w:autoSpaceDE w:val="0"/>
        <w:autoSpaceDN w:val="0"/>
        <w:adjustRightInd w:val="0"/>
        <w:spacing w:after="0" w:line="240" w:lineRule="auto"/>
        <w:jc w:val="both"/>
        <w:rPr>
          <w:rFonts w:ascii="Times New Roman" w:eastAsiaTheme="minorHAnsi" w:hAnsi="Times New Roman" w:cs="Times New Roman"/>
          <w:lang w:eastAsia="en-US"/>
        </w:rPr>
      </w:pPr>
    </w:p>
    <w:p w14:paraId="32D6F937" w14:textId="77777777" w:rsidR="00147C41" w:rsidRPr="00F06767" w:rsidRDefault="00147C41" w:rsidP="003D25A1">
      <w:pPr>
        <w:autoSpaceDE w:val="0"/>
        <w:autoSpaceDN w:val="0"/>
        <w:adjustRightInd w:val="0"/>
        <w:spacing w:after="0" w:line="240" w:lineRule="auto"/>
        <w:jc w:val="both"/>
        <w:rPr>
          <w:rFonts w:ascii="Times New Roman" w:eastAsiaTheme="minorHAnsi" w:hAnsi="Times New Roman" w:cs="Times New Roman"/>
          <w:i/>
          <w:iCs/>
          <w:lang w:eastAsia="en-US"/>
        </w:rPr>
      </w:pPr>
      <w:proofErr w:type="spellStart"/>
      <w:r w:rsidRPr="00F06767">
        <w:rPr>
          <w:rFonts w:ascii="Times New Roman" w:eastAsiaTheme="minorHAnsi" w:hAnsi="Times New Roman" w:cs="Times New Roman"/>
          <w:lang w:eastAsia="en-US"/>
        </w:rPr>
        <w:t>Bebchuk</w:t>
      </w:r>
      <w:proofErr w:type="spellEnd"/>
      <w:r w:rsidRPr="00F06767">
        <w:rPr>
          <w:rFonts w:ascii="Times New Roman" w:eastAsiaTheme="minorHAnsi" w:hAnsi="Times New Roman" w:cs="Times New Roman"/>
          <w:lang w:eastAsia="en-US"/>
        </w:rPr>
        <w:t xml:space="preserve">, L. A., &amp; Fried, J. M. (2003). Executive compensation as an agency problem. </w:t>
      </w:r>
      <w:r w:rsidRPr="00F06767">
        <w:rPr>
          <w:rFonts w:ascii="Times New Roman" w:eastAsiaTheme="minorHAnsi" w:hAnsi="Times New Roman" w:cs="Times New Roman"/>
          <w:i/>
          <w:iCs/>
          <w:lang w:eastAsia="en-US"/>
        </w:rPr>
        <w:t>Journal</w:t>
      </w:r>
    </w:p>
    <w:p w14:paraId="7C2391E9" w14:textId="22740554" w:rsidR="00147C41" w:rsidRDefault="00147C41" w:rsidP="003D25A1">
      <w:pPr>
        <w:autoSpaceDE w:val="0"/>
        <w:autoSpaceDN w:val="0"/>
        <w:adjustRightInd w:val="0"/>
        <w:spacing w:after="0"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i/>
          <w:iCs/>
          <w:lang w:eastAsia="en-US"/>
        </w:rPr>
        <w:t xml:space="preserve">of Economic Perspectives, </w:t>
      </w:r>
      <w:r w:rsidRPr="00457C82">
        <w:rPr>
          <w:rFonts w:ascii="Times New Roman" w:eastAsiaTheme="minorHAnsi" w:hAnsi="Times New Roman" w:cs="Times New Roman"/>
          <w:iCs/>
          <w:lang w:eastAsia="en-US"/>
        </w:rPr>
        <w:t>17</w:t>
      </w:r>
      <w:r w:rsidR="00457C82" w:rsidRPr="00457C82">
        <w:rPr>
          <w:rFonts w:ascii="Times New Roman" w:eastAsiaTheme="minorHAnsi" w:hAnsi="Times New Roman" w:cs="Times New Roman"/>
          <w:iCs/>
          <w:lang w:eastAsia="en-US"/>
        </w:rPr>
        <w:t xml:space="preserve"> (3)</w:t>
      </w:r>
      <w:r w:rsidRPr="00457C82">
        <w:rPr>
          <w:rFonts w:ascii="Times New Roman" w:eastAsiaTheme="minorHAnsi" w:hAnsi="Times New Roman" w:cs="Times New Roman"/>
          <w:lang w:eastAsia="en-US"/>
        </w:rPr>
        <w:t>,</w:t>
      </w:r>
      <w:r w:rsidRPr="00F06767">
        <w:rPr>
          <w:rFonts w:ascii="Times New Roman" w:eastAsiaTheme="minorHAnsi" w:hAnsi="Times New Roman" w:cs="Times New Roman"/>
          <w:lang w:eastAsia="en-US"/>
        </w:rPr>
        <w:t xml:space="preserve"> 71–92.</w:t>
      </w:r>
    </w:p>
    <w:p w14:paraId="6B5C7C6E" w14:textId="77777777" w:rsidR="00F318F8" w:rsidRPr="00F06767" w:rsidRDefault="00F318F8" w:rsidP="003D25A1">
      <w:pPr>
        <w:autoSpaceDE w:val="0"/>
        <w:autoSpaceDN w:val="0"/>
        <w:adjustRightInd w:val="0"/>
        <w:spacing w:after="0" w:line="240" w:lineRule="auto"/>
        <w:jc w:val="both"/>
        <w:rPr>
          <w:rFonts w:ascii="Times New Roman" w:eastAsiaTheme="minorHAnsi" w:hAnsi="Times New Roman" w:cs="Times New Roman"/>
          <w:lang w:eastAsia="en-US"/>
        </w:rPr>
      </w:pPr>
    </w:p>
    <w:p w14:paraId="7BA19D2A" w14:textId="77777777" w:rsidR="00147C41" w:rsidRPr="00F06767" w:rsidRDefault="00147C41" w:rsidP="003D25A1">
      <w:pPr>
        <w:autoSpaceDE w:val="0"/>
        <w:autoSpaceDN w:val="0"/>
        <w:adjustRightInd w:val="0"/>
        <w:spacing w:after="0" w:line="240" w:lineRule="auto"/>
        <w:jc w:val="both"/>
        <w:rPr>
          <w:rFonts w:ascii="Times New Roman" w:eastAsiaTheme="minorHAnsi" w:hAnsi="Times New Roman" w:cs="Times New Roman"/>
          <w:lang w:eastAsia="en-US"/>
        </w:rPr>
      </w:pPr>
      <w:proofErr w:type="spellStart"/>
      <w:r w:rsidRPr="00F06767">
        <w:rPr>
          <w:rFonts w:ascii="Times New Roman" w:eastAsiaTheme="minorHAnsi" w:hAnsi="Times New Roman" w:cs="Times New Roman"/>
          <w:lang w:eastAsia="en-US"/>
        </w:rPr>
        <w:t>Bebchuk</w:t>
      </w:r>
      <w:proofErr w:type="spellEnd"/>
      <w:r w:rsidRPr="00F06767">
        <w:rPr>
          <w:rFonts w:ascii="Times New Roman" w:eastAsiaTheme="minorHAnsi" w:hAnsi="Times New Roman" w:cs="Times New Roman"/>
          <w:lang w:eastAsia="en-US"/>
        </w:rPr>
        <w:t xml:space="preserve">, L. A., &amp; Fried, J. M. (2004). </w:t>
      </w:r>
      <w:r w:rsidRPr="00F06767">
        <w:rPr>
          <w:rFonts w:ascii="Times New Roman" w:eastAsiaTheme="minorHAnsi" w:hAnsi="Times New Roman" w:cs="Times New Roman"/>
          <w:i/>
          <w:iCs/>
          <w:lang w:eastAsia="en-US"/>
        </w:rPr>
        <w:t>Pay without performance</w:t>
      </w:r>
      <w:r w:rsidRPr="00F06767">
        <w:rPr>
          <w:rFonts w:ascii="Times New Roman" w:eastAsiaTheme="minorHAnsi" w:hAnsi="Times New Roman" w:cs="Times New Roman"/>
          <w:lang w:eastAsia="en-US"/>
        </w:rPr>
        <w:t>. Cambridge, MA: Harvard</w:t>
      </w:r>
    </w:p>
    <w:p w14:paraId="0217487A" w14:textId="77777777" w:rsidR="00147C41" w:rsidRDefault="00147C41" w:rsidP="003D25A1">
      <w:pPr>
        <w:spacing w:line="240" w:lineRule="auto"/>
        <w:jc w:val="both"/>
        <w:rPr>
          <w:rFonts w:ascii="Times New Roman" w:hAnsi="Times New Roman" w:cs="Times New Roman"/>
        </w:rPr>
      </w:pPr>
      <w:r w:rsidRPr="00F06767">
        <w:rPr>
          <w:rFonts w:ascii="Times New Roman" w:eastAsiaTheme="minorHAnsi" w:hAnsi="Times New Roman" w:cs="Times New Roman"/>
          <w:lang w:eastAsia="en-US"/>
        </w:rPr>
        <w:t>University Press.</w:t>
      </w:r>
      <w:r w:rsidRPr="00F06767">
        <w:rPr>
          <w:rFonts w:ascii="Times New Roman" w:hAnsi="Times New Roman" w:cs="Times New Roman"/>
        </w:rPr>
        <w:t xml:space="preserve"> </w:t>
      </w:r>
    </w:p>
    <w:p w14:paraId="5244194E" w14:textId="29D73F54" w:rsidR="00147C41" w:rsidRPr="000A1695" w:rsidRDefault="00147C41" w:rsidP="003D25A1">
      <w:pPr>
        <w:spacing w:before="240" w:after="100" w:afterAutospacing="1" w:line="240" w:lineRule="auto"/>
        <w:rPr>
          <w:rFonts w:ascii="Times New Roman" w:eastAsia="Times New Roman" w:hAnsi="Times New Roman" w:cs="Times New Roman"/>
          <w:color w:val="000000" w:themeColor="text1"/>
          <w:kern w:val="3"/>
          <w:szCs w:val="24"/>
          <w:lang w:eastAsia="en-US"/>
        </w:rPr>
      </w:pPr>
      <w:r w:rsidRPr="00C72A40">
        <w:rPr>
          <w:rFonts w:ascii="Times New Roman" w:eastAsia="Times New Roman" w:hAnsi="Times New Roman" w:cs="Times New Roman"/>
          <w:color w:val="000000" w:themeColor="text1"/>
          <w:spacing w:val="-2"/>
          <w:kern w:val="3"/>
          <w:szCs w:val="24"/>
          <w:lang w:eastAsia="en-US"/>
        </w:rPr>
        <w:t>B</w:t>
      </w:r>
      <w:r w:rsidRPr="00C72A40">
        <w:rPr>
          <w:rFonts w:ascii="Times New Roman" w:eastAsia="Times New Roman" w:hAnsi="Times New Roman" w:cs="Times New Roman"/>
          <w:color w:val="000000" w:themeColor="text1"/>
          <w:kern w:val="3"/>
          <w:szCs w:val="24"/>
          <w:lang w:eastAsia="en-US"/>
        </w:rPr>
        <w:t>railsford,</w:t>
      </w:r>
      <w:r w:rsidRPr="00C72A40">
        <w:rPr>
          <w:rFonts w:ascii="Times New Roman" w:eastAsia="Times New Roman" w:hAnsi="Times New Roman" w:cs="Times New Roman"/>
          <w:color w:val="000000" w:themeColor="text1"/>
          <w:spacing w:val="9"/>
          <w:kern w:val="3"/>
          <w:szCs w:val="24"/>
          <w:lang w:eastAsia="en-US"/>
        </w:rPr>
        <w:t xml:space="preserve"> </w:t>
      </w:r>
      <w:r w:rsidRPr="00C72A40">
        <w:rPr>
          <w:rFonts w:ascii="Times New Roman" w:eastAsia="Times New Roman" w:hAnsi="Times New Roman" w:cs="Times New Roman"/>
          <w:color w:val="000000" w:themeColor="text1"/>
          <w:kern w:val="3"/>
          <w:szCs w:val="24"/>
          <w:lang w:eastAsia="en-US"/>
        </w:rPr>
        <w:t>T.O.</w:t>
      </w:r>
      <w:r w:rsidRPr="00C72A40">
        <w:rPr>
          <w:rFonts w:ascii="Times New Roman" w:eastAsia="Times New Roman" w:hAnsi="Times New Roman" w:cs="Times New Roman"/>
          <w:color w:val="000000" w:themeColor="text1"/>
          <w:spacing w:val="8"/>
          <w:kern w:val="3"/>
          <w:szCs w:val="24"/>
          <w:lang w:eastAsia="en-US"/>
        </w:rPr>
        <w:t xml:space="preserve"> </w:t>
      </w:r>
      <w:r w:rsidRPr="00C72A40">
        <w:rPr>
          <w:rFonts w:ascii="Times New Roman" w:eastAsia="Times New Roman" w:hAnsi="Times New Roman" w:cs="Times New Roman"/>
          <w:color w:val="000000" w:themeColor="text1"/>
          <w:kern w:val="3"/>
          <w:szCs w:val="24"/>
          <w:lang w:eastAsia="en-US"/>
        </w:rPr>
        <w:t>Barry</w:t>
      </w:r>
      <w:r w:rsidRPr="00C72A40">
        <w:rPr>
          <w:rFonts w:ascii="Times New Roman" w:eastAsia="Times New Roman" w:hAnsi="Times New Roman" w:cs="Times New Roman"/>
          <w:color w:val="000000" w:themeColor="text1"/>
          <w:spacing w:val="9"/>
          <w:kern w:val="3"/>
          <w:szCs w:val="24"/>
          <w:lang w:eastAsia="en-US"/>
        </w:rPr>
        <w:t xml:space="preserve"> </w:t>
      </w:r>
      <w:r w:rsidR="00457C82">
        <w:rPr>
          <w:rFonts w:ascii="Times New Roman" w:eastAsia="Times New Roman" w:hAnsi="Times New Roman" w:cs="Times New Roman"/>
          <w:color w:val="000000" w:themeColor="text1"/>
          <w:spacing w:val="-1"/>
          <w:kern w:val="3"/>
          <w:szCs w:val="24"/>
          <w:lang w:eastAsia="en-US"/>
        </w:rPr>
        <w:t>&amp;</w:t>
      </w:r>
      <w:r w:rsidRPr="00C72A40">
        <w:rPr>
          <w:rFonts w:ascii="Times New Roman" w:eastAsia="Times New Roman" w:hAnsi="Times New Roman" w:cs="Times New Roman"/>
          <w:color w:val="000000" w:themeColor="text1"/>
          <w:spacing w:val="9"/>
          <w:kern w:val="3"/>
          <w:szCs w:val="24"/>
          <w:lang w:eastAsia="en-US"/>
        </w:rPr>
        <w:t xml:space="preserve"> </w:t>
      </w:r>
      <w:proofErr w:type="spellStart"/>
      <w:r w:rsidRPr="00C72A40">
        <w:rPr>
          <w:rFonts w:ascii="Times New Roman" w:eastAsia="Times New Roman" w:hAnsi="Times New Roman" w:cs="Times New Roman"/>
          <w:color w:val="000000" w:themeColor="text1"/>
          <w:kern w:val="3"/>
          <w:szCs w:val="24"/>
          <w:lang w:eastAsia="en-US"/>
        </w:rPr>
        <w:t>Pua</w:t>
      </w:r>
      <w:proofErr w:type="spellEnd"/>
      <w:r w:rsidRPr="00C72A40">
        <w:rPr>
          <w:rFonts w:ascii="Times New Roman" w:eastAsia="Times New Roman" w:hAnsi="Times New Roman" w:cs="Times New Roman"/>
          <w:color w:val="000000" w:themeColor="text1"/>
          <w:kern w:val="3"/>
          <w:szCs w:val="24"/>
          <w:lang w:eastAsia="en-US"/>
        </w:rPr>
        <w:t>,</w:t>
      </w:r>
      <w:r w:rsidRPr="00C72A40">
        <w:rPr>
          <w:rFonts w:ascii="Times New Roman" w:eastAsia="Times New Roman" w:hAnsi="Times New Roman" w:cs="Times New Roman"/>
          <w:color w:val="000000" w:themeColor="text1"/>
          <w:spacing w:val="9"/>
          <w:kern w:val="3"/>
          <w:szCs w:val="24"/>
          <w:lang w:eastAsia="en-US"/>
        </w:rPr>
        <w:t xml:space="preserve"> </w:t>
      </w:r>
      <w:r w:rsidRPr="00C72A40">
        <w:rPr>
          <w:rFonts w:ascii="Times New Roman" w:eastAsia="Times New Roman" w:hAnsi="Times New Roman" w:cs="Times New Roman"/>
          <w:color w:val="000000" w:themeColor="text1"/>
          <w:kern w:val="3"/>
          <w:szCs w:val="24"/>
          <w:lang w:eastAsia="en-US"/>
        </w:rPr>
        <w:t>S.</w:t>
      </w:r>
      <w:r w:rsidRPr="00C72A40">
        <w:rPr>
          <w:rFonts w:ascii="Times New Roman" w:eastAsia="Times New Roman" w:hAnsi="Times New Roman" w:cs="Times New Roman"/>
          <w:color w:val="000000" w:themeColor="text1"/>
          <w:spacing w:val="6"/>
          <w:kern w:val="3"/>
          <w:szCs w:val="24"/>
          <w:lang w:eastAsia="en-US"/>
        </w:rPr>
        <w:t xml:space="preserve"> (</w:t>
      </w:r>
      <w:r w:rsidR="00457C82">
        <w:rPr>
          <w:rFonts w:ascii="Times New Roman" w:eastAsia="Times New Roman" w:hAnsi="Times New Roman" w:cs="Times New Roman"/>
          <w:color w:val="000000" w:themeColor="text1"/>
          <w:kern w:val="3"/>
          <w:szCs w:val="24"/>
          <w:lang w:eastAsia="en-US"/>
        </w:rPr>
        <w:t>2002).</w:t>
      </w:r>
      <w:r w:rsidRPr="00C72A40">
        <w:rPr>
          <w:rFonts w:ascii="Times New Roman" w:eastAsia="Times New Roman" w:hAnsi="Times New Roman" w:cs="Times New Roman"/>
          <w:color w:val="000000" w:themeColor="text1"/>
          <w:spacing w:val="9"/>
          <w:kern w:val="3"/>
          <w:szCs w:val="24"/>
          <w:lang w:eastAsia="en-US"/>
        </w:rPr>
        <w:t xml:space="preserve"> On the relationship between ownership structure and capital structure</w:t>
      </w:r>
      <w:r>
        <w:rPr>
          <w:rFonts w:ascii="Times New Roman" w:eastAsia="Times New Roman" w:hAnsi="Times New Roman" w:cs="Times New Roman"/>
          <w:color w:val="000000" w:themeColor="text1"/>
          <w:spacing w:val="9"/>
          <w:kern w:val="3"/>
          <w:szCs w:val="24"/>
          <w:lang w:eastAsia="en-US"/>
        </w:rPr>
        <w:t>,</w:t>
      </w:r>
      <w:r w:rsidRPr="00C72A40">
        <w:rPr>
          <w:rFonts w:ascii="Times New Roman" w:eastAsia="Times New Roman" w:hAnsi="Times New Roman" w:cs="Times New Roman"/>
          <w:color w:val="000000" w:themeColor="text1"/>
          <w:spacing w:val="9"/>
          <w:kern w:val="3"/>
          <w:szCs w:val="24"/>
          <w:lang w:eastAsia="en-US"/>
        </w:rPr>
        <w:t xml:space="preserve"> </w:t>
      </w:r>
      <w:r w:rsidRPr="00C72A40">
        <w:rPr>
          <w:rFonts w:ascii="Times New Roman" w:eastAsia="Times New Roman" w:hAnsi="Times New Roman" w:cs="Times New Roman"/>
          <w:i/>
          <w:color w:val="000000" w:themeColor="text1"/>
          <w:spacing w:val="-1"/>
          <w:kern w:val="3"/>
          <w:szCs w:val="24"/>
          <w:lang w:eastAsia="en-US"/>
        </w:rPr>
        <w:t>Accounting and</w:t>
      </w:r>
      <w:r w:rsidRPr="00C72A40">
        <w:rPr>
          <w:rFonts w:ascii="Times New Roman" w:eastAsia="Times New Roman" w:hAnsi="Times New Roman" w:cs="Times New Roman"/>
          <w:i/>
          <w:color w:val="000000" w:themeColor="text1"/>
          <w:kern w:val="3"/>
          <w:szCs w:val="24"/>
          <w:lang w:eastAsia="en-US"/>
        </w:rPr>
        <w:t xml:space="preserve"> Fi</w:t>
      </w:r>
      <w:r w:rsidRPr="00C72A40">
        <w:rPr>
          <w:rFonts w:ascii="Times New Roman" w:eastAsia="Times New Roman" w:hAnsi="Times New Roman" w:cs="Times New Roman"/>
          <w:i/>
          <w:color w:val="000000" w:themeColor="text1"/>
          <w:spacing w:val="2"/>
          <w:kern w:val="3"/>
          <w:szCs w:val="24"/>
          <w:lang w:eastAsia="en-US"/>
        </w:rPr>
        <w:t>n</w:t>
      </w:r>
      <w:r w:rsidRPr="00C72A40">
        <w:rPr>
          <w:rFonts w:ascii="Times New Roman" w:eastAsia="Times New Roman" w:hAnsi="Times New Roman" w:cs="Times New Roman"/>
          <w:i/>
          <w:color w:val="000000" w:themeColor="text1"/>
          <w:kern w:val="3"/>
          <w:szCs w:val="24"/>
          <w:lang w:eastAsia="en-US"/>
        </w:rPr>
        <w:t>an</w:t>
      </w:r>
      <w:r w:rsidRPr="00C72A40">
        <w:rPr>
          <w:rFonts w:ascii="Times New Roman" w:eastAsia="Times New Roman" w:hAnsi="Times New Roman" w:cs="Times New Roman"/>
          <w:i/>
          <w:color w:val="000000" w:themeColor="text1"/>
          <w:spacing w:val="-1"/>
          <w:kern w:val="3"/>
          <w:szCs w:val="24"/>
          <w:lang w:eastAsia="en-US"/>
        </w:rPr>
        <w:t>ce</w:t>
      </w:r>
      <w:r w:rsidRPr="00C72A40">
        <w:rPr>
          <w:rFonts w:ascii="Times New Roman" w:eastAsia="Times New Roman" w:hAnsi="Times New Roman" w:cs="Times New Roman"/>
          <w:color w:val="000000" w:themeColor="text1"/>
          <w:kern w:val="3"/>
          <w:szCs w:val="24"/>
          <w:lang w:eastAsia="en-US"/>
        </w:rPr>
        <w:t>,</w:t>
      </w:r>
      <w:r w:rsidRPr="00C72A40">
        <w:rPr>
          <w:rFonts w:ascii="Times New Roman" w:eastAsia="Times New Roman" w:hAnsi="Times New Roman" w:cs="Times New Roman"/>
          <w:color w:val="000000" w:themeColor="text1"/>
          <w:spacing w:val="1"/>
          <w:kern w:val="3"/>
          <w:szCs w:val="24"/>
          <w:lang w:eastAsia="en-US"/>
        </w:rPr>
        <w:t xml:space="preserve"> </w:t>
      </w:r>
      <w:r w:rsidRPr="00C72A40">
        <w:rPr>
          <w:rFonts w:ascii="Times New Roman" w:eastAsia="Times New Roman" w:hAnsi="Times New Roman" w:cs="Times New Roman"/>
          <w:bCs/>
          <w:color w:val="000000" w:themeColor="text1"/>
          <w:kern w:val="3"/>
          <w:szCs w:val="24"/>
          <w:lang w:eastAsia="en-US"/>
        </w:rPr>
        <w:t>42</w:t>
      </w:r>
      <w:r w:rsidRPr="00C72A40">
        <w:rPr>
          <w:rFonts w:ascii="Times New Roman" w:eastAsia="Times New Roman" w:hAnsi="Times New Roman" w:cs="Times New Roman"/>
          <w:color w:val="000000" w:themeColor="text1"/>
          <w:kern w:val="3"/>
          <w:szCs w:val="24"/>
          <w:lang w:eastAsia="en-US"/>
        </w:rPr>
        <w:t>, 1</w:t>
      </w:r>
      <w:r w:rsidRPr="00C72A40">
        <w:rPr>
          <w:rFonts w:ascii="Times New Roman" w:eastAsia="Times New Roman" w:hAnsi="Times New Roman" w:cs="Times New Roman"/>
          <w:color w:val="000000" w:themeColor="text1"/>
          <w:spacing w:val="-1"/>
          <w:kern w:val="3"/>
          <w:szCs w:val="24"/>
          <w:lang w:eastAsia="en-US"/>
        </w:rPr>
        <w:t>-</w:t>
      </w:r>
      <w:r w:rsidRPr="00C72A40">
        <w:rPr>
          <w:rFonts w:ascii="Times New Roman" w:eastAsia="Times New Roman" w:hAnsi="Times New Roman" w:cs="Times New Roman"/>
          <w:color w:val="000000" w:themeColor="text1"/>
          <w:kern w:val="3"/>
          <w:szCs w:val="24"/>
          <w:lang w:eastAsia="en-US"/>
        </w:rPr>
        <w:t>26.</w:t>
      </w:r>
    </w:p>
    <w:p w14:paraId="198BACE4" w14:textId="1ABA83B2" w:rsidR="00147C41" w:rsidRPr="003D3B72" w:rsidRDefault="00147C41" w:rsidP="003D25A1">
      <w:pPr>
        <w:spacing w:before="240" w:after="100" w:afterAutospacing="1" w:line="240" w:lineRule="auto"/>
        <w:rPr>
          <w:rFonts w:ascii="Times New Roman" w:eastAsia="Times New Roman" w:hAnsi="Times New Roman" w:cs="Times New Roman"/>
          <w:color w:val="000000" w:themeColor="text1"/>
          <w:szCs w:val="24"/>
        </w:rPr>
      </w:pPr>
      <w:r w:rsidRPr="00C72A40">
        <w:rPr>
          <w:rFonts w:ascii="Times New Roman" w:eastAsia="Times New Roman" w:hAnsi="Times New Roman" w:cs="Times New Roman"/>
          <w:color w:val="000000" w:themeColor="text1"/>
          <w:szCs w:val="24"/>
        </w:rPr>
        <w:t xml:space="preserve">Brick, I.E., </w:t>
      </w:r>
      <w:proofErr w:type="spellStart"/>
      <w:r w:rsidRPr="00C72A40">
        <w:rPr>
          <w:rFonts w:ascii="Times New Roman" w:eastAsia="Times New Roman" w:hAnsi="Times New Roman" w:cs="Times New Roman"/>
          <w:color w:val="000000" w:themeColor="text1"/>
          <w:szCs w:val="24"/>
        </w:rPr>
        <w:t>Palmon</w:t>
      </w:r>
      <w:proofErr w:type="spellEnd"/>
      <w:r w:rsidRPr="00C72A40">
        <w:rPr>
          <w:rFonts w:ascii="Times New Roman" w:eastAsia="Times New Roman" w:hAnsi="Times New Roman" w:cs="Times New Roman"/>
          <w:color w:val="000000" w:themeColor="text1"/>
          <w:szCs w:val="24"/>
        </w:rPr>
        <w:t>, O.</w:t>
      </w:r>
      <w:r w:rsidR="00457C82">
        <w:rPr>
          <w:rFonts w:ascii="Times New Roman" w:eastAsia="Times New Roman" w:hAnsi="Times New Roman" w:cs="Times New Roman"/>
          <w:color w:val="000000" w:themeColor="text1"/>
          <w:szCs w:val="24"/>
        </w:rPr>
        <w:t xml:space="preserve"> &amp;</w:t>
      </w:r>
      <w:r w:rsidRPr="00C72A40">
        <w:rPr>
          <w:rFonts w:ascii="Times New Roman" w:eastAsia="Times New Roman" w:hAnsi="Times New Roman" w:cs="Times New Roman"/>
          <w:color w:val="000000" w:themeColor="text1"/>
          <w:szCs w:val="24"/>
        </w:rPr>
        <w:t xml:space="preserve"> Wald, J.K. (2012). Too much pay-performance sensitivity?</w:t>
      </w:r>
      <w:r>
        <w:rPr>
          <w:rFonts w:ascii="Times New Roman" w:eastAsia="Times New Roman" w:hAnsi="Times New Roman" w:cs="Times New Roman"/>
          <w:color w:val="000000" w:themeColor="text1"/>
          <w:szCs w:val="24"/>
        </w:rPr>
        <w:t>’</w:t>
      </w:r>
      <w:r w:rsidRPr="00C72A40">
        <w:rPr>
          <w:rFonts w:ascii="Times New Roman" w:eastAsia="Times New Roman" w:hAnsi="Times New Roman" w:cs="Times New Roman"/>
          <w:color w:val="000000" w:themeColor="text1"/>
          <w:szCs w:val="24"/>
        </w:rPr>
        <w:t xml:space="preserve"> </w:t>
      </w:r>
      <w:r w:rsidRPr="00C72A40">
        <w:rPr>
          <w:rFonts w:ascii="Times New Roman" w:eastAsia="Times New Roman" w:hAnsi="Times New Roman" w:cs="Times New Roman"/>
          <w:i/>
          <w:color w:val="000000" w:themeColor="text1"/>
          <w:szCs w:val="24"/>
        </w:rPr>
        <w:t>Review of Economics and Statistics</w:t>
      </w:r>
      <w:r>
        <w:rPr>
          <w:rFonts w:ascii="Times New Roman" w:eastAsia="Times New Roman" w:hAnsi="Times New Roman" w:cs="Times New Roman"/>
          <w:color w:val="000000" w:themeColor="text1"/>
          <w:szCs w:val="24"/>
        </w:rPr>
        <w:t>,</w:t>
      </w:r>
      <w:r w:rsidR="00457C82">
        <w:rPr>
          <w:rFonts w:ascii="Times New Roman" w:eastAsia="Times New Roman" w:hAnsi="Times New Roman" w:cs="Times New Roman"/>
          <w:color w:val="000000" w:themeColor="text1"/>
          <w:szCs w:val="24"/>
        </w:rPr>
        <w:t xml:space="preserve"> </w:t>
      </w:r>
      <w:r w:rsidRPr="00C72A40">
        <w:rPr>
          <w:rFonts w:ascii="Times New Roman" w:eastAsia="Times New Roman" w:hAnsi="Times New Roman" w:cs="Times New Roman"/>
          <w:color w:val="000000" w:themeColor="text1"/>
          <w:szCs w:val="24"/>
        </w:rPr>
        <w:t>94</w:t>
      </w:r>
      <w:r w:rsidR="00457C82">
        <w:rPr>
          <w:rFonts w:ascii="Times New Roman" w:eastAsia="Times New Roman" w:hAnsi="Times New Roman" w:cs="Times New Roman"/>
          <w:color w:val="000000" w:themeColor="text1"/>
          <w:szCs w:val="24"/>
        </w:rPr>
        <w:t xml:space="preserve"> (1), </w:t>
      </w:r>
      <w:r w:rsidRPr="00C72A40">
        <w:rPr>
          <w:rFonts w:ascii="Times New Roman" w:eastAsia="Times New Roman" w:hAnsi="Times New Roman" w:cs="Times New Roman"/>
          <w:color w:val="000000" w:themeColor="text1"/>
          <w:szCs w:val="24"/>
        </w:rPr>
        <w:t>287</w:t>
      </w:r>
      <w:r>
        <w:rPr>
          <w:rFonts w:ascii="Times New Roman" w:eastAsia="Times New Roman" w:hAnsi="Times New Roman" w:cs="Times New Roman"/>
          <w:color w:val="000000" w:themeColor="text1"/>
          <w:szCs w:val="24"/>
        </w:rPr>
        <w:t>-</w:t>
      </w:r>
      <w:r w:rsidRPr="00C72A40">
        <w:rPr>
          <w:rFonts w:ascii="Times New Roman" w:eastAsia="Times New Roman" w:hAnsi="Times New Roman" w:cs="Times New Roman"/>
          <w:color w:val="000000" w:themeColor="text1"/>
          <w:szCs w:val="24"/>
        </w:rPr>
        <w:t xml:space="preserve">303. </w:t>
      </w:r>
    </w:p>
    <w:p w14:paraId="1E74725C" w14:textId="77777777" w:rsidR="00147C41" w:rsidRPr="00F06767" w:rsidRDefault="00147C41" w:rsidP="003D25A1">
      <w:pPr>
        <w:autoSpaceDE w:val="0"/>
        <w:autoSpaceDN w:val="0"/>
        <w:adjustRightInd w:val="0"/>
        <w:spacing w:after="0"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lang w:eastAsia="en-US"/>
        </w:rPr>
        <w:t xml:space="preserve">Cadbury, A. (1992). </w:t>
      </w:r>
      <w:r w:rsidRPr="00F06767">
        <w:rPr>
          <w:rFonts w:ascii="Times New Roman" w:eastAsiaTheme="minorHAnsi" w:hAnsi="Times New Roman" w:cs="Times New Roman"/>
          <w:i/>
          <w:iCs/>
          <w:lang w:eastAsia="en-US"/>
        </w:rPr>
        <w:t>Report of the committee on the financial aspects of corporate governance</w:t>
      </w:r>
      <w:r w:rsidRPr="00F06767">
        <w:rPr>
          <w:rFonts w:ascii="Times New Roman" w:eastAsiaTheme="minorHAnsi" w:hAnsi="Times New Roman" w:cs="Times New Roman"/>
          <w:lang w:eastAsia="en-US"/>
        </w:rPr>
        <w:t>.</w:t>
      </w:r>
    </w:p>
    <w:p w14:paraId="7453EA7E" w14:textId="77777777" w:rsidR="00147C41" w:rsidRPr="00F06767" w:rsidRDefault="00147C41" w:rsidP="003D25A1">
      <w:pPr>
        <w:spacing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lang w:eastAsia="en-US"/>
        </w:rPr>
        <w:t>London, UK: London Stock Exchange.</w:t>
      </w:r>
    </w:p>
    <w:p w14:paraId="5257D105" w14:textId="6E03F7AF" w:rsidR="00147C41" w:rsidRPr="00F06767" w:rsidRDefault="00457C82" w:rsidP="003D25A1">
      <w:pPr>
        <w:spacing w:line="240" w:lineRule="auto"/>
        <w:jc w:val="both"/>
        <w:rPr>
          <w:rFonts w:ascii="Times New Roman" w:hAnsi="Times New Roman" w:cs="Times New Roman"/>
        </w:rPr>
      </w:pPr>
      <w:r>
        <w:rPr>
          <w:rFonts w:ascii="Times New Roman" w:hAnsi="Times New Roman" w:cs="Times New Roman"/>
        </w:rPr>
        <w:t xml:space="preserve">Chahine, S. &amp; M. </w:t>
      </w:r>
      <w:proofErr w:type="spellStart"/>
      <w:r>
        <w:rPr>
          <w:rFonts w:ascii="Times New Roman" w:hAnsi="Times New Roman" w:cs="Times New Roman"/>
        </w:rPr>
        <w:t>Goergen</w:t>
      </w:r>
      <w:proofErr w:type="spellEnd"/>
      <w:r>
        <w:rPr>
          <w:rFonts w:ascii="Times New Roman" w:hAnsi="Times New Roman" w:cs="Times New Roman"/>
        </w:rPr>
        <w:t xml:space="preserve"> (2014). </w:t>
      </w:r>
      <w:r w:rsidR="00147C41" w:rsidRPr="00F06767">
        <w:rPr>
          <w:rFonts w:ascii="Times New Roman" w:hAnsi="Times New Roman" w:cs="Times New Roman"/>
        </w:rPr>
        <w:t>Top management ties with board members: how they affect pay–performance s</w:t>
      </w:r>
      <w:r>
        <w:rPr>
          <w:rFonts w:ascii="Times New Roman" w:hAnsi="Times New Roman" w:cs="Times New Roman"/>
        </w:rPr>
        <w:t>ensitivity and IPO performance?</w:t>
      </w:r>
      <w:r w:rsidR="00147C41" w:rsidRPr="00F06767">
        <w:rPr>
          <w:rFonts w:ascii="Times New Roman" w:hAnsi="Times New Roman" w:cs="Times New Roman"/>
        </w:rPr>
        <w:t xml:space="preserve"> Journal of Corporate Finance, 27, pp. 99–115.</w:t>
      </w:r>
    </w:p>
    <w:p w14:paraId="0DFA805D" w14:textId="5978861C" w:rsidR="00147C41" w:rsidRDefault="00147C41" w:rsidP="003D25A1">
      <w:pPr>
        <w:suppressAutoHyphens/>
        <w:autoSpaceDN w:val="0"/>
        <w:spacing w:after="120" w:line="240" w:lineRule="auto"/>
        <w:jc w:val="both"/>
        <w:textAlignment w:val="baseline"/>
        <w:rPr>
          <w:rFonts w:ascii="Times New Roman" w:eastAsia="SimSun" w:hAnsi="Times New Roman" w:cs="Times New Roman"/>
          <w:kern w:val="3"/>
          <w:lang w:eastAsia="en-US"/>
        </w:rPr>
      </w:pPr>
      <w:r w:rsidRPr="00F06767">
        <w:rPr>
          <w:rFonts w:ascii="Times New Roman" w:eastAsia="SimSun" w:hAnsi="Times New Roman" w:cs="Times New Roman"/>
          <w:kern w:val="3"/>
          <w:lang w:eastAsia="en-US"/>
        </w:rPr>
        <w:t xml:space="preserve">Chen, L.Y., Chen, Y.F. </w:t>
      </w:r>
      <w:r w:rsidR="00457C82">
        <w:rPr>
          <w:rFonts w:ascii="Times New Roman" w:hAnsi="Times New Roman" w:cs="Times New Roman"/>
        </w:rPr>
        <w:t>&amp;</w:t>
      </w:r>
      <w:r w:rsidRPr="00F06767">
        <w:rPr>
          <w:rFonts w:ascii="Times New Roman" w:hAnsi="Times New Roman" w:cs="Times New Roman"/>
        </w:rPr>
        <w:t xml:space="preserve"> </w:t>
      </w:r>
      <w:r w:rsidRPr="00F06767">
        <w:rPr>
          <w:rFonts w:ascii="Times New Roman" w:eastAsia="SimSun" w:hAnsi="Times New Roman" w:cs="Times New Roman"/>
          <w:kern w:val="3"/>
          <w:lang w:eastAsia="en-US"/>
        </w:rPr>
        <w:t xml:space="preserve">Yang, </w:t>
      </w:r>
      <w:r w:rsidR="00457C82">
        <w:rPr>
          <w:rFonts w:ascii="Times New Roman" w:eastAsia="SimSun" w:hAnsi="Times New Roman" w:cs="Times New Roman"/>
          <w:kern w:val="3"/>
          <w:lang w:eastAsia="en-US"/>
        </w:rPr>
        <w:t xml:space="preserve">S.Y. (2017). </w:t>
      </w:r>
      <w:r w:rsidRPr="00F06767">
        <w:rPr>
          <w:rFonts w:ascii="Times New Roman" w:eastAsia="SimSun" w:hAnsi="Times New Roman" w:cs="Times New Roman"/>
          <w:kern w:val="3"/>
          <w:lang w:eastAsia="en-US"/>
        </w:rPr>
        <w:t>Managerial incentive and R&amp;D investments: The moderating effect of directors an</w:t>
      </w:r>
      <w:r w:rsidR="00E80B28">
        <w:rPr>
          <w:rFonts w:ascii="Times New Roman" w:eastAsia="SimSun" w:hAnsi="Times New Roman" w:cs="Times New Roman"/>
          <w:kern w:val="3"/>
          <w:lang w:eastAsia="en-US"/>
        </w:rPr>
        <w:t xml:space="preserve">d </w:t>
      </w:r>
      <w:proofErr w:type="gramStart"/>
      <w:r w:rsidR="00E80B28">
        <w:rPr>
          <w:rFonts w:ascii="Times New Roman" w:eastAsia="SimSun" w:hAnsi="Times New Roman" w:cs="Times New Roman"/>
          <w:kern w:val="3"/>
          <w:lang w:eastAsia="en-US"/>
        </w:rPr>
        <w:t>officers</w:t>
      </w:r>
      <w:proofErr w:type="gramEnd"/>
      <w:r w:rsidR="00E80B28">
        <w:rPr>
          <w:rFonts w:ascii="Times New Roman" w:eastAsia="SimSun" w:hAnsi="Times New Roman" w:cs="Times New Roman"/>
          <w:kern w:val="3"/>
          <w:lang w:eastAsia="en-US"/>
        </w:rPr>
        <w:t xml:space="preserve"> liability insurance.</w:t>
      </w:r>
      <w:r w:rsidRPr="00F06767">
        <w:rPr>
          <w:rFonts w:ascii="Times New Roman" w:eastAsia="SimSun" w:hAnsi="Times New Roman" w:cs="Times New Roman"/>
          <w:kern w:val="3"/>
          <w:lang w:eastAsia="en-US"/>
        </w:rPr>
        <w:t xml:space="preserve"> </w:t>
      </w:r>
      <w:r w:rsidRPr="00F06767">
        <w:rPr>
          <w:rFonts w:ascii="Times New Roman" w:eastAsia="SimSun" w:hAnsi="Times New Roman" w:cs="Times New Roman"/>
          <w:i/>
          <w:iCs/>
          <w:kern w:val="3"/>
          <w:lang w:eastAsia="en-US"/>
        </w:rPr>
        <w:t>North American Journal of Economics and Finance</w:t>
      </w:r>
      <w:r w:rsidR="00457C82">
        <w:rPr>
          <w:rFonts w:ascii="Times New Roman" w:eastAsia="SimSun" w:hAnsi="Times New Roman" w:cs="Times New Roman"/>
          <w:kern w:val="3"/>
          <w:lang w:eastAsia="en-US"/>
        </w:rPr>
        <w:t xml:space="preserve">, </w:t>
      </w:r>
      <w:r w:rsidRPr="00F06767">
        <w:rPr>
          <w:rFonts w:ascii="Times New Roman" w:eastAsia="SimSun" w:hAnsi="Times New Roman" w:cs="Times New Roman"/>
          <w:kern w:val="3"/>
          <w:lang w:eastAsia="en-US"/>
        </w:rPr>
        <w:t>39</w:t>
      </w:r>
      <w:r w:rsidR="00457C82">
        <w:rPr>
          <w:rFonts w:ascii="Times New Roman" w:eastAsia="SimSun" w:hAnsi="Times New Roman" w:cs="Times New Roman"/>
          <w:kern w:val="3"/>
          <w:lang w:eastAsia="en-US"/>
        </w:rPr>
        <w:t xml:space="preserve">, </w:t>
      </w:r>
      <w:r w:rsidRPr="00F06767">
        <w:rPr>
          <w:rFonts w:ascii="Times New Roman" w:eastAsia="SimSun" w:hAnsi="Times New Roman" w:cs="Times New Roman"/>
          <w:kern w:val="3"/>
          <w:lang w:eastAsia="en-US"/>
        </w:rPr>
        <w:t xml:space="preserve">210-222. </w:t>
      </w:r>
    </w:p>
    <w:p w14:paraId="5E1B3791" w14:textId="4BB2EFB5" w:rsidR="00147C41" w:rsidRPr="000A1695" w:rsidRDefault="00457C82" w:rsidP="003D25A1">
      <w:pPr>
        <w:suppressAutoHyphens/>
        <w:autoSpaceDN w:val="0"/>
        <w:spacing w:after="120" w:line="240" w:lineRule="auto"/>
        <w:textAlignment w:val="baseline"/>
        <w:rPr>
          <w:rFonts w:ascii="Times New Roman" w:eastAsia="SimSun" w:hAnsi="Times New Roman" w:cs="Times New Roman"/>
          <w:color w:val="000000" w:themeColor="text1"/>
          <w:kern w:val="3"/>
          <w:szCs w:val="24"/>
          <w:lang w:val="en-US" w:eastAsia="en-US"/>
        </w:rPr>
      </w:pPr>
      <w:r>
        <w:rPr>
          <w:rFonts w:ascii="Times New Roman" w:eastAsia="SimSun" w:hAnsi="Times New Roman" w:cs="Times New Roman"/>
          <w:color w:val="000000" w:themeColor="text1"/>
          <w:kern w:val="3"/>
          <w:szCs w:val="24"/>
          <w:lang w:val="en-US" w:eastAsia="en-US"/>
        </w:rPr>
        <w:t xml:space="preserve">Chen, A., Chen, L.W. &amp; Kao, L. (2010). </w:t>
      </w:r>
      <w:r w:rsidR="00147C41" w:rsidRPr="00C72A40">
        <w:rPr>
          <w:rFonts w:ascii="Times New Roman" w:eastAsia="SimSun" w:hAnsi="Times New Roman" w:cs="Times New Roman"/>
          <w:color w:val="000000" w:themeColor="text1"/>
          <w:kern w:val="3"/>
          <w:szCs w:val="24"/>
          <w:lang w:val="en-US" w:eastAsia="en-US"/>
        </w:rPr>
        <w:t xml:space="preserve">Leverage, </w:t>
      </w:r>
      <w:proofErr w:type="gramStart"/>
      <w:r w:rsidR="00147C41" w:rsidRPr="00C72A40">
        <w:rPr>
          <w:rFonts w:ascii="Times New Roman" w:eastAsia="SimSun" w:hAnsi="Times New Roman" w:cs="Times New Roman"/>
          <w:color w:val="000000" w:themeColor="text1"/>
          <w:kern w:val="3"/>
          <w:szCs w:val="24"/>
          <w:lang w:val="en-US" w:eastAsia="en-US"/>
        </w:rPr>
        <w:t>liquidity</w:t>
      </w:r>
      <w:proofErr w:type="gramEnd"/>
      <w:r w:rsidR="00147C41" w:rsidRPr="00C72A40">
        <w:rPr>
          <w:rFonts w:ascii="Times New Roman" w:eastAsia="SimSun" w:hAnsi="Times New Roman" w:cs="Times New Roman"/>
          <w:color w:val="000000" w:themeColor="text1"/>
          <w:kern w:val="3"/>
          <w:szCs w:val="24"/>
          <w:lang w:val="en-US" w:eastAsia="en-US"/>
        </w:rPr>
        <w:t xml:space="preserve"> and IPO long-run performance: evidence from Taiwan IPO markets</w:t>
      </w:r>
      <w:r w:rsidR="00E80B28">
        <w:rPr>
          <w:rFonts w:ascii="Times New Roman" w:eastAsia="SimSun" w:hAnsi="Times New Roman" w:cs="Times New Roman"/>
          <w:color w:val="000000" w:themeColor="text1"/>
          <w:kern w:val="3"/>
          <w:szCs w:val="24"/>
          <w:lang w:val="en-US" w:eastAsia="en-US"/>
        </w:rPr>
        <w:t>.</w:t>
      </w:r>
      <w:r w:rsidR="00147C41" w:rsidRPr="00C72A40">
        <w:rPr>
          <w:rFonts w:ascii="Times New Roman" w:eastAsia="SimSun" w:hAnsi="Times New Roman" w:cs="Times New Roman"/>
          <w:color w:val="000000" w:themeColor="text1"/>
          <w:kern w:val="3"/>
          <w:szCs w:val="24"/>
          <w:lang w:val="en-US" w:eastAsia="en-US"/>
        </w:rPr>
        <w:t xml:space="preserve"> </w:t>
      </w:r>
      <w:r w:rsidR="00147C41" w:rsidRPr="00C72A40">
        <w:rPr>
          <w:rFonts w:ascii="Times New Roman" w:eastAsia="SimSun" w:hAnsi="Times New Roman" w:cs="Times New Roman"/>
          <w:i/>
          <w:color w:val="000000" w:themeColor="text1"/>
          <w:kern w:val="3"/>
          <w:szCs w:val="24"/>
          <w:lang w:val="en-US" w:eastAsia="en-US"/>
        </w:rPr>
        <w:t>International Journal of Accounting and Information Management</w:t>
      </w:r>
      <w:r>
        <w:rPr>
          <w:rFonts w:ascii="Times New Roman" w:eastAsia="SimSun" w:hAnsi="Times New Roman" w:cs="Times New Roman"/>
          <w:color w:val="000000" w:themeColor="text1"/>
          <w:kern w:val="3"/>
          <w:szCs w:val="24"/>
          <w:lang w:val="en-US" w:eastAsia="en-US"/>
        </w:rPr>
        <w:t xml:space="preserve">, 18 (1) </w:t>
      </w:r>
      <w:r w:rsidR="00147C41" w:rsidRPr="00C72A40">
        <w:rPr>
          <w:rFonts w:ascii="Times New Roman" w:eastAsia="SimSun" w:hAnsi="Times New Roman" w:cs="Times New Roman"/>
          <w:color w:val="000000" w:themeColor="text1"/>
          <w:kern w:val="3"/>
          <w:szCs w:val="24"/>
          <w:lang w:val="en-US" w:eastAsia="en-US"/>
        </w:rPr>
        <w:t>31-38.</w:t>
      </w:r>
    </w:p>
    <w:p w14:paraId="552F8FF7" w14:textId="7054DDEC" w:rsidR="00147C41" w:rsidRPr="00C72A40" w:rsidRDefault="00147C41" w:rsidP="003D25A1">
      <w:pPr>
        <w:suppressAutoHyphens/>
        <w:autoSpaceDN w:val="0"/>
        <w:spacing w:after="120" w:line="240" w:lineRule="auto"/>
        <w:textAlignment w:val="baseline"/>
        <w:rPr>
          <w:rFonts w:ascii="Times New Roman" w:eastAsia="SimSun" w:hAnsi="Times New Roman" w:cs="Times New Roman"/>
          <w:color w:val="000000" w:themeColor="text1"/>
          <w:kern w:val="3"/>
          <w:szCs w:val="24"/>
          <w:lang w:eastAsia="en-US"/>
        </w:rPr>
      </w:pPr>
      <w:r w:rsidRPr="00C72A40">
        <w:rPr>
          <w:rFonts w:ascii="Times New Roman" w:eastAsia="SimSun" w:hAnsi="Times New Roman" w:cs="Times New Roman"/>
          <w:color w:val="000000" w:themeColor="text1"/>
          <w:kern w:val="3"/>
          <w:szCs w:val="24"/>
          <w:lang w:eastAsia="en-US"/>
        </w:rPr>
        <w:t>Cheung,</w:t>
      </w:r>
      <w:r w:rsidR="00457C82">
        <w:rPr>
          <w:rFonts w:ascii="Times New Roman" w:eastAsia="SimSun" w:hAnsi="Times New Roman" w:cs="Times New Roman"/>
          <w:color w:val="000000" w:themeColor="text1"/>
          <w:kern w:val="3"/>
          <w:szCs w:val="24"/>
          <w:lang w:eastAsia="en-US"/>
        </w:rPr>
        <w:t xml:space="preserve"> W.K.A. &amp; Wei, K.C.J. (2006). </w:t>
      </w:r>
      <w:r w:rsidRPr="00C72A40">
        <w:rPr>
          <w:rFonts w:ascii="Times New Roman" w:eastAsia="SimSun" w:hAnsi="Times New Roman" w:cs="Times New Roman"/>
          <w:color w:val="000000" w:themeColor="text1"/>
          <w:kern w:val="3"/>
          <w:szCs w:val="24"/>
          <w:lang w:eastAsia="en-US"/>
        </w:rPr>
        <w:t xml:space="preserve">Insider </w:t>
      </w:r>
      <w:r>
        <w:rPr>
          <w:rFonts w:ascii="Times New Roman" w:eastAsia="SimSun" w:hAnsi="Times New Roman" w:cs="Times New Roman"/>
          <w:color w:val="000000" w:themeColor="text1"/>
          <w:kern w:val="3"/>
          <w:szCs w:val="24"/>
          <w:lang w:eastAsia="en-US"/>
        </w:rPr>
        <w:t>o</w:t>
      </w:r>
      <w:r w:rsidRPr="00C72A40">
        <w:rPr>
          <w:rFonts w:ascii="Times New Roman" w:eastAsia="SimSun" w:hAnsi="Times New Roman" w:cs="Times New Roman"/>
          <w:color w:val="000000" w:themeColor="text1"/>
          <w:kern w:val="3"/>
          <w:szCs w:val="24"/>
          <w:lang w:eastAsia="en-US"/>
        </w:rPr>
        <w:t xml:space="preserve">wnership and </w:t>
      </w:r>
      <w:r>
        <w:rPr>
          <w:rFonts w:ascii="Times New Roman" w:eastAsia="SimSun" w:hAnsi="Times New Roman" w:cs="Times New Roman"/>
          <w:color w:val="000000" w:themeColor="text1"/>
          <w:kern w:val="3"/>
          <w:szCs w:val="24"/>
          <w:lang w:eastAsia="en-US"/>
        </w:rPr>
        <w:t>c</w:t>
      </w:r>
      <w:r w:rsidRPr="00C72A40">
        <w:rPr>
          <w:rFonts w:ascii="Times New Roman" w:eastAsia="SimSun" w:hAnsi="Times New Roman" w:cs="Times New Roman"/>
          <w:color w:val="000000" w:themeColor="text1"/>
          <w:kern w:val="3"/>
          <w:szCs w:val="24"/>
          <w:lang w:eastAsia="en-US"/>
        </w:rPr>
        <w:t xml:space="preserve">orporate </w:t>
      </w:r>
      <w:r>
        <w:rPr>
          <w:rFonts w:ascii="Times New Roman" w:eastAsia="SimSun" w:hAnsi="Times New Roman" w:cs="Times New Roman"/>
          <w:color w:val="000000" w:themeColor="text1"/>
          <w:kern w:val="3"/>
          <w:szCs w:val="24"/>
          <w:lang w:eastAsia="en-US"/>
        </w:rPr>
        <w:t>p</w:t>
      </w:r>
      <w:r w:rsidRPr="00C72A40">
        <w:rPr>
          <w:rFonts w:ascii="Times New Roman" w:eastAsia="SimSun" w:hAnsi="Times New Roman" w:cs="Times New Roman"/>
          <w:color w:val="000000" w:themeColor="text1"/>
          <w:kern w:val="3"/>
          <w:szCs w:val="24"/>
          <w:lang w:eastAsia="en-US"/>
        </w:rPr>
        <w:t xml:space="preserve">erformance: </w:t>
      </w:r>
      <w:r>
        <w:rPr>
          <w:rFonts w:ascii="Times New Roman" w:eastAsia="SimSun" w:hAnsi="Times New Roman" w:cs="Times New Roman"/>
          <w:color w:val="000000" w:themeColor="text1"/>
          <w:kern w:val="3"/>
          <w:szCs w:val="24"/>
          <w:lang w:eastAsia="en-US"/>
        </w:rPr>
        <w:t>e</w:t>
      </w:r>
      <w:r w:rsidRPr="00C72A40">
        <w:rPr>
          <w:rFonts w:ascii="Times New Roman" w:eastAsia="SimSun" w:hAnsi="Times New Roman" w:cs="Times New Roman"/>
          <w:color w:val="000000" w:themeColor="text1"/>
          <w:kern w:val="3"/>
          <w:szCs w:val="24"/>
          <w:lang w:eastAsia="en-US"/>
        </w:rPr>
        <w:t xml:space="preserve">vidence from the </w:t>
      </w:r>
      <w:r>
        <w:rPr>
          <w:rFonts w:ascii="Times New Roman" w:eastAsia="SimSun" w:hAnsi="Times New Roman" w:cs="Times New Roman"/>
          <w:color w:val="000000" w:themeColor="text1"/>
          <w:kern w:val="3"/>
          <w:szCs w:val="24"/>
          <w:lang w:eastAsia="en-US"/>
        </w:rPr>
        <w:t>a</w:t>
      </w:r>
      <w:r w:rsidRPr="00C72A40">
        <w:rPr>
          <w:rFonts w:ascii="Times New Roman" w:eastAsia="SimSun" w:hAnsi="Times New Roman" w:cs="Times New Roman"/>
          <w:color w:val="000000" w:themeColor="text1"/>
          <w:kern w:val="3"/>
          <w:szCs w:val="24"/>
          <w:lang w:eastAsia="en-US"/>
        </w:rPr>
        <w:t xml:space="preserve">djustment </w:t>
      </w:r>
      <w:r>
        <w:rPr>
          <w:rFonts w:ascii="Times New Roman" w:eastAsia="SimSun" w:hAnsi="Times New Roman" w:cs="Times New Roman"/>
          <w:color w:val="000000" w:themeColor="text1"/>
          <w:kern w:val="3"/>
          <w:szCs w:val="24"/>
          <w:lang w:eastAsia="en-US"/>
        </w:rPr>
        <w:t>c</w:t>
      </w:r>
      <w:r w:rsidRPr="00C72A40">
        <w:rPr>
          <w:rFonts w:ascii="Times New Roman" w:eastAsia="SimSun" w:hAnsi="Times New Roman" w:cs="Times New Roman"/>
          <w:color w:val="000000" w:themeColor="text1"/>
          <w:kern w:val="3"/>
          <w:szCs w:val="24"/>
          <w:lang w:eastAsia="en-US"/>
        </w:rPr>
        <w:t xml:space="preserve">ost </w:t>
      </w:r>
      <w:r>
        <w:rPr>
          <w:rFonts w:ascii="Times New Roman" w:eastAsia="SimSun" w:hAnsi="Times New Roman" w:cs="Times New Roman"/>
          <w:color w:val="000000" w:themeColor="text1"/>
          <w:kern w:val="3"/>
          <w:szCs w:val="24"/>
          <w:lang w:eastAsia="en-US"/>
        </w:rPr>
        <w:t>a</w:t>
      </w:r>
      <w:r w:rsidRPr="00C72A40">
        <w:rPr>
          <w:rFonts w:ascii="Times New Roman" w:eastAsia="SimSun" w:hAnsi="Times New Roman" w:cs="Times New Roman"/>
          <w:color w:val="000000" w:themeColor="text1"/>
          <w:kern w:val="3"/>
          <w:szCs w:val="24"/>
          <w:lang w:eastAsia="en-US"/>
        </w:rPr>
        <w:t>pproach</w:t>
      </w:r>
      <w:r w:rsidR="00457C82">
        <w:rPr>
          <w:rFonts w:ascii="Times New Roman" w:eastAsia="Times New Roman" w:hAnsi="Times New Roman" w:cs="Times New Roman"/>
          <w:color w:val="000000" w:themeColor="text1"/>
          <w:szCs w:val="24"/>
        </w:rPr>
        <w:t>.</w:t>
      </w:r>
      <w:r w:rsidRPr="00C72A40">
        <w:rPr>
          <w:rFonts w:ascii="Times New Roman" w:eastAsia="SimSun" w:hAnsi="Times New Roman" w:cs="Times New Roman"/>
          <w:color w:val="000000" w:themeColor="text1"/>
          <w:kern w:val="3"/>
          <w:szCs w:val="24"/>
          <w:lang w:eastAsia="en-US"/>
        </w:rPr>
        <w:t xml:space="preserve"> </w:t>
      </w:r>
      <w:r w:rsidRPr="00C72A40">
        <w:rPr>
          <w:rFonts w:ascii="Times New Roman" w:eastAsia="SimSun" w:hAnsi="Times New Roman" w:cs="Times New Roman"/>
          <w:i/>
          <w:color w:val="000000" w:themeColor="text1"/>
          <w:kern w:val="3"/>
          <w:szCs w:val="24"/>
          <w:lang w:eastAsia="en-US"/>
        </w:rPr>
        <w:t xml:space="preserve">Journal of Corporate Finance, </w:t>
      </w:r>
      <w:r w:rsidRPr="00C72A40">
        <w:rPr>
          <w:rFonts w:ascii="Times New Roman" w:eastAsia="SimSun" w:hAnsi="Times New Roman" w:cs="Times New Roman"/>
          <w:color w:val="000000" w:themeColor="text1"/>
          <w:kern w:val="3"/>
          <w:szCs w:val="24"/>
          <w:lang w:eastAsia="en-US"/>
        </w:rPr>
        <w:t>12</w:t>
      </w:r>
      <w:r w:rsidR="00457C82">
        <w:rPr>
          <w:rFonts w:ascii="Times New Roman" w:eastAsia="SimSun" w:hAnsi="Times New Roman" w:cs="Times New Roman"/>
          <w:color w:val="000000" w:themeColor="text1"/>
          <w:kern w:val="3"/>
          <w:szCs w:val="24"/>
          <w:lang w:eastAsia="en-US"/>
        </w:rPr>
        <w:t xml:space="preserve"> (5), </w:t>
      </w:r>
      <w:r w:rsidRPr="00C72A40">
        <w:rPr>
          <w:rFonts w:ascii="Times New Roman" w:eastAsia="SimSun" w:hAnsi="Times New Roman" w:cs="Times New Roman"/>
          <w:color w:val="000000" w:themeColor="text1"/>
          <w:kern w:val="3"/>
          <w:szCs w:val="24"/>
          <w:lang w:eastAsia="en-US"/>
        </w:rPr>
        <w:t>906</w:t>
      </w:r>
      <w:r>
        <w:rPr>
          <w:rFonts w:ascii="Times New Roman" w:eastAsia="SimSun" w:hAnsi="Times New Roman" w:cs="Times New Roman"/>
          <w:color w:val="000000" w:themeColor="text1"/>
          <w:kern w:val="3"/>
          <w:szCs w:val="24"/>
          <w:lang w:eastAsia="en-US"/>
        </w:rPr>
        <w:t>-</w:t>
      </w:r>
      <w:r w:rsidRPr="00C72A40">
        <w:rPr>
          <w:rFonts w:ascii="Times New Roman" w:eastAsia="SimSun" w:hAnsi="Times New Roman" w:cs="Times New Roman"/>
          <w:color w:val="000000" w:themeColor="text1"/>
          <w:kern w:val="3"/>
          <w:szCs w:val="24"/>
          <w:lang w:eastAsia="en-US"/>
        </w:rPr>
        <w:t>925.</w:t>
      </w:r>
    </w:p>
    <w:p w14:paraId="1CB2CBDA" w14:textId="154D71FF" w:rsidR="00147C41" w:rsidRPr="004B0B59" w:rsidRDefault="00147C41" w:rsidP="003D25A1">
      <w:pPr>
        <w:suppressAutoHyphens/>
        <w:autoSpaceDN w:val="0"/>
        <w:spacing w:after="120" w:line="240" w:lineRule="auto"/>
        <w:textAlignment w:val="baseline"/>
        <w:rPr>
          <w:rFonts w:ascii="Times New Roman" w:eastAsia="SimSun" w:hAnsi="Times New Roman" w:cs="Times New Roman"/>
          <w:color w:val="000000" w:themeColor="text1"/>
          <w:kern w:val="3"/>
          <w:szCs w:val="24"/>
          <w:lang w:eastAsia="en-US"/>
        </w:rPr>
      </w:pPr>
      <w:r w:rsidRPr="00C72A40">
        <w:rPr>
          <w:rFonts w:ascii="Times New Roman" w:eastAsia="SimSun" w:hAnsi="Times New Roman" w:cs="Times New Roman"/>
          <w:color w:val="000000" w:themeColor="text1"/>
          <w:kern w:val="3"/>
          <w:szCs w:val="24"/>
          <w:lang w:eastAsia="en-US"/>
        </w:rPr>
        <w:t>Cho, M., Ibrahim, S.</w:t>
      </w:r>
      <w:r w:rsidR="00457C82">
        <w:rPr>
          <w:rFonts w:ascii="Times New Roman" w:eastAsia="SimSun" w:hAnsi="Times New Roman" w:cs="Times New Roman"/>
          <w:color w:val="000000" w:themeColor="text1"/>
          <w:kern w:val="3"/>
          <w:szCs w:val="24"/>
          <w:lang w:eastAsia="en-US"/>
        </w:rPr>
        <w:t xml:space="preserve"> &amp; Yan, Y. (2019). </w:t>
      </w:r>
      <w:r w:rsidRPr="00C72A40">
        <w:rPr>
          <w:rFonts w:ascii="Times New Roman" w:eastAsia="SimSun" w:hAnsi="Times New Roman" w:cs="Times New Roman"/>
          <w:color w:val="000000" w:themeColor="text1"/>
          <w:kern w:val="3"/>
          <w:szCs w:val="24"/>
          <w:lang w:eastAsia="en-US"/>
        </w:rPr>
        <w:t>The use of nonfinancial performance measures in CEO bonus compensation’. </w:t>
      </w:r>
      <w:r w:rsidRPr="00C72A40">
        <w:rPr>
          <w:rFonts w:ascii="Times New Roman" w:eastAsia="SimSun" w:hAnsi="Times New Roman" w:cs="Times New Roman"/>
          <w:i/>
          <w:iCs/>
          <w:color w:val="000000" w:themeColor="text1"/>
          <w:kern w:val="3"/>
          <w:szCs w:val="24"/>
          <w:lang w:eastAsia="en-US"/>
        </w:rPr>
        <w:t>Corporate Governance: An International Review</w:t>
      </w:r>
      <w:r w:rsidRPr="00C72A40">
        <w:rPr>
          <w:rFonts w:ascii="Times New Roman" w:eastAsia="SimSun" w:hAnsi="Times New Roman" w:cs="Times New Roman"/>
          <w:color w:val="000000" w:themeColor="text1"/>
          <w:kern w:val="3"/>
          <w:szCs w:val="24"/>
          <w:lang w:eastAsia="en-US"/>
        </w:rPr>
        <w:t>, </w:t>
      </w:r>
      <w:r w:rsidRPr="00457C82">
        <w:rPr>
          <w:rFonts w:ascii="Times New Roman" w:eastAsia="SimSun" w:hAnsi="Times New Roman" w:cs="Times New Roman"/>
          <w:iCs/>
          <w:color w:val="000000" w:themeColor="text1"/>
          <w:kern w:val="3"/>
          <w:szCs w:val="24"/>
          <w:lang w:eastAsia="en-US"/>
        </w:rPr>
        <w:t>27</w:t>
      </w:r>
      <w:r w:rsidR="00457C82" w:rsidRPr="00457C82">
        <w:rPr>
          <w:rFonts w:ascii="Times New Roman" w:eastAsia="SimSun" w:hAnsi="Times New Roman" w:cs="Times New Roman"/>
          <w:iCs/>
          <w:color w:val="000000" w:themeColor="text1"/>
          <w:kern w:val="3"/>
          <w:szCs w:val="24"/>
          <w:lang w:eastAsia="en-US"/>
        </w:rPr>
        <w:t xml:space="preserve"> (</w:t>
      </w:r>
      <w:r w:rsidRPr="00457C82">
        <w:rPr>
          <w:rFonts w:ascii="Times New Roman" w:eastAsia="SimSun" w:hAnsi="Times New Roman" w:cs="Times New Roman"/>
          <w:color w:val="000000" w:themeColor="text1"/>
          <w:kern w:val="3"/>
          <w:szCs w:val="24"/>
          <w:lang w:eastAsia="en-US"/>
        </w:rPr>
        <w:t>4</w:t>
      </w:r>
      <w:r w:rsidR="00457C82" w:rsidRPr="00457C82">
        <w:rPr>
          <w:rFonts w:ascii="Times New Roman" w:eastAsia="SimSun" w:hAnsi="Times New Roman" w:cs="Times New Roman"/>
          <w:color w:val="000000" w:themeColor="text1"/>
          <w:kern w:val="3"/>
          <w:szCs w:val="24"/>
          <w:lang w:eastAsia="en-US"/>
        </w:rPr>
        <w:t>)</w:t>
      </w:r>
      <w:r w:rsidRPr="00457C82">
        <w:rPr>
          <w:rFonts w:ascii="Times New Roman" w:eastAsia="SimSun" w:hAnsi="Times New Roman" w:cs="Times New Roman"/>
          <w:color w:val="000000" w:themeColor="text1"/>
          <w:kern w:val="3"/>
          <w:szCs w:val="24"/>
          <w:lang w:eastAsia="en-US"/>
        </w:rPr>
        <w:t>,</w:t>
      </w:r>
      <w:r w:rsidRPr="00C72A40">
        <w:rPr>
          <w:rFonts w:ascii="Times New Roman" w:eastAsia="SimSun" w:hAnsi="Times New Roman" w:cs="Times New Roman"/>
          <w:color w:val="000000" w:themeColor="text1"/>
          <w:kern w:val="3"/>
          <w:szCs w:val="24"/>
          <w:lang w:eastAsia="en-US"/>
        </w:rPr>
        <w:t xml:space="preserve"> 301-316.</w:t>
      </w:r>
    </w:p>
    <w:p w14:paraId="12432ADD" w14:textId="3E511333" w:rsidR="00147C41" w:rsidRPr="002E7A04" w:rsidRDefault="00147C41" w:rsidP="003D25A1">
      <w:pPr>
        <w:suppressAutoHyphens/>
        <w:autoSpaceDN w:val="0"/>
        <w:spacing w:after="120" w:line="240" w:lineRule="auto"/>
        <w:textAlignment w:val="baseline"/>
        <w:rPr>
          <w:rFonts w:ascii="Times New Roman" w:eastAsia="SimSun" w:hAnsi="Times New Roman" w:cs="Times New Roman"/>
          <w:color w:val="000000" w:themeColor="text1"/>
          <w:kern w:val="3"/>
          <w:szCs w:val="24"/>
          <w:lang w:val="en-US" w:eastAsia="en-US"/>
        </w:rPr>
      </w:pPr>
      <w:r w:rsidRPr="00C72A40">
        <w:rPr>
          <w:rFonts w:ascii="Times New Roman" w:eastAsia="SimSun" w:hAnsi="Times New Roman" w:cs="Times New Roman"/>
          <w:color w:val="000000" w:themeColor="text1"/>
          <w:kern w:val="3"/>
          <w:szCs w:val="24"/>
          <w:lang w:val="en-US" w:eastAsia="en-US"/>
        </w:rPr>
        <w:t>Chu, Y., Liu, M., Ma, T.</w:t>
      </w:r>
      <w:r w:rsidR="00457C82">
        <w:rPr>
          <w:rFonts w:ascii="Times New Roman" w:eastAsia="SimSun" w:hAnsi="Times New Roman" w:cs="Times New Roman"/>
          <w:color w:val="000000" w:themeColor="text1"/>
          <w:kern w:val="3"/>
          <w:szCs w:val="24"/>
          <w:lang w:val="en-US" w:eastAsia="en-US"/>
        </w:rPr>
        <w:t xml:space="preserve"> &amp; Li, X. (2020). </w:t>
      </w:r>
      <w:r w:rsidRPr="00C72A40">
        <w:rPr>
          <w:rFonts w:ascii="Times New Roman" w:eastAsia="SimSun" w:hAnsi="Times New Roman" w:cs="Times New Roman"/>
          <w:color w:val="000000" w:themeColor="text1"/>
          <w:kern w:val="3"/>
          <w:szCs w:val="24"/>
          <w:lang w:val="en-US" w:eastAsia="en-US"/>
        </w:rPr>
        <w:t>Executive compensation and corporate risk-taking: Evide</w:t>
      </w:r>
      <w:r w:rsidR="00457C82">
        <w:rPr>
          <w:rFonts w:ascii="Times New Roman" w:eastAsia="SimSun" w:hAnsi="Times New Roman" w:cs="Times New Roman"/>
          <w:color w:val="000000" w:themeColor="text1"/>
          <w:kern w:val="3"/>
          <w:szCs w:val="24"/>
          <w:lang w:val="en-US" w:eastAsia="en-US"/>
        </w:rPr>
        <w:t>nce from private loan contracts.</w:t>
      </w:r>
      <w:r w:rsidRPr="00C72A40">
        <w:rPr>
          <w:rFonts w:ascii="Times New Roman" w:eastAsia="SimSun" w:hAnsi="Times New Roman" w:cs="Times New Roman"/>
          <w:color w:val="000000" w:themeColor="text1"/>
          <w:kern w:val="3"/>
          <w:szCs w:val="24"/>
          <w:lang w:val="en-US" w:eastAsia="en-US"/>
        </w:rPr>
        <w:t> </w:t>
      </w:r>
      <w:r w:rsidRPr="00C72A40">
        <w:rPr>
          <w:rFonts w:ascii="Times New Roman" w:eastAsia="SimSun" w:hAnsi="Times New Roman" w:cs="Times New Roman"/>
          <w:i/>
          <w:iCs/>
          <w:color w:val="000000" w:themeColor="text1"/>
          <w:kern w:val="3"/>
          <w:szCs w:val="24"/>
          <w:lang w:val="en-US" w:eastAsia="en-US"/>
        </w:rPr>
        <w:t>Journal of Corporate Finance</w:t>
      </w:r>
      <w:r w:rsidRPr="00C72A40">
        <w:rPr>
          <w:rFonts w:ascii="Times New Roman" w:eastAsia="SimSun" w:hAnsi="Times New Roman" w:cs="Times New Roman"/>
          <w:color w:val="000000" w:themeColor="text1"/>
          <w:kern w:val="3"/>
          <w:szCs w:val="24"/>
          <w:lang w:val="en-US" w:eastAsia="en-US"/>
        </w:rPr>
        <w:t>, </w:t>
      </w:r>
      <w:r w:rsidRPr="00C72A40">
        <w:rPr>
          <w:rFonts w:ascii="Times New Roman" w:eastAsia="SimSun" w:hAnsi="Times New Roman" w:cs="Times New Roman"/>
          <w:iCs/>
          <w:color w:val="000000" w:themeColor="text1"/>
          <w:kern w:val="3"/>
          <w:szCs w:val="24"/>
          <w:lang w:val="en-US" w:eastAsia="en-US"/>
        </w:rPr>
        <w:t>64</w:t>
      </w:r>
      <w:r w:rsidRPr="00C72A40">
        <w:rPr>
          <w:rFonts w:ascii="Times New Roman" w:eastAsia="SimSun" w:hAnsi="Times New Roman" w:cs="Times New Roman"/>
          <w:color w:val="000000" w:themeColor="text1"/>
          <w:kern w:val="3"/>
          <w:szCs w:val="24"/>
          <w:lang w:val="en-US" w:eastAsia="en-US"/>
        </w:rPr>
        <w:t>, 101683.</w:t>
      </w:r>
      <w:r w:rsidRPr="00271167">
        <w:t xml:space="preserve"> </w:t>
      </w:r>
    </w:p>
    <w:p w14:paraId="35D00A65" w14:textId="6B0A62AD" w:rsidR="00147C41" w:rsidRDefault="00457C82" w:rsidP="003D25A1">
      <w:pPr>
        <w:spacing w:line="240" w:lineRule="auto"/>
        <w:jc w:val="both"/>
        <w:rPr>
          <w:rFonts w:ascii="Times New Roman" w:eastAsia="SimSun" w:hAnsi="Times New Roman" w:cs="Times New Roman"/>
          <w:kern w:val="3"/>
          <w:lang w:eastAsia="en-US"/>
        </w:rPr>
      </w:pPr>
      <w:r>
        <w:rPr>
          <w:rFonts w:ascii="Times New Roman" w:eastAsia="SimSun" w:hAnsi="Times New Roman" w:cs="Times New Roman"/>
          <w:kern w:val="3"/>
          <w:lang w:eastAsia="en-US"/>
        </w:rPr>
        <w:t>Coles, J.L., Daniel, N.D. &amp;</w:t>
      </w:r>
      <w:r w:rsidR="00147C41" w:rsidRPr="00F06767">
        <w:rPr>
          <w:rFonts w:ascii="Times New Roman" w:eastAsia="SimSun" w:hAnsi="Times New Roman" w:cs="Times New Roman"/>
          <w:kern w:val="3"/>
          <w:lang w:eastAsia="en-US"/>
        </w:rPr>
        <w:t xml:space="preserve"> Naveen, L. (2006)</w:t>
      </w:r>
      <w:r>
        <w:rPr>
          <w:rFonts w:ascii="Times New Roman" w:hAnsi="Times New Roman" w:cs="Times New Roman"/>
        </w:rPr>
        <w:t xml:space="preserve">. </w:t>
      </w:r>
      <w:r w:rsidR="00147C41" w:rsidRPr="00F06767">
        <w:rPr>
          <w:rFonts w:ascii="Times New Roman" w:eastAsia="SimSun" w:hAnsi="Times New Roman" w:cs="Times New Roman"/>
          <w:kern w:val="3"/>
          <w:lang w:eastAsia="en-US"/>
        </w:rPr>
        <w:t>Managerial incentives and risk-taking</w:t>
      </w:r>
      <w:r w:rsidR="00147C41" w:rsidRPr="00F06767">
        <w:rPr>
          <w:rFonts w:ascii="Times New Roman" w:hAnsi="Times New Roman" w:cs="Times New Roman"/>
        </w:rPr>
        <w:t>,</w:t>
      </w:r>
      <w:r w:rsidR="00147C41" w:rsidRPr="00F06767">
        <w:rPr>
          <w:rFonts w:ascii="Times New Roman" w:eastAsia="SimSun" w:hAnsi="Times New Roman" w:cs="Times New Roman"/>
          <w:kern w:val="3"/>
          <w:lang w:eastAsia="en-US"/>
        </w:rPr>
        <w:t xml:space="preserve"> </w:t>
      </w:r>
      <w:r w:rsidR="00147C41" w:rsidRPr="00F06767">
        <w:rPr>
          <w:rFonts w:ascii="Times New Roman" w:eastAsia="SimSun" w:hAnsi="Times New Roman" w:cs="Times New Roman"/>
          <w:i/>
          <w:kern w:val="3"/>
          <w:lang w:eastAsia="en-US"/>
        </w:rPr>
        <w:t>Journal of Financial Economics</w:t>
      </w:r>
      <w:r>
        <w:rPr>
          <w:rFonts w:ascii="Times New Roman" w:eastAsia="SimSun" w:hAnsi="Times New Roman" w:cs="Times New Roman"/>
          <w:kern w:val="3"/>
          <w:lang w:eastAsia="en-US"/>
        </w:rPr>
        <w:t xml:space="preserve">, </w:t>
      </w:r>
      <w:r w:rsidR="00147C41" w:rsidRPr="00F06767">
        <w:rPr>
          <w:rFonts w:ascii="Times New Roman" w:eastAsia="SimSun" w:hAnsi="Times New Roman" w:cs="Times New Roman"/>
          <w:kern w:val="3"/>
          <w:lang w:eastAsia="en-US"/>
        </w:rPr>
        <w:t>79</w:t>
      </w:r>
      <w:r>
        <w:rPr>
          <w:rFonts w:ascii="Times New Roman" w:eastAsia="SimSun" w:hAnsi="Times New Roman" w:cs="Times New Roman"/>
          <w:kern w:val="3"/>
          <w:lang w:eastAsia="en-US"/>
        </w:rPr>
        <w:t xml:space="preserve"> (2)</w:t>
      </w:r>
      <w:r w:rsidR="00147C41" w:rsidRPr="00F06767">
        <w:rPr>
          <w:rFonts w:ascii="Times New Roman" w:eastAsia="SimSun" w:hAnsi="Times New Roman" w:cs="Times New Roman"/>
          <w:kern w:val="3"/>
          <w:lang w:eastAsia="en-US"/>
        </w:rPr>
        <w:t>, pp. 431-468.</w:t>
      </w:r>
    </w:p>
    <w:p w14:paraId="092BA1AE" w14:textId="7D7C8559" w:rsidR="00147C41" w:rsidRPr="00F06767" w:rsidRDefault="00147C41" w:rsidP="003D25A1">
      <w:pPr>
        <w:spacing w:line="240" w:lineRule="auto"/>
        <w:jc w:val="both"/>
        <w:rPr>
          <w:rFonts w:ascii="Times New Roman" w:eastAsia="SimSun" w:hAnsi="Times New Roman" w:cs="Times New Roman"/>
          <w:kern w:val="3"/>
          <w:lang w:eastAsia="en-US"/>
        </w:rPr>
      </w:pPr>
      <w:r w:rsidRPr="00C72A40">
        <w:rPr>
          <w:rFonts w:ascii="Times New Roman" w:eastAsia="Times New Roman" w:hAnsi="Times New Roman" w:cs="Times New Roman"/>
          <w:color w:val="000000" w:themeColor="text1"/>
          <w:szCs w:val="24"/>
        </w:rPr>
        <w:t>Cole</w:t>
      </w:r>
      <w:r w:rsidR="00457C82">
        <w:rPr>
          <w:rFonts w:ascii="Times New Roman" w:eastAsia="Times New Roman" w:hAnsi="Times New Roman" w:cs="Times New Roman"/>
          <w:color w:val="000000" w:themeColor="text1"/>
          <w:szCs w:val="24"/>
        </w:rPr>
        <w:t xml:space="preserve">s, J.L., Lemmon, M.L. &amp; </w:t>
      </w:r>
      <w:proofErr w:type="spellStart"/>
      <w:r w:rsidR="00457C82">
        <w:rPr>
          <w:rFonts w:ascii="Times New Roman" w:eastAsia="Times New Roman" w:hAnsi="Times New Roman" w:cs="Times New Roman"/>
          <w:color w:val="000000" w:themeColor="text1"/>
          <w:szCs w:val="24"/>
        </w:rPr>
        <w:t>Meschke</w:t>
      </w:r>
      <w:proofErr w:type="spellEnd"/>
      <w:r w:rsidR="00457C82">
        <w:rPr>
          <w:rFonts w:ascii="Times New Roman" w:eastAsia="Times New Roman" w:hAnsi="Times New Roman" w:cs="Times New Roman"/>
          <w:color w:val="000000" w:themeColor="text1"/>
          <w:szCs w:val="24"/>
        </w:rPr>
        <w:t>, J.F. (2012)</w:t>
      </w:r>
      <w:r w:rsidR="00E80B28">
        <w:rPr>
          <w:rFonts w:ascii="Times New Roman" w:eastAsia="Times New Roman" w:hAnsi="Times New Roman" w:cs="Times New Roman"/>
          <w:color w:val="000000" w:themeColor="text1"/>
          <w:szCs w:val="24"/>
        </w:rPr>
        <w:t>.</w:t>
      </w:r>
      <w:r w:rsidR="00457C82">
        <w:rPr>
          <w:rFonts w:ascii="Times New Roman" w:eastAsia="Times New Roman" w:hAnsi="Times New Roman" w:cs="Times New Roman"/>
          <w:color w:val="000000" w:themeColor="text1"/>
          <w:szCs w:val="24"/>
        </w:rPr>
        <w:t xml:space="preserve"> </w:t>
      </w:r>
      <w:r w:rsidRPr="00C72A40">
        <w:rPr>
          <w:rFonts w:ascii="Times New Roman" w:eastAsia="Times New Roman" w:hAnsi="Times New Roman" w:cs="Times New Roman"/>
          <w:color w:val="000000" w:themeColor="text1"/>
          <w:szCs w:val="24"/>
        </w:rPr>
        <w:t>Structural models and endogeneity in corporate finance: the link between managerial own</w:t>
      </w:r>
      <w:r w:rsidR="00E80B28">
        <w:rPr>
          <w:rFonts w:ascii="Times New Roman" w:eastAsia="Times New Roman" w:hAnsi="Times New Roman" w:cs="Times New Roman"/>
          <w:color w:val="000000" w:themeColor="text1"/>
          <w:szCs w:val="24"/>
        </w:rPr>
        <w:t>ership and corporate performance.</w:t>
      </w:r>
      <w:r w:rsidRPr="00C72A40">
        <w:rPr>
          <w:rFonts w:ascii="Times New Roman" w:eastAsia="Times New Roman" w:hAnsi="Times New Roman" w:cs="Times New Roman"/>
          <w:color w:val="000000" w:themeColor="text1"/>
          <w:szCs w:val="24"/>
        </w:rPr>
        <w:t xml:space="preserve"> </w:t>
      </w:r>
      <w:r w:rsidRPr="00C72A40">
        <w:rPr>
          <w:rFonts w:ascii="Times New Roman" w:eastAsia="Times New Roman" w:hAnsi="Times New Roman" w:cs="Times New Roman"/>
          <w:i/>
          <w:color w:val="000000" w:themeColor="text1"/>
          <w:szCs w:val="24"/>
        </w:rPr>
        <w:t>Journal of Financial Economics,</w:t>
      </w:r>
      <w:r w:rsidR="00E80B28">
        <w:rPr>
          <w:rFonts w:ascii="Times New Roman" w:eastAsia="Times New Roman" w:hAnsi="Times New Roman" w:cs="Times New Roman"/>
          <w:color w:val="000000" w:themeColor="text1"/>
          <w:szCs w:val="24"/>
        </w:rPr>
        <w:t xml:space="preserve"> </w:t>
      </w:r>
      <w:r w:rsidRPr="00C72A40">
        <w:rPr>
          <w:rFonts w:ascii="Times New Roman" w:eastAsia="Times New Roman" w:hAnsi="Times New Roman" w:cs="Times New Roman"/>
          <w:color w:val="000000" w:themeColor="text1"/>
          <w:szCs w:val="24"/>
        </w:rPr>
        <w:t>103</w:t>
      </w:r>
      <w:r w:rsidR="00E80B28">
        <w:rPr>
          <w:rFonts w:ascii="Times New Roman" w:eastAsia="Times New Roman" w:hAnsi="Times New Roman" w:cs="Times New Roman"/>
          <w:color w:val="000000" w:themeColor="text1"/>
          <w:szCs w:val="24"/>
        </w:rPr>
        <w:t xml:space="preserve"> (1), </w:t>
      </w:r>
      <w:r w:rsidRPr="00C72A40">
        <w:rPr>
          <w:rFonts w:ascii="Times New Roman" w:eastAsia="Times New Roman" w:hAnsi="Times New Roman" w:cs="Times New Roman"/>
          <w:color w:val="000000" w:themeColor="text1"/>
          <w:szCs w:val="24"/>
        </w:rPr>
        <w:t>149</w:t>
      </w:r>
      <w:r>
        <w:rPr>
          <w:rFonts w:ascii="Times New Roman" w:eastAsia="Times New Roman" w:hAnsi="Times New Roman" w:cs="Times New Roman"/>
          <w:color w:val="000000" w:themeColor="text1"/>
          <w:szCs w:val="24"/>
        </w:rPr>
        <w:t>-</w:t>
      </w:r>
      <w:r w:rsidRPr="00C72A40">
        <w:rPr>
          <w:rFonts w:ascii="Times New Roman" w:eastAsia="Times New Roman" w:hAnsi="Times New Roman" w:cs="Times New Roman"/>
          <w:color w:val="000000" w:themeColor="text1"/>
          <w:szCs w:val="24"/>
        </w:rPr>
        <w:t>168.</w:t>
      </w:r>
    </w:p>
    <w:p w14:paraId="69E653A5" w14:textId="77777777" w:rsidR="00147C41" w:rsidRPr="00F06767" w:rsidRDefault="00147C41" w:rsidP="003D25A1">
      <w:pPr>
        <w:autoSpaceDE w:val="0"/>
        <w:autoSpaceDN w:val="0"/>
        <w:adjustRightInd w:val="0"/>
        <w:spacing w:line="240" w:lineRule="auto"/>
        <w:jc w:val="both"/>
        <w:rPr>
          <w:rFonts w:ascii="Times New Roman" w:eastAsiaTheme="minorHAnsi" w:hAnsi="Times New Roman" w:cs="Times New Roman"/>
          <w:i/>
          <w:iCs/>
          <w:lang w:eastAsia="en-US"/>
        </w:rPr>
      </w:pPr>
      <w:proofErr w:type="spellStart"/>
      <w:r w:rsidRPr="00F06767">
        <w:rPr>
          <w:rFonts w:ascii="Times New Roman" w:eastAsiaTheme="minorHAnsi" w:hAnsi="Times New Roman" w:cs="Times New Roman"/>
          <w:lang w:eastAsia="en-US"/>
        </w:rPr>
        <w:t>Conyon</w:t>
      </w:r>
      <w:proofErr w:type="spellEnd"/>
      <w:r w:rsidRPr="00F06767">
        <w:rPr>
          <w:rFonts w:ascii="Times New Roman" w:eastAsiaTheme="minorHAnsi" w:hAnsi="Times New Roman" w:cs="Times New Roman"/>
          <w:lang w:eastAsia="en-US"/>
        </w:rPr>
        <w:t xml:space="preserve">, M. J. (1997). Corporate governance and executive compensation. </w:t>
      </w:r>
      <w:r w:rsidRPr="00F06767">
        <w:rPr>
          <w:rFonts w:ascii="Times New Roman" w:eastAsiaTheme="minorHAnsi" w:hAnsi="Times New Roman" w:cs="Times New Roman"/>
          <w:i/>
          <w:iCs/>
          <w:lang w:eastAsia="en-US"/>
        </w:rPr>
        <w:t>International Journal</w:t>
      </w:r>
    </w:p>
    <w:p w14:paraId="20D92CBA" w14:textId="7261C82D" w:rsidR="00E80B28" w:rsidRPr="00F06767" w:rsidRDefault="00147C41" w:rsidP="003D25A1">
      <w:pPr>
        <w:autoSpaceDE w:val="0"/>
        <w:autoSpaceDN w:val="0"/>
        <w:adjustRightInd w:val="0"/>
        <w:spacing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i/>
          <w:iCs/>
          <w:lang w:eastAsia="en-US"/>
        </w:rPr>
        <w:t>of Industrial Organization</w:t>
      </w:r>
      <w:r w:rsidRPr="00E80B28">
        <w:rPr>
          <w:rFonts w:ascii="Times New Roman" w:eastAsiaTheme="minorHAnsi" w:hAnsi="Times New Roman" w:cs="Times New Roman"/>
          <w:iCs/>
          <w:lang w:eastAsia="en-US"/>
        </w:rPr>
        <w:t>, 15</w:t>
      </w:r>
      <w:r w:rsidR="00E80B28" w:rsidRPr="00E80B28">
        <w:rPr>
          <w:rFonts w:ascii="Times New Roman" w:eastAsiaTheme="minorHAnsi" w:hAnsi="Times New Roman" w:cs="Times New Roman"/>
          <w:iCs/>
          <w:lang w:eastAsia="en-US"/>
        </w:rPr>
        <w:t xml:space="preserve"> (4)</w:t>
      </w:r>
      <w:r w:rsidRPr="00E80B28">
        <w:rPr>
          <w:rFonts w:ascii="Times New Roman" w:eastAsiaTheme="minorHAnsi" w:hAnsi="Times New Roman" w:cs="Times New Roman"/>
          <w:lang w:eastAsia="en-US"/>
        </w:rPr>
        <w:t>,</w:t>
      </w:r>
      <w:r w:rsidRPr="00F06767">
        <w:rPr>
          <w:rFonts w:ascii="Times New Roman" w:eastAsiaTheme="minorHAnsi" w:hAnsi="Times New Roman" w:cs="Times New Roman"/>
          <w:lang w:eastAsia="en-US"/>
        </w:rPr>
        <w:t xml:space="preserve"> 493–509.</w:t>
      </w:r>
    </w:p>
    <w:p w14:paraId="2C7EBCC6" w14:textId="77777777" w:rsidR="00147C41" w:rsidRPr="00F06767" w:rsidRDefault="00147C41" w:rsidP="003D25A1">
      <w:pPr>
        <w:autoSpaceDE w:val="0"/>
        <w:autoSpaceDN w:val="0"/>
        <w:adjustRightInd w:val="0"/>
        <w:spacing w:line="240" w:lineRule="auto"/>
        <w:jc w:val="both"/>
        <w:rPr>
          <w:rFonts w:ascii="Times New Roman" w:eastAsiaTheme="minorHAnsi" w:hAnsi="Times New Roman" w:cs="Times New Roman"/>
          <w:lang w:eastAsia="en-US"/>
        </w:rPr>
      </w:pPr>
      <w:proofErr w:type="spellStart"/>
      <w:r w:rsidRPr="00F06767">
        <w:rPr>
          <w:rFonts w:ascii="Times New Roman" w:eastAsiaTheme="minorHAnsi" w:hAnsi="Times New Roman" w:cs="Times New Roman"/>
          <w:lang w:eastAsia="en-US"/>
        </w:rPr>
        <w:t>Conyon</w:t>
      </w:r>
      <w:proofErr w:type="spellEnd"/>
      <w:r w:rsidRPr="00F06767">
        <w:rPr>
          <w:rFonts w:ascii="Times New Roman" w:eastAsiaTheme="minorHAnsi" w:hAnsi="Times New Roman" w:cs="Times New Roman"/>
          <w:lang w:eastAsia="en-US"/>
        </w:rPr>
        <w:t>, M. J., &amp; He, L. (2011). Executive compensation and corporate governance in China.</w:t>
      </w:r>
    </w:p>
    <w:p w14:paraId="151CC93B" w14:textId="3BCC9F97" w:rsidR="00147C41" w:rsidRPr="00F06767" w:rsidRDefault="00147C41" w:rsidP="003D25A1">
      <w:pPr>
        <w:autoSpaceDE w:val="0"/>
        <w:autoSpaceDN w:val="0"/>
        <w:adjustRightInd w:val="0"/>
        <w:spacing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i/>
          <w:iCs/>
          <w:lang w:eastAsia="en-US"/>
        </w:rPr>
        <w:t xml:space="preserve">Journal of Corporate Finance, </w:t>
      </w:r>
      <w:r w:rsidRPr="00E80B28">
        <w:rPr>
          <w:rFonts w:ascii="Times New Roman" w:eastAsiaTheme="minorHAnsi" w:hAnsi="Times New Roman" w:cs="Times New Roman"/>
          <w:iCs/>
          <w:lang w:eastAsia="en-US"/>
        </w:rPr>
        <w:t>17</w:t>
      </w:r>
      <w:r w:rsidR="00E80B28" w:rsidRPr="00E80B28">
        <w:rPr>
          <w:rFonts w:ascii="Times New Roman" w:eastAsiaTheme="minorHAnsi" w:hAnsi="Times New Roman" w:cs="Times New Roman"/>
          <w:iCs/>
          <w:lang w:eastAsia="en-US"/>
        </w:rPr>
        <w:t xml:space="preserve"> (4)</w:t>
      </w:r>
      <w:r w:rsidRPr="00E80B28">
        <w:rPr>
          <w:rFonts w:ascii="Times New Roman" w:eastAsiaTheme="minorHAnsi" w:hAnsi="Times New Roman" w:cs="Times New Roman"/>
          <w:lang w:eastAsia="en-US"/>
        </w:rPr>
        <w:t>,</w:t>
      </w:r>
      <w:r w:rsidRPr="00F06767">
        <w:rPr>
          <w:rFonts w:ascii="Times New Roman" w:eastAsiaTheme="minorHAnsi" w:hAnsi="Times New Roman" w:cs="Times New Roman"/>
          <w:lang w:eastAsia="en-US"/>
        </w:rPr>
        <w:t xml:space="preserve"> 1158–1175.</w:t>
      </w:r>
    </w:p>
    <w:p w14:paraId="0C6092FC" w14:textId="77777777" w:rsidR="00147C41" w:rsidRPr="00F06767" w:rsidRDefault="00147C41" w:rsidP="003D25A1">
      <w:pPr>
        <w:autoSpaceDE w:val="0"/>
        <w:autoSpaceDN w:val="0"/>
        <w:adjustRightInd w:val="0"/>
        <w:spacing w:line="240" w:lineRule="auto"/>
        <w:jc w:val="both"/>
        <w:rPr>
          <w:rFonts w:ascii="Times New Roman" w:eastAsiaTheme="minorHAnsi" w:hAnsi="Times New Roman" w:cs="Times New Roman"/>
          <w:lang w:eastAsia="en-US"/>
        </w:rPr>
      </w:pPr>
      <w:proofErr w:type="spellStart"/>
      <w:r w:rsidRPr="00F06767">
        <w:rPr>
          <w:rFonts w:ascii="Times New Roman" w:eastAsiaTheme="minorHAnsi" w:hAnsi="Times New Roman" w:cs="Times New Roman"/>
          <w:lang w:eastAsia="en-US"/>
        </w:rPr>
        <w:t>Conyon</w:t>
      </w:r>
      <w:proofErr w:type="spellEnd"/>
      <w:r w:rsidRPr="00F06767">
        <w:rPr>
          <w:rFonts w:ascii="Times New Roman" w:eastAsiaTheme="minorHAnsi" w:hAnsi="Times New Roman" w:cs="Times New Roman"/>
          <w:lang w:eastAsia="en-US"/>
        </w:rPr>
        <w:t>, M. J., &amp; He, L. (2012). CEO compensation and corporate governance in China.</w:t>
      </w:r>
    </w:p>
    <w:p w14:paraId="6FF38A03" w14:textId="367664F2" w:rsidR="00147C41" w:rsidRPr="00F06767" w:rsidRDefault="00147C41" w:rsidP="003D25A1">
      <w:pPr>
        <w:autoSpaceDE w:val="0"/>
        <w:autoSpaceDN w:val="0"/>
        <w:adjustRightInd w:val="0"/>
        <w:spacing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i/>
          <w:iCs/>
          <w:lang w:eastAsia="en-US"/>
        </w:rPr>
        <w:t xml:space="preserve">Corporate Governance: An International Review, </w:t>
      </w:r>
      <w:r w:rsidRPr="00E80B28">
        <w:rPr>
          <w:rFonts w:ascii="Times New Roman" w:eastAsiaTheme="minorHAnsi" w:hAnsi="Times New Roman" w:cs="Times New Roman"/>
          <w:iCs/>
          <w:lang w:eastAsia="en-US"/>
        </w:rPr>
        <w:t>20</w:t>
      </w:r>
      <w:r w:rsidR="00E80B28" w:rsidRPr="00E80B28">
        <w:rPr>
          <w:rFonts w:ascii="Times New Roman" w:eastAsiaTheme="minorHAnsi" w:hAnsi="Times New Roman" w:cs="Times New Roman"/>
          <w:iCs/>
          <w:lang w:eastAsia="en-US"/>
        </w:rPr>
        <w:t xml:space="preserve"> (6)</w:t>
      </w:r>
      <w:r w:rsidRPr="00E80B28">
        <w:rPr>
          <w:rFonts w:ascii="Times New Roman" w:eastAsiaTheme="minorHAnsi" w:hAnsi="Times New Roman" w:cs="Times New Roman"/>
          <w:lang w:eastAsia="en-US"/>
        </w:rPr>
        <w:t>,</w:t>
      </w:r>
      <w:r w:rsidRPr="00F06767">
        <w:rPr>
          <w:rFonts w:ascii="Times New Roman" w:eastAsiaTheme="minorHAnsi" w:hAnsi="Times New Roman" w:cs="Times New Roman"/>
          <w:lang w:eastAsia="en-US"/>
        </w:rPr>
        <w:t xml:space="preserve"> 575–592.</w:t>
      </w:r>
    </w:p>
    <w:p w14:paraId="6D028554" w14:textId="77777777" w:rsidR="00147C41" w:rsidRPr="00F06767" w:rsidRDefault="00147C41" w:rsidP="003D25A1">
      <w:pPr>
        <w:autoSpaceDE w:val="0"/>
        <w:autoSpaceDN w:val="0"/>
        <w:adjustRightInd w:val="0"/>
        <w:spacing w:line="240" w:lineRule="auto"/>
        <w:jc w:val="both"/>
        <w:rPr>
          <w:rFonts w:ascii="Times New Roman" w:eastAsiaTheme="minorHAnsi" w:hAnsi="Times New Roman" w:cs="Times New Roman"/>
          <w:lang w:eastAsia="en-US"/>
        </w:rPr>
      </w:pPr>
      <w:proofErr w:type="spellStart"/>
      <w:r w:rsidRPr="00F06767">
        <w:rPr>
          <w:rFonts w:ascii="Times New Roman" w:eastAsiaTheme="minorHAnsi" w:hAnsi="Times New Roman" w:cs="Times New Roman"/>
          <w:lang w:eastAsia="en-US"/>
        </w:rPr>
        <w:t>Conyon</w:t>
      </w:r>
      <w:proofErr w:type="spellEnd"/>
      <w:r w:rsidRPr="00F06767">
        <w:rPr>
          <w:rFonts w:ascii="Times New Roman" w:eastAsiaTheme="minorHAnsi" w:hAnsi="Times New Roman" w:cs="Times New Roman"/>
          <w:lang w:eastAsia="en-US"/>
        </w:rPr>
        <w:t>, M. J., &amp; Murphy, K. J. (2000). The prince and the pauper? CEO pay in the United</w:t>
      </w:r>
    </w:p>
    <w:p w14:paraId="14C1EB9E" w14:textId="653F2F8E" w:rsidR="00147C41" w:rsidRPr="00F06767" w:rsidRDefault="00147C41" w:rsidP="003D25A1">
      <w:pPr>
        <w:spacing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lang w:eastAsia="en-US"/>
        </w:rPr>
        <w:t xml:space="preserve">States and United Kingdom. </w:t>
      </w:r>
      <w:r w:rsidRPr="00F06767">
        <w:rPr>
          <w:rFonts w:ascii="Times New Roman" w:eastAsiaTheme="minorHAnsi" w:hAnsi="Times New Roman" w:cs="Times New Roman"/>
          <w:i/>
          <w:iCs/>
          <w:lang w:eastAsia="en-US"/>
        </w:rPr>
        <w:t xml:space="preserve">The Economic Journal, </w:t>
      </w:r>
      <w:r w:rsidRPr="00E80B28">
        <w:rPr>
          <w:rFonts w:ascii="Times New Roman" w:eastAsiaTheme="minorHAnsi" w:hAnsi="Times New Roman" w:cs="Times New Roman"/>
          <w:iCs/>
          <w:lang w:eastAsia="en-US"/>
        </w:rPr>
        <w:t>110</w:t>
      </w:r>
      <w:r w:rsidR="00E80B28" w:rsidRPr="00E80B28">
        <w:rPr>
          <w:rFonts w:ascii="Times New Roman" w:eastAsiaTheme="minorHAnsi" w:hAnsi="Times New Roman" w:cs="Times New Roman"/>
          <w:iCs/>
          <w:lang w:eastAsia="en-US"/>
        </w:rPr>
        <w:t xml:space="preserve"> (467)</w:t>
      </w:r>
      <w:r w:rsidRPr="00E80B28">
        <w:rPr>
          <w:rFonts w:ascii="Times New Roman" w:eastAsiaTheme="minorHAnsi" w:hAnsi="Times New Roman" w:cs="Times New Roman"/>
          <w:lang w:eastAsia="en-US"/>
        </w:rPr>
        <w:t>,</w:t>
      </w:r>
      <w:r w:rsidRPr="00F06767">
        <w:rPr>
          <w:rFonts w:ascii="Times New Roman" w:eastAsiaTheme="minorHAnsi" w:hAnsi="Times New Roman" w:cs="Times New Roman"/>
          <w:lang w:eastAsia="en-US"/>
        </w:rPr>
        <w:t xml:space="preserve"> 640–671.</w:t>
      </w:r>
    </w:p>
    <w:p w14:paraId="6E78C8DD" w14:textId="2C21DE57" w:rsidR="00147C41" w:rsidRPr="00F06767" w:rsidRDefault="00E80B28" w:rsidP="003D25A1">
      <w:pPr>
        <w:spacing w:line="240" w:lineRule="auto"/>
        <w:jc w:val="both"/>
        <w:rPr>
          <w:rFonts w:ascii="Times New Roman" w:hAnsi="Times New Roman" w:cs="Times New Roman"/>
        </w:rPr>
      </w:pPr>
      <w:r>
        <w:rPr>
          <w:rFonts w:ascii="Times New Roman" w:hAnsi="Times New Roman" w:cs="Times New Roman"/>
        </w:rPr>
        <w:t xml:space="preserve">Core, E.J., </w:t>
      </w:r>
      <w:proofErr w:type="spellStart"/>
      <w:r>
        <w:rPr>
          <w:rFonts w:ascii="Times New Roman" w:hAnsi="Times New Roman" w:cs="Times New Roman"/>
        </w:rPr>
        <w:t>Holthausen</w:t>
      </w:r>
      <w:proofErr w:type="spellEnd"/>
      <w:r>
        <w:rPr>
          <w:rFonts w:ascii="Times New Roman" w:hAnsi="Times New Roman" w:cs="Times New Roman"/>
        </w:rPr>
        <w:t xml:space="preserve">, R.W. &amp; Larcker, D.F. (1999). </w:t>
      </w:r>
      <w:r w:rsidR="00147C41" w:rsidRPr="00F06767">
        <w:rPr>
          <w:rFonts w:ascii="Times New Roman" w:hAnsi="Times New Roman" w:cs="Times New Roman"/>
        </w:rPr>
        <w:t>Corporate governance, chief executive officer comp</w:t>
      </w:r>
      <w:r>
        <w:rPr>
          <w:rFonts w:ascii="Times New Roman" w:hAnsi="Times New Roman" w:cs="Times New Roman"/>
        </w:rPr>
        <w:t>ensation, and firm performance.</w:t>
      </w:r>
      <w:r w:rsidR="00147C41" w:rsidRPr="00F06767">
        <w:rPr>
          <w:rFonts w:ascii="Times New Roman" w:hAnsi="Times New Roman" w:cs="Times New Roman"/>
        </w:rPr>
        <w:t xml:space="preserve"> </w:t>
      </w:r>
      <w:r w:rsidR="00147C41" w:rsidRPr="00F06767">
        <w:rPr>
          <w:rFonts w:ascii="Times New Roman" w:hAnsi="Times New Roman" w:cs="Times New Roman"/>
          <w:i/>
          <w:iCs/>
        </w:rPr>
        <w:t>Journal of Financial Economics</w:t>
      </w:r>
      <w:r>
        <w:rPr>
          <w:rFonts w:ascii="Times New Roman" w:hAnsi="Times New Roman" w:cs="Times New Roman"/>
        </w:rPr>
        <w:t xml:space="preserve">, </w:t>
      </w:r>
      <w:r w:rsidR="00147C41" w:rsidRPr="00F06767">
        <w:rPr>
          <w:rFonts w:ascii="Times New Roman" w:hAnsi="Times New Roman" w:cs="Times New Roman"/>
        </w:rPr>
        <w:t>51</w:t>
      </w:r>
      <w:r>
        <w:rPr>
          <w:rFonts w:ascii="Times New Roman" w:hAnsi="Times New Roman" w:cs="Times New Roman"/>
        </w:rPr>
        <w:t xml:space="preserve"> (3)</w:t>
      </w:r>
      <w:r w:rsidR="00147C41" w:rsidRPr="00F06767">
        <w:rPr>
          <w:rFonts w:ascii="Times New Roman" w:hAnsi="Times New Roman" w:cs="Times New Roman"/>
        </w:rPr>
        <w:t xml:space="preserve">, pp. 371- 406. </w:t>
      </w:r>
    </w:p>
    <w:p w14:paraId="2ABEB688" w14:textId="77777777" w:rsidR="00147C41" w:rsidRPr="00F06767" w:rsidRDefault="00147C41" w:rsidP="003D25A1">
      <w:pPr>
        <w:autoSpaceDE w:val="0"/>
        <w:autoSpaceDN w:val="0"/>
        <w:adjustRightInd w:val="0"/>
        <w:spacing w:after="0"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lang w:eastAsia="en-US"/>
        </w:rPr>
        <w:t>Ding, S., Jia, C., Wilson, C., &amp; Wu, Z. (2015). Political connections and agency conflicts:</w:t>
      </w:r>
    </w:p>
    <w:p w14:paraId="716D36C7" w14:textId="77777777" w:rsidR="00147C41" w:rsidRPr="00F06767" w:rsidRDefault="00147C41" w:rsidP="003D25A1">
      <w:pPr>
        <w:autoSpaceDE w:val="0"/>
        <w:autoSpaceDN w:val="0"/>
        <w:adjustRightInd w:val="0"/>
        <w:spacing w:after="0" w:line="240" w:lineRule="auto"/>
        <w:jc w:val="both"/>
        <w:rPr>
          <w:rFonts w:ascii="Times New Roman" w:eastAsiaTheme="minorHAnsi" w:hAnsi="Times New Roman" w:cs="Times New Roman"/>
          <w:i/>
          <w:iCs/>
          <w:lang w:eastAsia="en-US"/>
        </w:rPr>
      </w:pPr>
      <w:r w:rsidRPr="00F06767">
        <w:rPr>
          <w:rFonts w:ascii="Times New Roman" w:eastAsiaTheme="minorHAnsi" w:hAnsi="Times New Roman" w:cs="Times New Roman"/>
          <w:lang w:eastAsia="en-US"/>
        </w:rPr>
        <w:t xml:space="preserve">The roles of owner and manager political influence on executive compensation. </w:t>
      </w:r>
      <w:r w:rsidRPr="00F06767">
        <w:rPr>
          <w:rFonts w:ascii="Times New Roman" w:eastAsiaTheme="minorHAnsi" w:hAnsi="Times New Roman" w:cs="Times New Roman"/>
          <w:i/>
          <w:iCs/>
          <w:lang w:eastAsia="en-US"/>
        </w:rPr>
        <w:t>Review of</w:t>
      </w:r>
    </w:p>
    <w:p w14:paraId="05DB530D" w14:textId="5A6EB391" w:rsidR="00147C41" w:rsidRDefault="00147C41" w:rsidP="003D25A1">
      <w:pPr>
        <w:spacing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i/>
          <w:iCs/>
          <w:lang w:eastAsia="en-US"/>
        </w:rPr>
        <w:t xml:space="preserve">Quantitative Finance and Accounting, </w:t>
      </w:r>
      <w:r w:rsidRPr="00E80B28">
        <w:rPr>
          <w:rFonts w:ascii="Times New Roman" w:eastAsiaTheme="minorHAnsi" w:hAnsi="Times New Roman" w:cs="Times New Roman"/>
          <w:iCs/>
          <w:lang w:eastAsia="en-US"/>
        </w:rPr>
        <w:t>45</w:t>
      </w:r>
      <w:r w:rsidR="00E80B28" w:rsidRPr="00E80B28">
        <w:rPr>
          <w:rFonts w:ascii="Times New Roman" w:eastAsiaTheme="minorHAnsi" w:hAnsi="Times New Roman" w:cs="Times New Roman"/>
          <w:iCs/>
          <w:lang w:eastAsia="en-US"/>
        </w:rPr>
        <w:t xml:space="preserve"> (2)</w:t>
      </w:r>
      <w:r w:rsidRPr="00E80B28">
        <w:rPr>
          <w:rFonts w:ascii="Times New Roman" w:eastAsiaTheme="minorHAnsi" w:hAnsi="Times New Roman" w:cs="Times New Roman"/>
          <w:lang w:eastAsia="en-US"/>
        </w:rPr>
        <w:t>,</w:t>
      </w:r>
      <w:r w:rsidRPr="00F06767">
        <w:rPr>
          <w:rFonts w:ascii="Times New Roman" w:eastAsiaTheme="minorHAnsi" w:hAnsi="Times New Roman" w:cs="Times New Roman"/>
          <w:lang w:eastAsia="en-US"/>
        </w:rPr>
        <w:t xml:space="preserve"> 407–434.</w:t>
      </w:r>
    </w:p>
    <w:p w14:paraId="4A0DDCC8" w14:textId="2849A157" w:rsidR="00147C41" w:rsidRPr="001B26B1" w:rsidRDefault="00E80B28" w:rsidP="003D25A1">
      <w:pPr>
        <w:suppressAutoHyphens/>
        <w:autoSpaceDN w:val="0"/>
        <w:spacing w:after="120" w:line="240" w:lineRule="auto"/>
        <w:textAlignment w:val="baseline"/>
        <w:rPr>
          <w:rFonts w:ascii="Times New Roman" w:hAnsi="Times New Roman" w:cs="Times New Roman"/>
          <w:color w:val="000000" w:themeColor="text1"/>
          <w:szCs w:val="24"/>
          <w:lang w:eastAsia="en-US"/>
        </w:rPr>
      </w:pPr>
      <w:proofErr w:type="spellStart"/>
      <w:r>
        <w:rPr>
          <w:rFonts w:ascii="Times New Roman" w:hAnsi="Times New Roman" w:cs="Times New Roman"/>
          <w:color w:val="000000" w:themeColor="text1"/>
          <w:szCs w:val="24"/>
          <w:lang w:eastAsia="en-US"/>
        </w:rPr>
        <w:t>Ferri</w:t>
      </w:r>
      <w:proofErr w:type="spellEnd"/>
      <w:r>
        <w:rPr>
          <w:rFonts w:ascii="Times New Roman" w:hAnsi="Times New Roman" w:cs="Times New Roman"/>
          <w:color w:val="000000" w:themeColor="text1"/>
          <w:szCs w:val="24"/>
          <w:lang w:eastAsia="en-US"/>
        </w:rPr>
        <w:t xml:space="preserve">, F. &amp; Maber, D.A. (2013) </w:t>
      </w:r>
      <w:r w:rsidR="00147C41" w:rsidRPr="00C72A40">
        <w:rPr>
          <w:rFonts w:ascii="Times New Roman" w:hAnsi="Times New Roman" w:cs="Times New Roman"/>
          <w:color w:val="000000" w:themeColor="text1"/>
          <w:szCs w:val="24"/>
          <w:lang w:eastAsia="en-US"/>
        </w:rPr>
        <w:t xml:space="preserve">Say on pay votes and CEO compensation: </w:t>
      </w:r>
      <w:r w:rsidR="00147C41">
        <w:rPr>
          <w:rFonts w:ascii="Times New Roman" w:hAnsi="Times New Roman" w:cs="Times New Roman"/>
          <w:color w:val="000000" w:themeColor="text1"/>
          <w:szCs w:val="24"/>
          <w:lang w:eastAsia="en-US"/>
        </w:rPr>
        <w:t>e</w:t>
      </w:r>
      <w:r w:rsidR="00147C41" w:rsidRPr="00C72A40">
        <w:rPr>
          <w:rFonts w:ascii="Times New Roman" w:hAnsi="Times New Roman" w:cs="Times New Roman"/>
          <w:color w:val="000000" w:themeColor="text1"/>
          <w:szCs w:val="24"/>
          <w:lang w:eastAsia="en-US"/>
        </w:rPr>
        <w:t>vidence from the UK</w:t>
      </w:r>
      <w:r w:rsidR="00147C41">
        <w:rPr>
          <w:rFonts w:ascii="Times New Roman" w:hAnsi="Times New Roman" w:cs="Times New Roman"/>
          <w:color w:val="000000" w:themeColor="text1"/>
          <w:szCs w:val="24"/>
          <w:lang w:eastAsia="en-US"/>
        </w:rPr>
        <w:t>’,</w:t>
      </w:r>
      <w:r w:rsidR="00147C41" w:rsidRPr="00C72A40">
        <w:rPr>
          <w:rFonts w:ascii="Times New Roman" w:hAnsi="Times New Roman" w:cs="Times New Roman"/>
          <w:color w:val="000000" w:themeColor="text1"/>
          <w:szCs w:val="24"/>
          <w:lang w:eastAsia="en-US"/>
        </w:rPr>
        <w:t> </w:t>
      </w:r>
      <w:r w:rsidR="00147C41" w:rsidRPr="00C72A40">
        <w:rPr>
          <w:rFonts w:ascii="Times New Roman" w:hAnsi="Times New Roman" w:cs="Times New Roman"/>
          <w:i/>
          <w:iCs/>
          <w:color w:val="000000" w:themeColor="text1"/>
          <w:szCs w:val="24"/>
          <w:lang w:eastAsia="en-US"/>
        </w:rPr>
        <w:t>Review of Finance</w:t>
      </w:r>
      <w:r>
        <w:rPr>
          <w:rFonts w:ascii="Times New Roman" w:hAnsi="Times New Roman" w:cs="Times New Roman"/>
          <w:color w:val="000000" w:themeColor="text1"/>
          <w:szCs w:val="24"/>
          <w:lang w:eastAsia="en-US"/>
        </w:rPr>
        <w:t>, </w:t>
      </w:r>
      <w:r>
        <w:rPr>
          <w:rFonts w:ascii="Times New Roman" w:hAnsi="Times New Roman" w:cs="Times New Roman"/>
          <w:iCs/>
          <w:color w:val="000000" w:themeColor="text1"/>
          <w:szCs w:val="24"/>
          <w:lang w:eastAsia="en-US"/>
        </w:rPr>
        <w:t>17 (</w:t>
      </w:r>
      <w:r w:rsidR="00147C41" w:rsidRPr="00C72A40">
        <w:rPr>
          <w:rFonts w:ascii="Times New Roman" w:hAnsi="Times New Roman" w:cs="Times New Roman"/>
          <w:color w:val="000000" w:themeColor="text1"/>
          <w:szCs w:val="24"/>
          <w:lang w:eastAsia="en-US"/>
        </w:rPr>
        <w:t>2</w:t>
      </w:r>
      <w:r>
        <w:rPr>
          <w:rFonts w:ascii="Times New Roman" w:hAnsi="Times New Roman" w:cs="Times New Roman"/>
          <w:color w:val="000000" w:themeColor="text1"/>
          <w:szCs w:val="24"/>
          <w:lang w:eastAsia="en-US"/>
        </w:rPr>
        <w:t xml:space="preserve">), </w:t>
      </w:r>
      <w:r w:rsidR="00147C41" w:rsidRPr="00C72A40">
        <w:rPr>
          <w:rFonts w:ascii="Times New Roman" w:hAnsi="Times New Roman" w:cs="Times New Roman"/>
          <w:color w:val="000000" w:themeColor="text1"/>
          <w:szCs w:val="24"/>
          <w:lang w:eastAsia="en-US"/>
        </w:rPr>
        <w:t>527-563.</w:t>
      </w:r>
    </w:p>
    <w:p w14:paraId="10DBD44D" w14:textId="385C4E30" w:rsidR="00147C41" w:rsidRPr="00F06767" w:rsidRDefault="00E80B28" w:rsidP="003D25A1">
      <w:pPr>
        <w:spacing w:before="100" w:beforeAutospacing="1" w:after="240" w:line="240" w:lineRule="auto"/>
        <w:jc w:val="both"/>
        <w:rPr>
          <w:rFonts w:ascii="Times New Roman" w:hAnsi="Times New Roman" w:cs="Times New Roman"/>
          <w:lang w:eastAsia="en-US"/>
        </w:rPr>
      </w:pPr>
      <w:r>
        <w:rPr>
          <w:rFonts w:ascii="Times New Roman" w:hAnsi="Times New Roman" w:cs="Times New Roman"/>
          <w:lang w:eastAsia="en-US"/>
        </w:rPr>
        <w:t xml:space="preserve">Firth, M., Fung, P. M. &amp; Rui, O. M. (2006). </w:t>
      </w:r>
      <w:r w:rsidR="00147C41" w:rsidRPr="00F06767">
        <w:rPr>
          <w:rFonts w:ascii="Times New Roman" w:hAnsi="Times New Roman" w:cs="Times New Roman"/>
          <w:lang w:eastAsia="en-US"/>
        </w:rPr>
        <w:t>Corporate performance</w:t>
      </w:r>
      <w:r>
        <w:rPr>
          <w:rFonts w:ascii="Times New Roman" w:hAnsi="Times New Roman" w:cs="Times New Roman"/>
          <w:lang w:eastAsia="en-US"/>
        </w:rPr>
        <w:t xml:space="preserve"> and CEO compensation in China.</w:t>
      </w:r>
      <w:r w:rsidR="00147C41" w:rsidRPr="00F06767">
        <w:rPr>
          <w:rFonts w:ascii="Times New Roman" w:hAnsi="Times New Roman" w:cs="Times New Roman"/>
          <w:lang w:eastAsia="en-US"/>
        </w:rPr>
        <w:t> </w:t>
      </w:r>
      <w:r w:rsidR="00147C41" w:rsidRPr="00F06767">
        <w:rPr>
          <w:rFonts w:ascii="Times New Roman" w:hAnsi="Times New Roman" w:cs="Times New Roman"/>
          <w:i/>
          <w:iCs/>
          <w:lang w:eastAsia="en-US"/>
        </w:rPr>
        <w:t>Journal of Corporate Finance</w:t>
      </w:r>
      <w:r>
        <w:rPr>
          <w:rFonts w:ascii="Times New Roman" w:hAnsi="Times New Roman" w:cs="Times New Roman"/>
          <w:lang w:eastAsia="en-US"/>
        </w:rPr>
        <w:t>, 12 (4),</w:t>
      </w:r>
      <w:r w:rsidR="00147C41" w:rsidRPr="00F06767">
        <w:rPr>
          <w:rFonts w:ascii="Times New Roman" w:hAnsi="Times New Roman" w:cs="Times New Roman"/>
          <w:lang w:eastAsia="en-US"/>
        </w:rPr>
        <w:t xml:space="preserve"> 693-714.</w:t>
      </w:r>
    </w:p>
    <w:p w14:paraId="5C6C5A2C" w14:textId="436EB98B" w:rsidR="00147C41" w:rsidRDefault="0086503D" w:rsidP="003D25A1">
      <w:pPr>
        <w:suppressAutoHyphens/>
        <w:autoSpaceDN w:val="0"/>
        <w:spacing w:after="120" w:line="240" w:lineRule="auto"/>
        <w:jc w:val="both"/>
        <w:textAlignment w:val="baseline"/>
        <w:rPr>
          <w:rFonts w:ascii="Times New Roman" w:hAnsi="Times New Roman" w:cs="Times New Roman"/>
          <w:lang w:eastAsia="en-US"/>
        </w:rPr>
      </w:pPr>
      <w:proofErr w:type="spellStart"/>
      <w:r>
        <w:rPr>
          <w:rFonts w:ascii="Times New Roman" w:hAnsi="Times New Roman" w:cs="Times New Roman"/>
          <w:lang w:eastAsia="en-US"/>
        </w:rPr>
        <w:t>Florackis</w:t>
      </w:r>
      <w:proofErr w:type="spellEnd"/>
      <w:r>
        <w:rPr>
          <w:rFonts w:ascii="Times New Roman" w:hAnsi="Times New Roman" w:cs="Times New Roman"/>
          <w:lang w:eastAsia="en-US"/>
        </w:rPr>
        <w:t>, C. &amp;</w:t>
      </w:r>
      <w:r w:rsidR="00147C41" w:rsidRPr="00F06767">
        <w:rPr>
          <w:rFonts w:ascii="Times New Roman" w:hAnsi="Times New Roman" w:cs="Times New Roman"/>
          <w:lang w:eastAsia="en-US"/>
        </w:rPr>
        <w:t xml:space="preserve"> </w:t>
      </w:r>
      <w:proofErr w:type="spellStart"/>
      <w:r w:rsidR="00147C41" w:rsidRPr="00F06767">
        <w:rPr>
          <w:rFonts w:ascii="Times New Roman" w:hAnsi="Times New Roman" w:cs="Times New Roman"/>
          <w:lang w:eastAsia="en-US"/>
        </w:rPr>
        <w:t>Ozkan</w:t>
      </w:r>
      <w:proofErr w:type="spellEnd"/>
      <w:r w:rsidR="00147C41" w:rsidRPr="00F06767">
        <w:rPr>
          <w:rFonts w:ascii="Times New Roman" w:hAnsi="Times New Roman" w:cs="Times New Roman"/>
          <w:lang w:eastAsia="en-US"/>
        </w:rPr>
        <w:t>. A. (2009)</w:t>
      </w:r>
      <w:r>
        <w:rPr>
          <w:rFonts w:ascii="Times New Roman" w:hAnsi="Times New Roman" w:cs="Times New Roman"/>
          <w:lang w:eastAsia="en-US"/>
        </w:rPr>
        <w:t>.</w:t>
      </w:r>
      <w:r>
        <w:rPr>
          <w:rFonts w:ascii="Times New Roman" w:hAnsi="Times New Roman" w:cs="Times New Roman"/>
        </w:rPr>
        <w:t xml:space="preserve"> </w:t>
      </w:r>
      <w:r w:rsidR="00147C41" w:rsidRPr="00F06767">
        <w:rPr>
          <w:rFonts w:ascii="Times New Roman" w:hAnsi="Times New Roman" w:cs="Times New Roman"/>
          <w:lang w:eastAsia="en-US"/>
        </w:rPr>
        <w:t>Managerial incentives and corporate leverage: ev</w:t>
      </w:r>
      <w:r>
        <w:rPr>
          <w:rFonts w:ascii="Times New Roman" w:hAnsi="Times New Roman" w:cs="Times New Roman"/>
          <w:lang w:eastAsia="en-US"/>
        </w:rPr>
        <w:t>idence from the United Kingdom.</w:t>
      </w:r>
      <w:r w:rsidR="00147C41" w:rsidRPr="00F06767">
        <w:rPr>
          <w:rFonts w:ascii="Times New Roman" w:hAnsi="Times New Roman" w:cs="Times New Roman"/>
          <w:lang w:eastAsia="en-US"/>
        </w:rPr>
        <w:t xml:space="preserve"> </w:t>
      </w:r>
      <w:r w:rsidR="00147C41" w:rsidRPr="00F06767">
        <w:rPr>
          <w:rFonts w:ascii="Times New Roman" w:hAnsi="Times New Roman" w:cs="Times New Roman"/>
          <w:i/>
          <w:lang w:eastAsia="en-US"/>
        </w:rPr>
        <w:t>Journal of Accounting and Finance</w:t>
      </w:r>
      <w:r>
        <w:rPr>
          <w:rFonts w:ascii="Times New Roman" w:hAnsi="Times New Roman" w:cs="Times New Roman"/>
          <w:lang w:eastAsia="en-US"/>
        </w:rPr>
        <w:t>, 49 (</w:t>
      </w:r>
      <w:r w:rsidR="00147C41" w:rsidRPr="00F06767">
        <w:rPr>
          <w:rFonts w:ascii="Times New Roman" w:hAnsi="Times New Roman" w:cs="Times New Roman"/>
          <w:lang w:eastAsia="en-US"/>
        </w:rPr>
        <w:t>3</w:t>
      </w:r>
      <w:r>
        <w:rPr>
          <w:rFonts w:ascii="Times New Roman" w:hAnsi="Times New Roman" w:cs="Times New Roman"/>
          <w:lang w:eastAsia="en-US"/>
        </w:rPr>
        <w:t xml:space="preserve">), </w:t>
      </w:r>
      <w:r w:rsidR="00147C41" w:rsidRPr="00F06767">
        <w:rPr>
          <w:rFonts w:ascii="Times New Roman" w:hAnsi="Times New Roman" w:cs="Times New Roman"/>
          <w:lang w:eastAsia="en-US"/>
        </w:rPr>
        <w:t>531-</w:t>
      </w:r>
      <w:r>
        <w:rPr>
          <w:rFonts w:ascii="Times New Roman" w:hAnsi="Times New Roman" w:cs="Times New Roman"/>
          <w:lang w:eastAsia="en-US"/>
        </w:rPr>
        <w:t>5</w:t>
      </w:r>
      <w:r w:rsidR="00147C41" w:rsidRPr="00F06767">
        <w:rPr>
          <w:rFonts w:ascii="Times New Roman" w:hAnsi="Times New Roman" w:cs="Times New Roman"/>
          <w:lang w:eastAsia="en-US"/>
        </w:rPr>
        <w:t>53.</w:t>
      </w:r>
    </w:p>
    <w:p w14:paraId="43CC3FC6" w14:textId="70E71BBF" w:rsidR="00147C41" w:rsidRDefault="0086503D" w:rsidP="003D25A1">
      <w:pPr>
        <w:suppressAutoHyphens/>
        <w:autoSpaceDN w:val="0"/>
        <w:spacing w:after="120" w:line="240" w:lineRule="auto"/>
        <w:textAlignment w:val="baseline"/>
        <w:rPr>
          <w:rFonts w:ascii="Times New Roman" w:hAnsi="Times New Roman" w:cs="Times New Roman"/>
          <w:color w:val="000000" w:themeColor="text1"/>
          <w:szCs w:val="24"/>
          <w:lang w:eastAsia="en-US"/>
        </w:rPr>
      </w:pPr>
      <w:r>
        <w:rPr>
          <w:rFonts w:ascii="Times New Roman" w:hAnsi="Times New Roman" w:cs="Times New Roman"/>
          <w:color w:val="000000" w:themeColor="text1"/>
          <w:szCs w:val="24"/>
          <w:lang w:eastAsia="en-US"/>
        </w:rPr>
        <w:t xml:space="preserve">Gormley, T.A. &amp; </w:t>
      </w:r>
      <w:proofErr w:type="spellStart"/>
      <w:r>
        <w:rPr>
          <w:rFonts w:ascii="Times New Roman" w:hAnsi="Times New Roman" w:cs="Times New Roman"/>
          <w:color w:val="000000" w:themeColor="text1"/>
          <w:szCs w:val="24"/>
          <w:lang w:eastAsia="en-US"/>
        </w:rPr>
        <w:t>Matsa</w:t>
      </w:r>
      <w:proofErr w:type="spellEnd"/>
      <w:r>
        <w:rPr>
          <w:rFonts w:ascii="Times New Roman" w:hAnsi="Times New Roman" w:cs="Times New Roman"/>
          <w:color w:val="000000" w:themeColor="text1"/>
          <w:szCs w:val="24"/>
          <w:lang w:eastAsia="en-US"/>
        </w:rPr>
        <w:t xml:space="preserve">, D.A. (2016). </w:t>
      </w:r>
      <w:r w:rsidR="00147C41" w:rsidRPr="00C72A40">
        <w:rPr>
          <w:rFonts w:ascii="Times New Roman" w:hAnsi="Times New Roman" w:cs="Times New Roman"/>
          <w:color w:val="000000" w:themeColor="text1"/>
          <w:szCs w:val="24"/>
          <w:lang w:eastAsia="en-US"/>
        </w:rPr>
        <w:t>Playing it safe? Managerial preferences, risk, and agency conflicts</w:t>
      </w:r>
      <w:r w:rsidR="00147C41">
        <w:rPr>
          <w:rFonts w:ascii="Times New Roman" w:hAnsi="Times New Roman" w:cs="Times New Roman"/>
          <w:color w:val="000000" w:themeColor="text1"/>
          <w:szCs w:val="24"/>
          <w:lang w:eastAsia="en-US"/>
        </w:rPr>
        <w:t>’,</w:t>
      </w:r>
      <w:r w:rsidR="00147C41" w:rsidRPr="00C72A40">
        <w:rPr>
          <w:rFonts w:ascii="Times New Roman" w:hAnsi="Times New Roman" w:cs="Times New Roman"/>
          <w:color w:val="000000" w:themeColor="text1"/>
          <w:szCs w:val="24"/>
          <w:lang w:eastAsia="en-US"/>
        </w:rPr>
        <w:t xml:space="preserve"> </w:t>
      </w:r>
      <w:r w:rsidR="00147C41" w:rsidRPr="00C72A40">
        <w:rPr>
          <w:rFonts w:ascii="Times New Roman" w:hAnsi="Times New Roman" w:cs="Times New Roman"/>
          <w:i/>
          <w:color w:val="000000" w:themeColor="text1"/>
          <w:szCs w:val="24"/>
          <w:lang w:eastAsia="en-US"/>
        </w:rPr>
        <w:t>Journal of Financial Economics</w:t>
      </w:r>
      <w:r w:rsidR="00664700">
        <w:rPr>
          <w:rFonts w:ascii="Times New Roman" w:hAnsi="Times New Roman" w:cs="Times New Roman"/>
          <w:color w:val="000000" w:themeColor="text1"/>
          <w:szCs w:val="24"/>
          <w:lang w:eastAsia="en-US"/>
        </w:rPr>
        <w:t xml:space="preserve">, </w:t>
      </w:r>
      <w:r w:rsidR="00147C41" w:rsidRPr="00C72A40">
        <w:rPr>
          <w:rFonts w:ascii="Times New Roman" w:hAnsi="Times New Roman" w:cs="Times New Roman"/>
          <w:color w:val="000000" w:themeColor="text1"/>
          <w:szCs w:val="24"/>
          <w:lang w:eastAsia="en-US"/>
        </w:rPr>
        <w:t>122</w:t>
      </w:r>
      <w:r w:rsidR="00664700">
        <w:rPr>
          <w:rFonts w:ascii="Times New Roman" w:hAnsi="Times New Roman" w:cs="Times New Roman"/>
          <w:color w:val="000000" w:themeColor="text1"/>
          <w:szCs w:val="24"/>
          <w:lang w:eastAsia="en-US"/>
        </w:rPr>
        <w:t xml:space="preserve"> (3</w:t>
      </w:r>
      <w:proofErr w:type="gramStart"/>
      <w:r w:rsidR="00664700">
        <w:rPr>
          <w:rFonts w:ascii="Times New Roman" w:hAnsi="Times New Roman" w:cs="Times New Roman"/>
          <w:color w:val="000000" w:themeColor="text1"/>
          <w:szCs w:val="24"/>
          <w:lang w:eastAsia="en-US"/>
        </w:rPr>
        <w:t xml:space="preserve">), </w:t>
      </w:r>
      <w:r w:rsidR="00147C41" w:rsidRPr="00C72A40">
        <w:rPr>
          <w:rFonts w:ascii="Times New Roman" w:hAnsi="Times New Roman" w:cs="Times New Roman"/>
          <w:color w:val="000000" w:themeColor="text1"/>
          <w:szCs w:val="24"/>
          <w:lang w:eastAsia="en-US"/>
        </w:rPr>
        <w:t xml:space="preserve"> 431</w:t>
      </w:r>
      <w:proofErr w:type="gramEnd"/>
      <w:r w:rsidR="00147C41">
        <w:rPr>
          <w:rFonts w:ascii="Times New Roman" w:hAnsi="Times New Roman" w:cs="Times New Roman"/>
          <w:color w:val="000000" w:themeColor="text1"/>
          <w:szCs w:val="24"/>
          <w:lang w:eastAsia="en-US"/>
        </w:rPr>
        <w:t>-</w:t>
      </w:r>
      <w:r w:rsidR="00147C41" w:rsidRPr="00C72A40">
        <w:rPr>
          <w:rFonts w:ascii="Times New Roman" w:hAnsi="Times New Roman" w:cs="Times New Roman"/>
          <w:color w:val="000000" w:themeColor="text1"/>
          <w:szCs w:val="24"/>
          <w:lang w:eastAsia="en-US"/>
        </w:rPr>
        <w:t xml:space="preserve">455. </w:t>
      </w:r>
    </w:p>
    <w:p w14:paraId="0DB75717" w14:textId="7604EEF1" w:rsidR="00147C41" w:rsidRPr="00565A7B" w:rsidRDefault="00664700" w:rsidP="003D25A1">
      <w:pPr>
        <w:spacing w:before="100" w:beforeAutospacing="1" w:after="100" w:afterAutospacing="1" w:line="240" w:lineRule="auto"/>
        <w:rPr>
          <w:rFonts w:ascii="Times New Roman" w:eastAsia="Times New Roman" w:hAnsi="Times New Roman" w:cs="Times New Roman"/>
          <w:color w:val="000000" w:themeColor="text1"/>
          <w:szCs w:val="24"/>
        </w:rPr>
      </w:pPr>
      <w:r>
        <w:rPr>
          <w:rFonts w:ascii="TimesNewRomanPSMT" w:eastAsia="Times New Roman" w:hAnsi="TimesNewRomanPSMT" w:cs="Times New Roman"/>
          <w:color w:val="000000" w:themeColor="text1"/>
          <w:szCs w:val="24"/>
        </w:rPr>
        <w:t xml:space="preserve">Grossman, S. &amp; Hart, L. (1982). </w:t>
      </w:r>
      <w:r w:rsidR="00147C41" w:rsidRPr="00C72A40">
        <w:rPr>
          <w:rFonts w:ascii="TimesNewRomanPSMT" w:eastAsia="Times New Roman" w:hAnsi="TimesNewRomanPSMT" w:cs="Times New Roman"/>
          <w:color w:val="000000" w:themeColor="text1"/>
          <w:szCs w:val="24"/>
        </w:rPr>
        <w:t xml:space="preserve">Corporate </w:t>
      </w:r>
      <w:r w:rsidR="00147C41">
        <w:rPr>
          <w:rFonts w:ascii="TimesNewRomanPSMT" w:eastAsia="Times New Roman" w:hAnsi="TimesNewRomanPSMT" w:cs="Times New Roman"/>
          <w:color w:val="000000" w:themeColor="text1"/>
          <w:szCs w:val="24"/>
        </w:rPr>
        <w:t>f</w:t>
      </w:r>
      <w:r w:rsidR="00147C41" w:rsidRPr="00C72A40">
        <w:rPr>
          <w:rFonts w:ascii="TimesNewRomanPSMT" w:eastAsia="Times New Roman" w:hAnsi="TimesNewRomanPSMT" w:cs="Times New Roman"/>
          <w:color w:val="000000" w:themeColor="text1"/>
          <w:szCs w:val="24"/>
        </w:rPr>
        <w:t xml:space="preserve">inancial </w:t>
      </w:r>
      <w:r w:rsidR="00147C41">
        <w:rPr>
          <w:rFonts w:ascii="TimesNewRomanPSMT" w:eastAsia="Times New Roman" w:hAnsi="TimesNewRomanPSMT" w:cs="Times New Roman"/>
          <w:color w:val="000000" w:themeColor="text1"/>
          <w:szCs w:val="24"/>
        </w:rPr>
        <w:t>s</w:t>
      </w:r>
      <w:r w:rsidR="00147C41" w:rsidRPr="00C72A40">
        <w:rPr>
          <w:rFonts w:ascii="TimesNewRomanPSMT" w:eastAsia="Times New Roman" w:hAnsi="TimesNewRomanPSMT" w:cs="Times New Roman"/>
          <w:color w:val="000000" w:themeColor="text1"/>
          <w:szCs w:val="24"/>
        </w:rPr>
        <w:t xml:space="preserve">tructure and </w:t>
      </w:r>
      <w:r w:rsidR="00147C41">
        <w:rPr>
          <w:rFonts w:ascii="TimesNewRomanPSMT" w:eastAsia="Times New Roman" w:hAnsi="TimesNewRomanPSMT" w:cs="Times New Roman"/>
          <w:color w:val="000000" w:themeColor="text1"/>
          <w:szCs w:val="24"/>
        </w:rPr>
        <w:t>m</w:t>
      </w:r>
      <w:r w:rsidR="00147C41" w:rsidRPr="00C72A40">
        <w:rPr>
          <w:rFonts w:ascii="TimesNewRomanPSMT" w:eastAsia="Times New Roman" w:hAnsi="TimesNewRomanPSMT" w:cs="Times New Roman"/>
          <w:color w:val="000000" w:themeColor="text1"/>
          <w:szCs w:val="24"/>
        </w:rPr>
        <w:t xml:space="preserve">anagerial </w:t>
      </w:r>
      <w:r w:rsidR="00147C41">
        <w:rPr>
          <w:rFonts w:ascii="TimesNewRomanPSMT" w:eastAsia="Times New Roman" w:hAnsi="TimesNewRomanPSMT" w:cs="Times New Roman"/>
          <w:color w:val="000000" w:themeColor="text1"/>
          <w:szCs w:val="24"/>
        </w:rPr>
        <w:t>i</w:t>
      </w:r>
      <w:r>
        <w:rPr>
          <w:rFonts w:ascii="TimesNewRomanPSMT" w:eastAsia="Times New Roman" w:hAnsi="TimesNewRomanPSMT" w:cs="Times New Roman"/>
          <w:color w:val="000000" w:themeColor="text1"/>
          <w:szCs w:val="24"/>
        </w:rPr>
        <w:t>ncentive.</w:t>
      </w:r>
      <w:r w:rsidR="00147C41" w:rsidRPr="00C72A40">
        <w:rPr>
          <w:rFonts w:ascii="TimesNewRomanPSMT" w:eastAsia="Times New Roman" w:hAnsi="TimesNewRomanPSMT" w:cs="Times New Roman"/>
          <w:color w:val="000000" w:themeColor="text1"/>
          <w:szCs w:val="24"/>
        </w:rPr>
        <w:t xml:space="preserve"> McCall, </w:t>
      </w:r>
      <w:r w:rsidR="00147C41">
        <w:rPr>
          <w:rFonts w:ascii="TimesNewRomanPSMT" w:eastAsia="Times New Roman" w:hAnsi="TimesNewRomanPSMT" w:cs="Times New Roman"/>
          <w:color w:val="000000" w:themeColor="text1"/>
          <w:szCs w:val="24"/>
        </w:rPr>
        <w:t>J. (Ed),</w:t>
      </w:r>
      <w:r w:rsidR="00147C41" w:rsidRPr="00C72A40">
        <w:rPr>
          <w:rFonts w:ascii="TimesNewRomanPSMT" w:eastAsia="Times New Roman" w:hAnsi="TimesNewRomanPSMT" w:cs="Times New Roman"/>
          <w:color w:val="000000" w:themeColor="text1"/>
          <w:szCs w:val="24"/>
        </w:rPr>
        <w:t xml:space="preserve"> </w:t>
      </w:r>
      <w:r w:rsidR="00147C41" w:rsidRPr="00265858">
        <w:rPr>
          <w:rFonts w:ascii="TimesNewRomanPSMT" w:eastAsia="Times New Roman" w:hAnsi="TimesNewRomanPSMT" w:cs="Times New Roman"/>
          <w:i/>
          <w:color w:val="000000" w:themeColor="text1"/>
          <w:szCs w:val="24"/>
        </w:rPr>
        <w:t>The Economics of Information and Uncertainty</w:t>
      </w:r>
      <w:r w:rsidR="00147C41" w:rsidRPr="00C72A40">
        <w:rPr>
          <w:rFonts w:ascii="TimesNewRomanPSMT" w:eastAsia="Times New Roman" w:hAnsi="TimesNewRomanPSMT" w:cs="Times New Roman"/>
          <w:color w:val="000000" w:themeColor="text1"/>
          <w:szCs w:val="24"/>
        </w:rPr>
        <w:t xml:space="preserve">, University of Chicago Press, Chicago. </w:t>
      </w:r>
    </w:p>
    <w:p w14:paraId="4D94BDC2" w14:textId="45165FD8" w:rsidR="00147C41" w:rsidRPr="00F06767" w:rsidRDefault="00664700" w:rsidP="003D25A1">
      <w:pPr>
        <w:widowControl w:val="0"/>
        <w:suppressAutoHyphens/>
        <w:autoSpaceDN w:val="0"/>
        <w:spacing w:after="120" w:line="240" w:lineRule="auto"/>
        <w:jc w:val="both"/>
        <w:textAlignment w:val="baseline"/>
        <w:rPr>
          <w:rStyle w:val="Hyperlink"/>
          <w:rFonts w:ascii="Times New Roman" w:eastAsia="Times New Roman" w:hAnsi="Times New Roman" w:cs="Times New Roman"/>
          <w:bCs/>
          <w:color w:val="auto"/>
          <w:spacing w:val="-1"/>
          <w:kern w:val="3"/>
          <w:lang w:eastAsia="en-US"/>
        </w:rPr>
      </w:pPr>
      <w:r>
        <w:rPr>
          <w:rFonts w:ascii="Times New Roman" w:eastAsia="Times New Roman" w:hAnsi="Times New Roman" w:cs="Times New Roman"/>
          <w:spacing w:val="-1"/>
          <w:kern w:val="3"/>
          <w:lang w:eastAsia="en-US"/>
        </w:rPr>
        <w:t xml:space="preserve">Haque, F. &amp; </w:t>
      </w:r>
      <w:proofErr w:type="spellStart"/>
      <w:r>
        <w:rPr>
          <w:rFonts w:ascii="Times New Roman" w:eastAsia="Times New Roman" w:hAnsi="Times New Roman" w:cs="Times New Roman"/>
          <w:spacing w:val="-1"/>
          <w:kern w:val="3"/>
          <w:lang w:eastAsia="en-US"/>
        </w:rPr>
        <w:t>Ntim</w:t>
      </w:r>
      <w:proofErr w:type="spellEnd"/>
      <w:r>
        <w:rPr>
          <w:rFonts w:ascii="Times New Roman" w:eastAsia="Times New Roman" w:hAnsi="Times New Roman" w:cs="Times New Roman"/>
          <w:spacing w:val="-1"/>
          <w:kern w:val="3"/>
          <w:lang w:eastAsia="en-US"/>
        </w:rPr>
        <w:t xml:space="preserve">, C.G. (2020) </w:t>
      </w:r>
      <w:r w:rsidR="00147C41" w:rsidRPr="00F06767">
        <w:rPr>
          <w:rFonts w:ascii="Times New Roman" w:eastAsia="Times New Roman" w:hAnsi="Times New Roman" w:cs="Times New Roman"/>
          <w:spacing w:val="-1"/>
          <w:kern w:val="3"/>
          <w:lang w:eastAsia="en-US"/>
        </w:rPr>
        <w:t>Executive compensation, sustainable compensation policy, carbon performance and market value</w:t>
      </w:r>
      <w:r>
        <w:rPr>
          <w:rFonts w:ascii="Times New Roman" w:eastAsia="Times New Roman" w:hAnsi="Times New Roman" w:cs="Times New Roman"/>
        </w:rPr>
        <w:t>.</w:t>
      </w:r>
      <w:r w:rsidR="00147C41" w:rsidRPr="00F06767">
        <w:rPr>
          <w:rFonts w:ascii="Times New Roman" w:eastAsia="Times New Roman" w:hAnsi="Times New Roman" w:cs="Times New Roman"/>
          <w:spacing w:val="-1"/>
          <w:kern w:val="3"/>
          <w:lang w:eastAsia="en-US"/>
        </w:rPr>
        <w:t> </w:t>
      </w:r>
      <w:r w:rsidR="00147C41" w:rsidRPr="00F06767">
        <w:rPr>
          <w:rFonts w:ascii="Times New Roman" w:eastAsia="Times New Roman" w:hAnsi="Times New Roman" w:cs="Times New Roman"/>
          <w:i/>
          <w:iCs/>
          <w:spacing w:val="-1"/>
          <w:kern w:val="3"/>
          <w:lang w:eastAsia="en-US"/>
        </w:rPr>
        <w:t>British Journal of Management</w:t>
      </w:r>
      <w:r>
        <w:rPr>
          <w:rFonts w:ascii="Times New Roman" w:eastAsia="Times New Roman" w:hAnsi="Times New Roman" w:cs="Times New Roman"/>
          <w:spacing w:val="-1"/>
          <w:kern w:val="3"/>
          <w:lang w:eastAsia="en-US"/>
        </w:rPr>
        <w:t>.</w:t>
      </w:r>
      <w:r w:rsidR="00147C41" w:rsidRPr="00F06767">
        <w:rPr>
          <w:rFonts w:ascii="Times New Roman" w:hAnsi="Times New Roman" w:cs="Times New Roman"/>
        </w:rPr>
        <w:t xml:space="preserve"> </w:t>
      </w:r>
      <w:r>
        <w:rPr>
          <w:rFonts w:ascii="Times New Roman" w:eastAsia="Times New Roman" w:hAnsi="Times New Roman" w:cs="Times New Roman"/>
          <w:bCs/>
          <w:spacing w:val="-1"/>
          <w:kern w:val="3"/>
          <w:lang w:eastAsia="en-US"/>
        </w:rPr>
        <w:t>31(3), 525-546</w:t>
      </w:r>
    </w:p>
    <w:p w14:paraId="5E40A25A" w14:textId="2EE44EED" w:rsidR="00147C41" w:rsidRPr="00F06767" w:rsidRDefault="00664700" w:rsidP="003D25A1">
      <w:pPr>
        <w:widowControl w:val="0"/>
        <w:suppressAutoHyphens/>
        <w:autoSpaceDN w:val="0"/>
        <w:spacing w:after="120" w:line="240" w:lineRule="auto"/>
        <w:jc w:val="both"/>
        <w:textAlignment w:val="baseline"/>
        <w:rPr>
          <w:rFonts w:ascii="Times New Roman" w:hAnsi="Times New Roman" w:cs="Times New Roman"/>
          <w:spacing w:val="-1"/>
          <w:kern w:val="3"/>
          <w:lang w:eastAsia="en-US"/>
        </w:rPr>
      </w:pPr>
      <w:r>
        <w:rPr>
          <w:rFonts w:ascii="Times New Roman" w:hAnsi="Times New Roman" w:cs="Times New Roman"/>
          <w:spacing w:val="-1"/>
          <w:kern w:val="3"/>
          <w:lang w:eastAsia="en-US"/>
        </w:rPr>
        <w:t>Hartzell, J.C. &amp;</w:t>
      </w:r>
      <w:r w:rsidR="00147C41" w:rsidRPr="00F06767">
        <w:rPr>
          <w:rFonts w:ascii="Times New Roman" w:hAnsi="Times New Roman" w:cs="Times New Roman"/>
          <w:spacing w:val="-1"/>
          <w:kern w:val="3"/>
          <w:lang w:eastAsia="en-US"/>
        </w:rPr>
        <w:t xml:space="preserve"> Starks, L.T. (2003)</w:t>
      </w:r>
      <w:r>
        <w:rPr>
          <w:rFonts w:ascii="Times New Roman" w:hAnsi="Times New Roman" w:cs="Times New Roman"/>
        </w:rPr>
        <w:t xml:space="preserve">. </w:t>
      </w:r>
      <w:r w:rsidR="00147C41" w:rsidRPr="00F06767">
        <w:rPr>
          <w:rFonts w:ascii="Times New Roman" w:hAnsi="Times New Roman" w:cs="Times New Roman"/>
          <w:spacing w:val="-1"/>
          <w:kern w:val="3"/>
          <w:lang w:eastAsia="en-US"/>
        </w:rPr>
        <w:t>Institutional invest</w:t>
      </w:r>
      <w:r>
        <w:rPr>
          <w:rFonts w:ascii="Times New Roman" w:hAnsi="Times New Roman" w:cs="Times New Roman"/>
          <w:spacing w:val="-1"/>
          <w:kern w:val="3"/>
          <w:lang w:eastAsia="en-US"/>
        </w:rPr>
        <w:t>ors and executive compensation.</w:t>
      </w:r>
      <w:r w:rsidR="00147C41" w:rsidRPr="00F06767">
        <w:rPr>
          <w:rFonts w:ascii="Times New Roman" w:hAnsi="Times New Roman" w:cs="Times New Roman"/>
          <w:spacing w:val="-1"/>
          <w:kern w:val="3"/>
          <w:lang w:eastAsia="en-US"/>
        </w:rPr>
        <w:t xml:space="preserve"> </w:t>
      </w:r>
      <w:r w:rsidR="00147C41" w:rsidRPr="00F06767">
        <w:rPr>
          <w:rFonts w:ascii="Times New Roman" w:hAnsi="Times New Roman" w:cs="Times New Roman"/>
          <w:i/>
          <w:spacing w:val="-1"/>
          <w:kern w:val="3"/>
          <w:lang w:eastAsia="en-US"/>
        </w:rPr>
        <w:t>Journal of Finance</w:t>
      </w:r>
      <w:r>
        <w:rPr>
          <w:rFonts w:ascii="Times New Roman" w:hAnsi="Times New Roman" w:cs="Times New Roman"/>
          <w:spacing w:val="-1"/>
          <w:kern w:val="3"/>
          <w:lang w:eastAsia="en-US"/>
        </w:rPr>
        <w:t xml:space="preserve">, </w:t>
      </w:r>
      <w:r w:rsidR="00147C41" w:rsidRPr="00F06767">
        <w:rPr>
          <w:rFonts w:ascii="Times New Roman" w:hAnsi="Times New Roman" w:cs="Times New Roman"/>
          <w:spacing w:val="-1"/>
          <w:kern w:val="3"/>
          <w:lang w:eastAsia="en-US"/>
        </w:rPr>
        <w:t>58</w:t>
      </w:r>
      <w:r>
        <w:rPr>
          <w:rFonts w:ascii="Times New Roman" w:hAnsi="Times New Roman" w:cs="Times New Roman"/>
          <w:spacing w:val="-1"/>
          <w:kern w:val="3"/>
          <w:lang w:eastAsia="en-US"/>
        </w:rPr>
        <w:t xml:space="preserve">(6), </w:t>
      </w:r>
      <w:r w:rsidR="00147C41" w:rsidRPr="00F06767">
        <w:rPr>
          <w:rFonts w:ascii="Times New Roman" w:hAnsi="Times New Roman" w:cs="Times New Roman"/>
          <w:spacing w:val="-1"/>
          <w:kern w:val="3"/>
          <w:lang w:eastAsia="en-US"/>
        </w:rPr>
        <w:t>2351-2374.</w:t>
      </w:r>
    </w:p>
    <w:p w14:paraId="70A13F98" w14:textId="77777777" w:rsidR="00147C41" w:rsidRPr="00F06767" w:rsidRDefault="00147C41" w:rsidP="003D25A1">
      <w:pPr>
        <w:autoSpaceDE w:val="0"/>
        <w:autoSpaceDN w:val="0"/>
        <w:adjustRightInd w:val="0"/>
        <w:spacing w:after="0"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lang w:eastAsia="en-US"/>
        </w:rPr>
        <w:t xml:space="preserve">Jensen, M. C., &amp; </w:t>
      </w:r>
      <w:proofErr w:type="spellStart"/>
      <w:r w:rsidRPr="00F06767">
        <w:rPr>
          <w:rFonts w:ascii="Times New Roman" w:eastAsiaTheme="minorHAnsi" w:hAnsi="Times New Roman" w:cs="Times New Roman"/>
          <w:lang w:eastAsia="en-US"/>
        </w:rPr>
        <w:t>Meckling</w:t>
      </w:r>
      <w:proofErr w:type="spellEnd"/>
      <w:r w:rsidRPr="00F06767">
        <w:rPr>
          <w:rFonts w:ascii="Times New Roman" w:eastAsiaTheme="minorHAnsi" w:hAnsi="Times New Roman" w:cs="Times New Roman"/>
          <w:lang w:eastAsia="en-US"/>
        </w:rPr>
        <w:t>, W. H. (1976). Theory of the firm: Managerial behaviour, agency</w:t>
      </w:r>
    </w:p>
    <w:p w14:paraId="75118F72" w14:textId="5D368E38" w:rsidR="00147C41" w:rsidRDefault="00147C41" w:rsidP="003D25A1">
      <w:pPr>
        <w:autoSpaceDE w:val="0"/>
        <w:autoSpaceDN w:val="0"/>
        <w:adjustRightInd w:val="0"/>
        <w:spacing w:after="0"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lang w:eastAsia="en-US"/>
        </w:rPr>
        <w:t xml:space="preserve">costs and ownership structure. </w:t>
      </w:r>
      <w:r w:rsidRPr="00F06767">
        <w:rPr>
          <w:rFonts w:ascii="Times New Roman" w:eastAsiaTheme="minorHAnsi" w:hAnsi="Times New Roman" w:cs="Times New Roman"/>
          <w:i/>
          <w:iCs/>
          <w:lang w:eastAsia="en-US"/>
        </w:rPr>
        <w:t>Jo</w:t>
      </w:r>
      <w:r w:rsidR="00664700">
        <w:rPr>
          <w:rFonts w:ascii="Times New Roman" w:eastAsiaTheme="minorHAnsi" w:hAnsi="Times New Roman" w:cs="Times New Roman"/>
          <w:i/>
          <w:iCs/>
          <w:lang w:eastAsia="en-US"/>
        </w:rPr>
        <w:t xml:space="preserve">urnal of Financial Economics, </w:t>
      </w:r>
      <w:r w:rsidR="00664700" w:rsidRPr="00664700">
        <w:rPr>
          <w:rFonts w:ascii="Times New Roman" w:eastAsiaTheme="minorHAnsi" w:hAnsi="Times New Roman" w:cs="Times New Roman"/>
          <w:iCs/>
          <w:lang w:eastAsia="en-US"/>
        </w:rPr>
        <w:t>3(4)</w:t>
      </w:r>
      <w:r w:rsidRPr="00664700">
        <w:rPr>
          <w:rFonts w:ascii="Times New Roman" w:eastAsiaTheme="minorHAnsi" w:hAnsi="Times New Roman" w:cs="Times New Roman"/>
          <w:lang w:eastAsia="en-US"/>
        </w:rPr>
        <w:t>,</w:t>
      </w:r>
      <w:r w:rsidRPr="00F06767">
        <w:rPr>
          <w:rFonts w:ascii="Times New Roman" w:eastAsiaTheme="minorHAnsi" w:hAnsi="Times New Roman" w:cs="Times New Roman"/>
          <w:lang w:eastAsia="en-US"/>
        </w:rPr>
        <w:t xml:space="preserve"> 235–360.</w:t>
      </w:r>
    </w:p>
    <w:p w14:paraId="6221D453" w14:textId="77777777" w:rsidR="00664700" w:rsidRPr="00F06767" w:rsidRDefault="00664700" w:rsidP="003D25A1">
      <w:pPr>
        <w:autoSpaceDE w:val="0"/>
        <w:autoSpaceDN w:val="0"/>
        <w:adjustRightInd w:val="0"/>
        <w:spacing w:after="0" w:line="240" w:lineRule="auto"/>
        <w:jc w:val="both"/>
        <w:rPr>
          <w:rFonts w:ascii="Times New Roman" w:eastAsiaTheme="minorHAnsi" w:hAnsi="Times New Roman" w:cs="Times New Roman"/>
          <w:lang w:eastAsia="en-US"/>
        </w:rPr>
      </w:pPr>
    </w:p>
    <w:p w14:paraId="3DB8F18A" w14:textId="77777777" w:rsidR="00147C41" w:rsidRPr="00F06767" w:rsidRDefault="00147C41" w:rsidP="003D25A1">
      <w:pPr>
        <w:autoSpaceDE w:val="0"/>
        <w:autoSpaceDN w:val="0"/>
        <w:adjustRightInd w:val="0"/>
        <w:spacing w:after="0"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lang w:eastAsia="en-US"/>
        </w:rPr>
        <w:t xml:space="preserve">Jensen, M. C., &amp; Murphy, K. J. (1990). Performance </w:t>
      </w:r>
      <w:proofErr w:type="gramStart"/>
      <w:r w:rsidRPr="00F06767">
        <w:rPr>
          <w:rFonts w:ascii="Times New Roman" w:eastAsiaTheme="minorHAnsi" w:hAnsi="Times New Roman" w:cs="Times New Roman"/>
          <w:lang w:eastAsia="en-US"/>
        </w:rPr>
        <w:t>pay</w:t>
      </w:r>
      <w:proofErr w:type="gramEnd"/>
      <w:r w:rsidRPr="00F06767">
        <w:rPr>
          <w:rFonts w:ascii="Times New Roman" w:eastAsiaTheme="minorHAnsi" w:hAnsi="Times New Roman" w:cs="Times New Roman"/>
          <w:lang w:eastAsia="en-US"/>
        </w:rPr>
        <w:t xml:space="preserve"> and top-management incentives.</w:t>
      </w:r>
    </w:p>
    <w:p w14:paraId="7B170EF9" w14:textId="0FF52E7D" w:rsidR="00147C41" w:rsidRDefault="00147C41" w:rsidP="003D25A1">
      <w:pPr>
        <w:spacing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i/>
          <w:iCs/>
          <w:lang w:eastAsia="en-US"/>
        </w:rPr>
        <w:t>Journal of Political Economy</w:t>
      </w:r>
      <w:r w:rsidRPr="00664700">
        <w:rPr>
          <w:rFonts w:ascii="Times New Roman" w:eastAsiaTheme="minorHAnsi" w:hAnsi="Times New Roman" w:cs="Times New Roman"/>
          <w:iCs/>
          <w:lang w:eastAsia="en-US"/>
        </w:rPr>
        <w:t>, 98</w:t>
      </w:r>
      <w:r w:rsidR="00664700" w:rsidRPr="00664700">
        <w:rPr>
          <w:rFonts w:ascii="Times New Roman" w:eastAsiaTheme="minorHAnsi" w:hAnsi="Times New Roman" w:cs="Times New Roman"/>
          <w:iCs/>
          <w:lang w:eastAsia="en-US"/>
        </w:rPr>
        <w:t>(2)</w:t>
      </w:r>
      <w:r w:rsidRPr="00664700">
        <w:rPr>
          <w:rFonts w:ascii="Times New Roman" w:eastAsiaTheme="minorHAnsi" w:hAnsi="Times New Roman" w:cs="Times New Roman"/>
          <w:lang w:eastAsia="en-US"/>
        </w:rPr>
        <w:t>,</w:t>
      </w:r>
      <w:r w:rsidRPr="00F06767">
        <w:rPr>
          <w:rFonts w:ascii="Times New Roman" w:eastAsiaTheme="minorHAnsi" w:hAnsi="Times New Roman" w:cs="Times New Roman"/>
          <w:lang w:eastAsia="en-US"/>
        </w:rPr>
        <w:t xml:space="preserve"> 225–264.</w:t>
      </w:r>
    </w:p>
    <w:p w14:paraId="3EA6707A" w14:textId="6C67087F" w:rsidR="00147C41" w:rsidRPr="00C72A40" w:rsidRDefault="00147C41" w:rsidP="003D25A1">
      <w:pPr>
        <w:suppressAutoHyphens/>
        <w:autoSpaceDN w:val="0"/>
        <w:spacing w:after="120" w:line="240" w:lineRule="auto"/>
        <w:textAlignment w:val="baseline"/>
        <w:rPr>
          <w:rFonts w:ascii="Times New Roman" w:hAnsi="Times New Roman" w:cs="Times New Roman"/>
          <w:color w:val="000000" w:themeColor="text1"/>
          <w:szCs w:val="24"/>
        </w:rPr>
      </w:pPr>
      <w:r w:rsidRPr="00C72A40">
        <w:rPr>
          <w:rFonts w:ascii="Times New Roman" w:hAnsi="Times New Roman" w:cs="Times New Roman"/>
          <w:color w:val="000000" w:themeColor="text1"/>
          <w:szCs w:val="24"/>
        </w:rPr>
        <w:t>Ka</w:t>
      </w:r>
      <w:r w:rsidR="00664700">
        <w:rPr>
          <w:rFonts w:ascii="Times New Roman" w:hAnsi="Times New Roman" w:cs="Times New Roman"/>
          <w:color w:val="000000" w:themeColor="text1"/>
          <w:szCs w:val="24"/>
        </w:rPr>
        <w:t xml:space="preserve">plan, S.N. &amp; </w:t>
      </w:r>
      <w:proofErr w:type="spellStart"/>
      <w:r w:rsidR="00664700">
        <w:rPr>
          <w:rFonts w:ascii="Times New Roman" w:hAnsi="Times New Roman" w:cs="Times New Roman"/>
          <w:color w:val="000000" w:themeColor="text1"/>
          <w:szCs w:val="24"/>
        </w:rPr>
        <w:t>Rauh</w:t>
      </w:r>
      <w:proofErr w:type="spellEnd"/>
      <w:r w:rsidR="00664700">
        <w:rPr>
          <w:rFonts w:ascii="Times New Roman" w:hAnsi="Times New Roman" w:cs="Times New Roman"/>
          <w:color w:val="000000" w:themeColor="text1"/>
          <w:szCs w:val="24"/>
        </w:rPr>
        <w:t xml:space="preserve">, J. (2010). </w:t>
      </w:r>
      <w:r w:rsidRPr="00C72A40">
        <w:rPr>
          <w:rFonts w:ascii="Times New Roman" w:hAnsi="Times New Roman" w:cs="Times New Roman"/>
          <w:color w:val="000000" w:themeColor="text1"/>
          <w:szCs w:val="24"/>
        </w:rPr>
        <w:t xml:space="preserve">Wall Street and Main Street: </w:t>
      </w:r>
      <w:r>
        <w:rPr>
          <w:rFonts w:ascii="Times New Roman" w:hAnsi="Times New Roman" w:cs="Times New Roman"/>
          <w:color w:val="000000" w:themeColor="text1"/>
          <w:szCs w:val="24"/>
        </w:rPr>
        <w:t>w</w:t>
      </w:r>
      <w:r w:rsidRPr="00C72A40">
        <w:rPr>
          <w:rFonts w:ascii="Times New Roman" w:hAnsi="Times New Roman" w:cs="Times New Roman"/>
          <w:color w:val="000000" w:themeColor="text1"/>
          <w:szCs w:val="24"/>
        </w:rPr>
        <w:t>hat contributes to the rise in the highest incomes? </w:t>
      </w:r>
      <w:r w:rsidRPr="00C72A40">
        <w:rPr>
          <w:rFonts w:ascii="Times New Roman" w:hAnsi="Times New Roman" w:cs="Times New Roman"/>
          <w:i/>
          <w:iCs/>
          <w:color w:val="000000" w:themeColor="text1"/>
          <w:szCs w:val="24"/>
        </w:rPr>
        <w:t>The Review of Financial Studies</w:t>
      </w:r>
      <w:r w:rsidR="00664700">
        <w:rPr>
          <w:rFonts w:ascii="Times New Roman" w:hAnsi="Times New Roman" w:cs="Times New Roman"/>
          <w:color w:val="000000" w:themeColor="text1"/>
          <w:szCs w:val="24"/>
        </w:rPr>
        <w:t xml:space="preserve">, </w:t>
      </w:r>
      <w:r w:rsidRPr="00C72A40">
        <w:rPr>
          <w:rFonts w:ascii="Times New Roman" w:hAnsi="Times New Roman" w:cs="Times New Roman"/>
          <w:i/>
          <w:iCs/>
          <w:color w:val="000000" w:themeColor="text1"/>
          <w:szCs w:val="24"/>
        </w:rPr>
        <w:t xml:space="preserve">23 </w:t>
      </w:r>
      <w:r w:rsidR="00664700">
        <w:rPr>
          <w:rFonts w:ascii="Times New Roman" w:hAnsi="Times New Roman" w:cs="Times New Roman"/>
          <w:iCs/>
          <w:color w:val="000000" w:themeColor="text1"/>
          <w:szCs w:val="24"/>
        </w:rPr>
        <w:t>(</w:t>
      </w:r>
      <w:r w:rsidRPr="00C72A40">
        <w:rPr>
          <w:rFonts w:ascii="Times New Roman" w:hAnsi="Times New Roman" w:cs="Times New Roman"/>
          <w:color w:val="000000" w:themeColor="text1"/>
          <w:szCs w:val="24"/>
        </w:rPr>
        <w:t>3</w:t>
      </w:r>
      <w:r w:rsidR="00664700">
        <w:rPr>
          <w:rFonts w:ascii="Times New Roman" w:hAnsi="Times New Roman" w:cs="Times New Roman"/>
          <w:color w:val="000000" w:themeColor="text1"/>
          <w:szCs w:val="24"/>
        </w:rPr>
        <w:t xml:space="preserve">), </w:t>
      </w:r>
      <w:r w:rsidRPr="00C72A40">
        <w:rPr>
          <w:rFonts w:ascii="Times New Roman" w:hAnsi="Times New Roman" w:cs="Times New Roman"/>
          <w:color w:val="000000" w:themeColor="text1"/>
          <w:szCs w:val="24"/>
        </w:rPr>
        <w:t>1004-1050.</w:t>
      </w:r>
    </w:p>
    <w:p w14:paraId="1235C247" w14:textId="29EB738D" w:rsidR="00147C41" w:rsidRPr="00C72A40" w:rsidRDefault="00664700" w:rsidP="003D25A1">
      <w:pPr>
        <w:suppressAutoHyphens/>
        <w:autoSpaceDN w:val="0"/>
        <w:spacing w:after="120" w:line="240" w:lineRule="auto"/>
        <w:textAlignment w:val="baseline"/>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Kim, J., Li, Y. &amp; Zhang, L. (2011). </w:t>
      </w:r>
      <w:r w:rsidR="00147C41" w:rsidRPr="00C72A40">
        <w:rPr>
          <w:rFonts w:ascii="Times New Roman" w:hAnsi="Times New Roman" w:cs="Times New Roman"/>
          <w:color w:val="000000" w:themeColor="text1"/>
          <w:szCs w:val="24"/>
        </w:rPr>
        <w:t xml:space="preserve">CFOs versus CEOs: </w:t>
      </w:r>
      <w:r w:rsidR="00147C41">
        <w:rPr>
          <w:rFonts w:ascii="Times New Roman" w:hAnsi="Times New Roman" w:cs="Times New Roman"/>
          <w:color w:val="000000" w:themeColor="text1"/>
          <w:szCs w:val="24"/>
        </w:rPr>
        <w:t>e</w:t>
      </w:r>
      <w:r w:rsidR="00147C41" w:rsidRPr="00C72A40">
        <w:rPr>
          <w:rFonts w:ascii="Times New Roman" w:hAnsi="Times New Roman" w:cs="Times New Roman"/>
          <w:color w:val="000000" w:themeColor="text1"/>
          <w:szCs w:val="24"/>
        </w:rPr>
        <w:t xml:space="preserve">quity </w:t>
      </w:r>
      <w:r w:rsidR="00147C41">
        <w:rPr>
          <w:rFonts w:ascii="Times New Roman" w:hAnsi="Times New Roman" w:cs="Times New Roman"/>
          <w:color w:val="000000" w:themeColor="text1"/>
          <w:szCs w:val="24"/>
        </w:rPr>
        <w:t>i</w:t>
      </w:r>
      <w:r w:rsidR="00147C41" w:rsidRPr="00C72A40">
        <w:rPr>
          <w:rFonts w:ascii="Times New Roman" w:hAnsi="Times New Roman" w:cs="Times New Roman"/>
          <w:color w:val="000000" w:themeColor="text1"/>
          <w:szCs w:val="24"/>
        </w:rPr>
        <w:t xml:space="preserve">ncentives and </w:t>
      </w:r>
      <w:r w:rsidR="00147C41">
        <w:rPr>
          <w:rFonts w:ascii="Times New Roman" w:hAnsi="Times New Roman" w:cs="Times New Roman"/>
          <w:color w:val="000000" w:themeColor="text1"/>
          <w:szCs w:val="24"/>
        </w:rPr>
        <w:t>c</w:t>
      </w:r>
      <w:r w:rsidR="00147C41" w:rsidRPr="00C72A40">
        <w:rPr>
          <w:rFonts w:ascii="Times New Roman" w:hAnsi="Times New Roman" w:cs="Times New Roman"/>
          <w:color w:val="000000" w:themeColor="text1"/>
          <w:szCs w:val="24"/>
        </w:rPr>
        <w:t>rashes</w:t>
      </w:r>
      <w:r>
        <w:rPr>
          <w:rFonts w:ascii="Times New Roman" w:hAnsi="Times New Roman" w:cs="Times New Roman"/>
          <w:color w:val="000000" w:themeColor="text1"/>
          <w:szCs w:val="24"/>
        </w:rPr>
        <w:t>.</w:t>
      </w:r>
      <w:r w:rsidR="00147C41" w:rsidRPr="00C72A40">
        <w:rPr>
          <w:rFonts w:ascii="Times New Roman" w:hAnsi="Times New Roman" w:cs="Times New Roman"/>
          <w:color w:val="000000" w:themeColor="text1"/>
          <w:szCs w:val="24"/>
        </w:rPr>
        <w:t xml:space="preserve"> </w:t>
      </w:r>
      <w:r>
        <w:rPr>
          <w:rFonts w:ascii="Times New Roman" w:hAnsi="Times New Roman" w:cs="Times New Roman"/>
          <w:i/>
          <w:color w:val="000000" w:themeColor="text1"/>
          <w:szCs w:val="24"/>
        </w:rPr>
        <w:t>Journal of Financial Economics,</w:t>
      </w:r>
      <w:r w:rsidR="00147C41" w:rsidRPr="00C72A40">
        <w:rPr>
          <w:rFonts w:ascii="Times New Roman" w:hAnsi="Times New Roman" w:cs="Times New Roman"/>
          <w:color w:val="000000" w:themeColor="text1"/>
          <w:szCs w:val="24"/>
        </w:rPr>
        <w:t xml:space="preserve"> 101</w:t>
      </w:r>
      <w:r>
        <w:rPr>
          <w:rFonts w:ascii="Times New Roman" w:hAnsi="Times New Roman" w:cs="Times New Roman"/>
          <w:color w:val="000000" w:themeColor="text1"/>
          <w:szCs w:val="24"/>
        </w:rPr>
        <w:t>(3),</w:t>
      </w:r>
      <w:r w:rsidR="00147C41" w:rsidRPr="00C72A40">
        <w:rPr>
          <w:rFonts w:ascii="Times New Roman" w:hAnsi="Times New Roman" w:cs="Times New Roman"/>
          <w:color w:val="000000" w:themeColor="text1"/>
          <w:szCs w:val="24"/>
        </w:rPr>
        <w:t xml:space="preserve"> 713-730. </w:t>
      </w:r>
    </w:p>
    <w:p w14:paraId="336ADBFC" w14:textId="2ACDB0B6" w:rsidR="00147C41" w:rsidRPr="00F06767" w:rsidRDefault="00147C41" w:rsidP="003D25A1">
      <w:pPr>
        <w:spacing w:line="240" w:lineRule="auto"/>
        <w:jc w:val="both"/>
        <w:rPr>
          <w:rFonts w:ascii="Times New Roman" w:eastAsiaTheme="minorHAnsi" w:hAnsi="Times New Roman" w:cs="Times New Roman"/>
          <w:lang w:eastAsia="en-US"/>
        </w:rPr>
      </w:pPr>
      <w:proofErr w:type="spellStart"/>
      <w:r w:rsidRPr="00C72A40">
        <w:rPr>
          <w:rFonts w:ascii="Times New Roman" w:hAnsi="Times New Roman" w:cs="Times New Roman"/>
          <w:color w:val="000000" w:themeColor="text1"/>
          <w:szCs w:val="24"/>
          <w:lang w:eastAsia="en-US"/>
        </w:rPr>
        <w:t>Kini</w:t>
      </w:r>
      <w:proofErr w:type="spellEnd"/>
      <w:r w:rsidRPr="00C72A40">
        <w:rPr>
          <w:rFonts w:ascii="Times New Roman" w:hAnsi="Times New Roman" w:cs="Times New Roman"/>
          <w:color w:val="000000" w:themeColor="text1"/>
          <w:szCs w:val="24"/>
          <w:lang w:eastAsia="en-US"/>
        </w:rPr>
        <w:t>,</w:t>
      </w:r>
      <w:r w:rsidR="00664700">
        <w:rPr>
          <w:rFonts w:ascii="Times New Roman" w:hAnsi="Times New Roman" w:cs="Times New Roman"/>
          <w:color w:val="000000" w:themeColor="text1"/>
          <w:szCs w:val="24"/>
          <w:lang w:eastAsia="en-US"/>
        </w:rPr>
        <w:t xml:space="preserve"> O. &amp; Williams, R. (2012). </w:t>
      </w:r>
      <w:r w:rsidRPr="00C72A40">
        <w:rPr>
          <w:rFonts w:ascii="Times New Roman" w:hAnsi="Times New Roman" w:cs="Times New Roman"/>
          <w:color w:val="000000" w:themeColor="text1"/>
          <w:szCs w:val="24"/>
          <w:lang w:eastAsia="en-US"/>
        </w:rPr>
        <w:t xml:space="preserve">Tournament incentives, </w:t>
      </w:r>
      <w:r>
        <w:rPr>
          <w:rFonts w:ascii="Times New Roman" w:hAnsi="Times New Roman" w:cs="Times New Roman"/>
          <w:color w:val="000000" w:themeColor="text1"/>
          <w:szCs w:val="24"/>
          <w:lang w:eastAsia="en-US"/>
        </w:rPr>
        <w:t>f</w:t>
      </w:r>
      <w:r w:rsidRPr="00C72A40">
        <w:rPr>
          <w:rFonts w:ascii="Times New Roman" w:hAnsi="Times New Roman" w:cs="Times New Roman"/>
          <w:color w:val="000000" w:themeColor="text1"/>
          <w:szCs w:val="24"/>
          <w:lang w:eastAsia="en-US"/>
        </w:rPr>
        <w:t xml:space="preserve">irm risk, and </w:t>
      </w:r>
      <w:r>
        <w:rPr>
          <w:rFonts w:ascii="Times New Roman" w:hAnsi="Times New Roman" w:cs="Times New Roman"/>
          <w:color w:val="000000" w:themeColor="text1"/>
          <w:szCs w:val="24"/>
          <w:lang w:eastAsia="en-US"/>
        </w:rPr>
        <w:t>c</w:t>
      </w:r>
      <w:r w:rsidRPr="00C72A40">
        <w:rPr>
          <w:rFonts w:ascii="Times New Roman" w:hAnsi="Times New Roman" w:cs="Times New Roman"/>
          <w:color w:val="000000" w:themeColor="text1"/>
          <w:szCs w:val="24"/>
          <w:lang w:eastAsia="en-US"/>
        </w:rPr>
        <w:t xml:space="preserve">orporate </w:t>
      </w:r>
      <w:r>
        <w:rPr>
          <w:rFonts w:ascii="Times New Roman" w:hAnsi="Times New Roman" w:cs="Times New Roman"/>
          <w:color w:val="000000" w:themeColor="text1"/>
          <w:szCs w:val="24"/>
          <w:lang w:eastAsia="en-US"/>
        </w:rPr>
        <w:t>p</w:t>
      </w:r>
      <w:r w:rsidRPr="00C72A40">
        <w:rPr>
          <w:rFonts w:ascii="Times New Roman" w:hAnsi="Times New Roman" w:cs="Times New Roman"/>
          <w:color w:val="000000" w:themeColor="text1"/>
          <w:szCs w:val="24"/>
          <w:lang w:eastAsia="en-US"/>
        </w:rPr>
        <w:t>olicies</w:t>
      </w:r>
      <w:r w:rsidR="00664700">
        <w:rPr>
          <w:rFonts w:ascii="Times New Roman" w:eastAsia="Times New Roman" w:hAnsi="Times New Roman" w:cs="Times New Roman"/>
          <w:color w:val="000000" w:themeColor="text1"/>
          <w:szCs w:val="24"/>
        </w:rPr>
        <w:t>.</w:t>
      </w:r>
      <w:r w:rsidRPr="00C72A40">
        <w:rPr>
          <w:rFonts w:ascii="Times New Roman" w:hAnsi="Times New Roman" w:cs="Times New Roman"/>
          <w:color w:val="000000" w:themeColor="text1"/>
          <w:szCs w:val="24"/>
          <w:lang w:eastAsia="en-US"/>
        </w:rPr>
        <w:t xml:space="preserve"> </w:t>
      </w:r>
      <w:r w:rsidRPr="00C72A40">
        <w:rPr>
          <w:rFonts w:ascii="Times New Roman" w:hAnsi="Times New Roman" w:cs="Times New Roman"/>
          <w:i/>
          <w:color w:val="000000" w:themeColor="text1"/>
          <w:szCs w:val="24"/>
          <w:lang w:eastAsia="en-US"/>
        </w:rPr>
        <w:t>Journal of Financial Economics,</w:t>
      </w:r>
      <w:r w:rsidR="00664700">
        <w:rPr>
          <w:rFonts w:ascii="Times New Roman" w:hAnsi="Times New Roman" w:cs="Times New Roman"/>
          <w:color w:val="000000" w:themeColor="text1"/>
          <w:szCs w:val="24"/>
          <w:lang w:eastAsia="en-US"/>
        </w:rPr>
        <w:t xml:space="preserve"> </w:t>
      </w:r>
      <w:r w:rsidRPr="00C72A40">
        <w:rPr>
          <w:rFonts w:ascii="Times New Roman" w:hAnsi="Times New Roman" w:cs="Times New Roman"/>
          <w:color w:val="000000" w:themeColor="text1"/>
          <w:szCs w:val="24"/>
          <w:lang w:eastAsia="en-US"/>
        </w:rPr>
        <w:t>103</w:t>
      </w:r>
      <w:r w:rsidR="00664700">
        <w:rPr>
          <w:rFonts w:ascii="Times New Roman" w:hAnsi="Times New Roman" w:cs="Times New Roman"/>
          <w:color w:val="000000" w:themeColor="text1"/>
          <w:szCs w:val="24"/>
          <w:lang w:eastAsia="en-US"/>
        </w:rPr>
        <w:t xml:space="preserve">(2), </w:t>
      </w:r>
      <w:r w:rsidRPr="00C72A40">
        <w:rPr>
          <w:rFonts w:ascii="Times New Roman" w:hAnsi="Times New Roman" w:cs="Times New Roman"/>
          <w:color w:val="000000" w:themeColor="text1"/>
          <w:szCs w:val="24"/>
          <w:lang w:eastAsia="en-US"/>
        </w:rPr>
        <w:t>350</w:t>
      </w:r>
      <w:r>
        <w:rPr>
          <w:rFonts w:ascii="Times New Roman" w:hAnsi="Times New Roman" w:cs="Times New Roman"/>
          <w:color w:val="000000" w:themeColor="text1"/>
          <w:szCs w:val="24"/>
          <w:lang w:eastAsia="en-US"/>
        </w:rPr>
        <w:t>-</w:t>
      </w:r>
      <w:r w:rsidRPr="00C72A40">
        <w:rPr>
          <w:rFonts w:ascii="Times New Roman" w:hAnsi="Times New Roman" w:cs="Times New Roman"/>
          <w:color w:val="000000" w:themeColor="text1"/>
          <w:szCs w:val="24"/>
          <w:lang w:eastAsia="en-US"/>
        </w:rPr>
        <w:t>376</w:t>
      </w:r>
    </w:p>
    <w:p w14:paraId="2586233F" w14:textId="77777777" w:rsidR="00147C41" w:rsidRPr="00F06767" w:rsidRDefault="00147C41" w:rsidP="003D25A1">
      <w:pPr>
        <w:autoSpaceDE w:val="0"/>
        <w:autoSpaceDN w:val="0"/>
        <w:adjustRightInd w:val="0"/>
        <w:spacing w:after="0"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lang w:eastAsia="en-US"/>
        </w:rPr>
        <w:t xml:space="preserve">King Committee. (1994/2002/2010). </w:t>
      </w:r>
      <w:r w:rsidRPr="00F06767">
        <w:rPr>
          <w:rFonts w:ascii="Times New Roman" w:eastAsiaTheme="minorHAnsi" w:hAnsi="Times New Roman" w:cs="Times New Roman"/>
          <w:i/>
          <w:iCs/>
          <w:lang w:eastAsia="en-US"/>
        </w:rPr>
        <w:t>King reports on corporate governance for South Africa</w:t>
      </w:r>
      <w:r w:rsidRPr="00F06767">
        <w:rPr>
          <w:rFonts w:ascii="Times New Roman" w:eastAsiaTheme="minorHAnsi" w:hAnsi="Times New Roman" w:cs="Times New Roman"/>
          <w:lang w:eastAsia="en-US"/>
        </w:rPr>
        <w:t>.</w:t>
      </w:r>
    </w:p>
    <w:p w14:paraId="2602F36B" w14:textId="77777777" w:rsidR="00147C41" w:rsidRPr="00F06767" w:rsidRDefault="00147C41" w:rsidP="003D25A1">
      <w:pPr>
        <w:spacing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lang w:eastAsia="en-US"/>
        </w:rPr>
        <w:t>Johannesburg: Institute of Directors.</w:t>
      </w:r>
    </w:p>
    <w:p w14:paraId="5A4106F1" w14:textId="6A31DF4A" w:rsidR="00147C41" w:rsidRPr="00F06767" w:rsidRDefault="00664700" w:rsidP="003D25A1">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Mehran, H. (1995), </w:t>
      </w:r>
      <w:r w:rsidR="00147C41" w:rsidRPr="00F06767">
        <w:rPr>
          <w:rFonts w:ascii="Times New Roman" w:hAnsi="Times New Roman" w:cs="Times New Roman"/>
        </w:rPr>
        <w:t xml:space="preserve">Executive compensation structure, </w:t>
      </w:r>
      <w:proofErr w:type="gramStart"/>
      <w:r w:rsidR="00147C41" w:rsidRPr="00F06767">
        <w:rPr>
          <w:rFonts w:ascii="Times New Roman" w:hAnsi="Times New Roman" w:cs="Times New Roman"/>
        </w:rPr>
        <w:t>ownership</w:t>
      </w:r>
      <w:proofErr w:type="gramEnd"/>
      <w:r w:rsidR="00147C41" w:rsidRPr="00F06767">
        <w:rPr>
          <w:rFonts w:ascii="Times New Roman" w:hAnsi="Times New Roman" w:cs="Times New Roman"/>
        </w:rPr>
        <w:t xml:space="preserve"> and firm performance. </w:t>
      </w:r>
      <w:r w:rsidR="00147C41" w:rsidRPr="00F06767">
        <w:rPr>
          <w:rFonts w:ascii="Times New Roman" w:hAnsi="Times New Roman" w:cs="Times New Roman"/>
          <w:i/>
        </w:rPr>
        <w:t>Journal of Financial Economics</w:t>
      </w:r>
      <w:r>
        <w:rPr>
          <w:rFonts w:ascii="Times New Roman" w:hAnsi="Times New Roman" w:cs="Times New Roman"/>
        </w:rPr>
        <w:t>, 38 (</w:t>
      </w:r>
      <w:r w:rsidR="00147C41" w:rsidRPr="00F06767">
        <w:rPr>
          <w:rFonts w:ascii="Times New Roman" w:hAnsi="Times New Roman" w:cs="Times New Roman"/>
        </w:rPr>
        <w:t>2</w:t>
      </w:r>
      <w:r>
        <w:rPr>
          <w:rFonts w:ascii="Times New Roman" w:hAnsi="Times New Roman" w:cs="Times New Roman"/>
        </w:rPr>
        <w:t xml:space="preserve">), </w:t>
      </w:r>
      <w:r w:rsidR="00147C41" w:rsidRPr="00F06767">
        <w:rPr>
          <w:rFonts w:ascii="Times New Roman" w:hAnsi="Times New Roman" w:cs="Times New Roman"/>
        </w:rPr>
        <w:t>163-184.</w:t>
      </w:r>
    </w:p>
    <w:p w14:paraId="0BB438CD" w14:textId="3A080299" w:rsidR="00147C41" w:rsidRPr="00F06767" w:rsidRDefault="00664700" w:rsidP="003D25A1">
      <w:pPr>
        <w:spacing w:before="120" w:after="120" w:line="240" w:lineRule="auto"/>
        <w:ind w:left="-17"/>
        <w:jc w:val="both"/>
        <w:rPr>
          <w:rFonts w:ascii="Times New Roman" w:hAnsi="Times New Roman" w:cs="Times New Roman"/>
        </w:rPr>
      </w:pPr>
      <w:r>
        <w:rPr>
          <w:rFonts w:ascii="Times New Roman" w:hAnsi="Times New Roman" w:cs="Times New Roman"/>
        </w:rPr>
        <w:t xml:space="preserve">Nguyen, T. (2018). </w:t>
      </w:r>
      <w:r w:rsidR="00147C41" w:rsidRPr="00F06767">
        <w:rPr>
          <w:rFonts w:ascii="Times New Roman" w:hAnsi="Times New Roman" w:cs="Times New Roman"/>
        </w:rPr>
        <w:t>CEO incen</w:t>
      </w:r>
      <w:r>
        <w:rPr>
          <w:rFonts w:ascii="Times New Roman" w:hAnsi="Times New Roman" w:cs="Times New Roman"/>
        </w:rPr>
        <w:t>tives and corporate innovation.</w:t>
      </w:r>
      <w:r w:rsidR="00147C41" w:rsidRPr="00F06767">
        <w:rPr>
          <w:rFonts w:ascii="Times New Roman" w:hAnsi="Times New Roman" w:cs="Times New Roman"/>
        </w:rPr>
        <w:t> </w:t>
      </w:r>
      <w:r w:rsidR="00147C41" w:rsidRPr="00F06767">
        <w:rPr>
          <w:rFonts w:ascii="Times New Roman" w:hAnsi="Times New Roman" w:cs="Times New Roman"/>
          <w:i/>
          <w:iCs/>
        </w:rPr>
        <w:t>Financial Review</w:t>
      </w:r>
      <w:r>
        <w:rPr>
          <w:rFonts w:ascii="Times New Roman" w:hAnsi="Times New Roman" w:cs="Times New Roman"/>
        </w:rPr>
        <w:t>, 53, (</w:t>
      </w:r>
      <w:r w:rsidR="00147C41" w:rsidRPr="00F06767">
        <w:rPr>
          <w:rFonts w:ascii="Times New Roman" w:hAnsi="Times New Roman" w:cs="Times New Roman"/>
        </w:rPr>
        <w:t>2</w:t>
      </w:r>
      <w:r>
        <w:rPr>
          <w:rFonts w:ascii="Times New Roman" w:hAnsi="Times New Roman" w:cs="Times New Roman"/>
        </w:rPr>
        <w:t xml:space="preserve">), </w:t>
      </w:r>
      <w:r w:rsidR="00147C41" w:rsidRPr="00F06767">
        <w:rPr>
          <w:rFonts w:ascii="Times New Roman" w:hAnsi="Times New Roman" w:cs="Times New Roman"/>
        </w:rPr>
        <w:t xml:space="preserve">255-300. </w:t>
      </w:r>
    </w:p>
    <w:p w14:paraId="1BF3BD82" w14:textId="4256EA48" w:rsidR="00147C41" w:rsidRPr="00F06767" w:rsidRDefault="00147C41" w:rsidP="003D25A1">
      <w:pPr>
        <w:spacing w:line="240" w:lineRule="auto"/>
        <w:jc w:val="both"/>
        <w:rPr>
          <w:rFonts w:ascii="Times New Roman" w:hAnsi="Times New Roman" w:cs="Times New Roman"/>
        </w:rPr>
      </w:pPr>
      <w:proofErr w:type="spellStart"/>
      <w:r w:rsidRPr="00F06767">
        <w:rPr>
          <w:rFonts w:ascii="Times New Roman" w:hAnsi="Times New Roman" w:cs="Times New Roman"/>
        </w:rPr>
        <w:t>Ntim</w:t>
      </w:r>
      <w:proofErr w:type="spellEnd"/>
      <w:r w:rsidRPr="00F06767">
        <w:rPr>
          <w:rFonts w:ascii="Times New Roman" w:hAnsi="Times New Roman" w:cs="Times New Roman"/>
        </w:rPr>
        <w:t xml:space="preserve">, C. G., S. </w:t>
      </w:r>
      <w:proofErr w:type="spellStart"/>
      <w:r w:rsidRPr="00F06767">
        <w:rPr>
          <w:rFonts w:ascii="Times New Roman" w:hAnsi="Times New Roman" w:cs="Times New Roman"/>
        </w:rPr>
        <w:t>Li</w:t>
      </w:r>
      <w:r w:rsidR="00664700">
        <w:rPr>
          <w:rFonts w:ascii="Times New Roman" w:hAnsi="Times New Roman" w:cs="Times New Roman"/>
        </w:rPr>
        <w:t>ndop</w:t>
      </w:r>
      <w:proofErr w:type="spellEnd"/>
      <w:r w:rsidR="00664700">
        <w:rPr>
          <w:rFonts w:ascii="Times New Roman" w:hAnsi="Times New Roman" w:cs="Times New Roman"/>
        </w:rPr>
        <w:t xml:space="preserve">, D. A. Thomas, H. Abdou &amp; K. K. Oppong (2019). </w:t>
      </w:r>
      <w:proofErr w:type="gramStart"/>
      <w:r w:rsidRPr="00F06767">
        <w:rPr>
          <w:rFonts w:ascii="Times New Roman" w:hAnsi="Times New Roman" w:cs="Times New Roman"/>
        </w:rPr>
        <w:t>Executive</w:t>
      </w:r>
      <w:proofErr w:type="gramEnd"/>
      <w:r w:rsidRPr="00F06767">
        <w:rPr>
          <w:rFonts w:ascii="Times New Roman" w:hAnsi="Times New Roman" w:cs="Times New Roman"/>
        </w:rPr>
        <w:t xml:space="preserve"> pay and performance: the moderating effect of CEO </w:t>
      </w:r>
      <w:r w:rsidR="00664700">
        <w:rPr>
          <w:rFonts w:ascii="Times New Roman" w:hAnsi="Times New Roman" w:cs="Times New Roman"/>
        </w:rPr>
        <w:t>power and governance structure.</w:t>
      </w:r>
      <w:r w:rsidRPr="00F06767">
        <w:rPr>
          <w:rFonts w:ascii="Times New Roman" w:hAnsi="Times New Roman" w:cs="Times New Roman"/>
        </w:rPr>
        <w:t xml:space="preserve"> </w:t>
      </w:r>
      <w:r w:rsidRPr="00664700">
        <w:rPr>
          <w:rFonts w:ascii="Times New Roman" w:hAnsi="Times New Roman" w:cs="Times New Roman"/>
          <w:i/>
        </w:rPr>
        <w:t>International Journal of Human Resource Management,</w:t>
      </w:r>
      <w:r w:rsidRPr="00F06767">
        <w:rPr>
          <w:rFonts w:ascii="Times New Roman" w:hAnsi="Times New Roman" w:cs="Times New Roman"/>
        </w:rPr>
        <w:t xml:space="preserve"> 30</w:t>
      </w:r>
      <w:r w:rsidR="00664700">
        <w:rPr>
          <w:rFonts w:ascii="Times New Roman" w:hAnsi="Times New Roman" w:cs="Times New Roman"/>
        </w:rPr>
        <w:t xml:space="preserve"> (6)</w:t>
      </w:r>
      <w:r w:rsidRPr="00F06767">
        <w:rPr>
          <w:rFonts w:ascii="Times New Roman" w:hAnsi="Times New Roman" w:cs="Times New Roman"/>
        </w:rPr>
        <w:t xml:space="preserve">, pp. 921– 963. </w:t>
      </w:r>
    </w:p>
    <w:p w14:paraId="70B9DE12" w14:textId="77777777" w:rsidR="00147C41" w:rsidRPr="00F06767" w:rsidRDefault="00147C41" w:rsidP="003D25A1">
      <w:pPr>
        <w:autoSpaceDE w:val="0"/>
        <w:autoSpaceDN w:val="0"/>
        <w:adjustRightInd w:val="0"/>
        <w:spacing w:after="0" w:line="240" w:lineRule="auto"/>
        <w:jc w:val="both"/>
        <w:rPr>
          <w:rFonts w:ascii="Times New Roman" w:eastAsiaTheme="minorHAnsi" w:hAnsi="Times New Roman" w:cs="Times New Roman"/>
          <w:lang w:eastAsia="en-US"/>
        </w:rPr>
      </w:pPr>
      <w:proofErr w:type="spellStart"/>
      <w:r w:rsidRPr="00F06767">
        <w:rPr>
          <w:rFonts w:ascii="Times New Roman" w:eastAsiaTheme="minorHAnsi" w:hAnsi="Times New Roman" w:cs="Times New Roman"/>
          <w:lang w:eastAsia="en-US"/>
        </w:rPr>
        <w:t>Ntim</w:t>
      </w:r>
      <w:proofErr w:type="spellEnd"/>
      <w:r w:rsidRPr="00F06767">
        <w:rPr>
          <w:rFonts w:ascii="Times New Roman" w:eastAsiaTheme="minorHAnsi" w:hAnsi="Times New Roman" w:cs="Times New Roman"/>
          <w:lang w:eastAsia="en-US"/>
        </w:rPr>
        <w:t xml:space="preserve">, C. G., </w:t>
      </w:r>
      <w:proofErr w:type="spellStart"/>
      <w:r w:rsidRPr="00F06767">
        <w:rPr>
          <w:rFonts w:ascii="Times New Roman" w:eastAsiaTheme="minorHAnsi" w:hAnsi="Times New Roman" w:cs="Times New Roman"/>
          <w:lang w:eastAsia="en-US"/>
        </w:rPr>
        <w:t>Lindop</w:t>
      </w:r>
      <w:proofErr w:type="spellEnd"/>
      <w:r w:rsidRPr="00F06767">
        <w:rPr>
          <w:rFonts w:ascii="Times New Roman" w:eastAsiaTheme="minorHAnsi" w:hAnsi="Times New Roman" w:cs="Times New Roman"/>
          <w:lang w:eastAsia="en-US"/>
        </w:rPr>
        <w:t>, S., Osei, K. A., &amp; Thomas, D. A. (2015). Executive compensation, corporate</w:t>
      </w:r>
    </w:p>
    <w:p w14:paraId="25893B12" w14:textId="77777777" w:rsidR="00147C41" w:rsidRPr="00F06767" w:rsidRDefault="00147C41" w:rsidP="003D25A1">
      <w:pPr>
        <w:autoSpaceDE w:val="0"/>
        <w:autoSpaceDN w:val="0"/>
        <w:adjustRightInd w:val="0"/>
        <w:spacing w:after="0" w:line="240" w:lineRule="auto"/>
        <w:jc w:val="both"/>
        <w:rPr>
          <w:rFonts w:ascii="Times New Roman" w:eastAsiaTheme="minorHAnsi" w:hAnsi="Times New Roman" w:cs="Times New Roman"/>
          <w:i/>
          <w:iCs/>
          <w:lang w:eastAsia="en-US"/>
        </w:rPr>
      </w:pPr>
      <w:r w:rsidRPr="00F06767">
        <w:rPr>
          <w:rFonts w:ascii="Times New Roman" w:eastAsiaTheme="minorHAnsi" w:hAnsi="Times New Roman" w:cs="Times New Roman"/>
          <w:lang w:eastAsia="en-US"/>
        </w:rPr>
        <w:t xml:space="preserve">governance and corporate performance: A simultaneous equation approach. </w:t>
      </w:r>
      <w:r w:rsidRPr="00F06767">
        <w:rPr>
          <w:rFonts w:ascii="Times New Roman" w:eastAsiaTheme="minorHAnsi" w:hAnsi="Times New Roman" w:cs="Times New Roman"/>
          <w:i/>
          <w:iCs/>
          <w:lang w:eastAsia="en-US"/>
        </w:rPr>
        <w:t>Managerial</w:t>
      </w:r>
    </w:p>
    <w:p w14:paraId="1CABF5FC" w14:textId="7481E635" w:rsidR="00147C41" w:rsidRDefault="00147C41" w:rsidP="003D25A1">
      <w:pPr>
        <w:spacing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i/>
          <w:iCs/>
          <w:lang w:eastAsia="en-US"/>
        </w:rPr>
        <w:t>and Decision Economics, 36</w:t>
      </w:r>
      <w:r w:rsidR="00664700">
        <w:rPr>
          <w:rFonts w:ascii="Times New Roman" w:eastAsiaTheme="minorHAnsi" w:hAnsi="Times New Roman" w:cs="Times New Roman"/>
          <w:i/>
          <w:iCs/>
          <w:lang w:eastAsia="en-US"/>
        </w:rPr>
        <w:t xml:space="preserve"> (2)</w:t>
      </w:r>
      <w:r w:rsidRPr="00F06767">
        <w:rPr>
          <w:rFonts w:ascii="Times New Roman" w:eastAsiaTheme="minorHAnsi" w:hAnsi="Times New Roman" w:cs="Times New Roman"/>
          <w:lang w:eastAsia="en-US"/>
        </w:rPr>
        <w:t>, 67–96.</w:t>
      </w:r>
    </w:p>
    <w:p w14:paraId="0C08933A" w14:textId="268E56BD" w:rsidR="00147C41" w:rsidRPr="00C30DBA" w:rsidRDefault="00147C41" w:rsidP="003D25A1">
      <w:pPr>
        <w:suppressAutoHyphens/>
        <w:autoSpaceDN w:val="0"/>
        <w:spacing w:after="120" w:line="240" w:lineRule="auto"/>
        <w:textAlignment w:val="baseline"/>
        <w:rPr>
          <w:rFonts w:ascii="Times New Roman" w:eastAsia="SimSun" w:hAnsi="Times New Roman" w:cs="Times New Roman"/>
          <w:color w:val="000000" w:themeColor="text1"/>
          <w:kern w:val="3"/>
          <w:szCs w:val="24"/>
          <w:lang w:eastAsia="en-US"/>
        </w:rPr>
      </w:pPr>
      <w:r w:rsidRPr="00C72A40">
        <w:rPr>
          <w:rFonts w:ascii="Times New Roman" w:eastAsia="SimSun" w:hAnsi="Times New Roman" w:cs="Times New Roman"/>
          <w:color w:val="000000" w:themeColor="text1"/>
          <w:kern w:val="3"/>
          <w:szCs w:val="24"/>
          <w:lang w:eastAsia="en-US"/>
        </w:rPr>
        <w:t>Ortiz-Molina, H.</w:t>
      </w:r>
      <w:r w:rsidR="00664700">
        <w:rPr>
          <w:rFonts w:ascii="Times New Roman" w:eastAsia="SimSun" w:hAnsi="Times New Roman" w:cs="Times New Roman"/>
          <w:color w:val="000000" w:themeColor="text1"/>
          <w:kern w:val="3"/>
          <w:szCs w:val="24"/>
          <w:lang w:eastAsia="en-US"/>
        </w:rPr>
        <w:t xml:space="preserve"> (2007). </w:t>
      </w:r>
      <w:r w:rsidRPr="00C72A40">
        <w:rPr>
          <w:rFonts w:ascii="Times New Roman" w:eastAsia="SimSun" w:hAnsi="Times New Roman" w:cs="Times New Roman"/>
          <w:color w:val="000000" w:themeColor="text1"/>
          <w:kern w:val="3"/>
          <w:szCs w:val="24"/>
          <w:lang w:eastAsia="en-US"/>
        </w:rPr>
        <w:t xml:space="preserve">Executive compensation and capital structure: </w:t>
      </w:r>
      <w:r>
        <w:rPr>
          <w:rFonts w:ascii="Times New Roman" w:eastAsia="SimSun" w:hAnsi="Times New Roman" w:cs="Times New Roman"/>
          <w:color w:val="000000" w:themeColor="text1"/>
          <w:kern w:val="3"/>
          <w:szCs w:val="24"/>
          <w:lang w:eastAsia="en-US"/>
        </w:rPr>
        <w:t>t</w:t>
      </w:r>
      <w:r w:rsidRPr="00C72A40">
        <w:rPr>
          <w:rFonts w:ascii="Times New Roman" w:eastAsia="SimSun" w:hAnsi="Times New Roman" w:cs="Times New Roman"/>
          <w:color w:val="000000" w:themeColor="text1"/>
          <w:kern w:val="3"/>
          <w:szCs w:val="24"/>
          <w:lang w:eastAsia="en-US"/>
        </w:rPr>
        <w:t>he effects of convertible debt and straight debt on CEO pay</w:t>
      </w:r>
      <w:r w:rsidR="00664700">
        <w:rPr>
          <w:rFonts w:ascii="Times New Roman" w:eastAsia="Times New Roman" w:hAnsi="Times New Roman" w:cs="Times New Roman"/>
          <w:color w:val="000000" w:themeColor="text1"/>
          <w:szCs w:val="24"/>
        </w:rPr>
        <w:t>.</w:t>
      </w:r>
      <w:r w:rsidRPr="00C72A40">
        <w:rPr>
          <w:rFonts w:ascii="Times New Roman" w:eastAsia="SimSun" w:hAnsi="Times New Roman" w:cs="Times New Roman"/>
          <w:color w:val="000000" w:themeColor="text1"/>
          <w:kern w:val="3"/>
          <w:szCs w:val="24"/>
          <w:lang w:eastAsia="en-US"/>
        </w:rPr>
        <w:t xml:space="preserve"> </w:t>
      </w:r>
      <w:r w:rsidRPr="00C72A40">
        <w:rPr>
          <w:rFonts w:ascii="Times New Roman" w:eastAsia="SimSun" w:hAnsi="Times New Roman" w:cs="Times New Roman"/>
          <w:i/>
          <w:color w:val="000000" w:themeColor="text1"/>
          <w:kern w:val="3"/>
          <w:szCs w:val="24"/>
          <w:lang w:eastAsia="en-US"/>
        </w:rPr>
        <w:t xml:space="preserve">Journal of Accounting and </w:t>
      </w:r>
      <w:proofErr w:type="gramStart"/>
      <w:r w:rsidRPr="00C72A40">
        <w:rPr>
          <w:rFonts w:ascii="Times New Roman" w:eastAsia="SimSun" w:hAnsi="Times New Roman" w:cs="Times New Roman"/>
          <w:i/>
          <w:color w:val="000000" w:themeColor="text1"/>
          <w:kern w:val="3"/>
          <w:szCs w:val="24"/>
          <w:lang w:eastAsia="en-US"/>
        </w:rPr>
        <w:t>Economics</w:t>
      </w:r>
      <w:r w:rsidR="00664700">
        <w:rPr>
          <w:rFonts w:ascii="Times New Roman" w:eastAsia="SimSun" w:hAnsi="Times New Roman" w:cs="Times New Roman"/>
          <w:color w:val="000000" w:themeColor="text1"/>
          <w:kern w:val="3"/>
          <w:szCs w:val="24"/>
          <w:lang w:eastAsia="en-US"/>
        </w:rPr>
        <w:t xml:space="preserve">  43</w:t>
      </w:r>
      <w:proofErr w:type="gramEnd"/>
      <w:r w:rsidR="00664700">
        <w:rPr>
          <w:rFonts w:ascii="Times New Roman" w:eastAsia="SimSun" w:hAnsi="Times New Roman" w:cs="Times New Roman"/>
          <w:color w:val="000000" w:themeColor="text1"/>
          <w:kern w:val="3"/>
          <w:szCs w:val="24"/>
          <w:lang w:eastAsia="en-US"/>
        </w:rPr>
        <w:t xml:space="preserve"> (</w:t>
      </w:r>
      <w:r w:rsidRPr="00C72A40">
        <w:rPr>
          <w:rFonts w:ascii="Times New Roman" w:eastAsia="SimSun" w:hAnsi="Times New Roman" w:cs="Times New Roman"/>
          <w:color w:val="000000" w:themeColor="text1"/>
          <w:kern w:val="3"/>
          <w:szCs w:val="24"/>
          <w:lang w:eastAsia="en-US"/>
        </w:rPr>
        <w:t>1</w:t>
      </w:r>
      <w:r w:rsidR="00664700">
        <w:rPr>
          <w:rFonts w:ascii="Times New Roman" w:eastAsia="SimSun" w:hAnsi="Times New Roman" w:cs="Times New Roman"/>
          <w:color w:val="000000" w:themeColor="text1"/>
          <w:kern w:val="3"/>
          <w:szCs w:val="24"/>
          <w:lang w:eastAsia="en-US"/>
        </w:rPr>
        <w:t xml:space="preserve">), </w:t>
      </w:r>
      <w:r w:rsidRPr="00C72A40">
        <w:rPr>
          <w:rFonts w:ascii="Times New Roman" w:eastAsia="SimSun" w:hAnsi="Times New Roman" w:cs="Times New Roman"/>
          <w:color w:val="000000" w:themeColor="text1"/>
          <w:kern w:val="3"/>
          <w:szCs w:val="24"/>
          <w:lang w:eastAsia="en-US"/>
        </w:rPr>
        <w:t>69-93.</w:t>
      </w:r>
    </w:p>
    <w:p w14:paraId="4004C0E8" w14:textId="77777777" w:rsidR="00147C41" w:rsidRPr="00F06767" w:rsidRDefault="00147C41" w:rsidP="003D25A1">
      <w:pPr>
        <w:autoSpaceDE w:val="0"/>
        <w:autoSpaceDN w:val="0"/>
        <w:adjustRightInd w:val="0"/>
        <w:spacing w:after="0" w:line="240" w:lineRule="auto"/>
        <w:jc w:val="both"/>
        <w:rPr>
          <w:rFonts w:ascii="Times New Roman" w:eastAsiaTheme="minorHAnsi" w:hAnsi="Times New Roman" w:cs="Times New Roman"/>
          <w:lang w:eastAsia="en-US"/>
        </w:rPr>
      </w:pPr>
      <w:proofErr w:type="spellStart"/>
      <w:r w:rsidRPr="00F06767">
        <w:rPr>
          <w:rFonts w:ascii="Times New Roman" w:eastAsiaTheme="minorHAnsi" w:hAnsi="Times New Roman" w:cs="Times New Roman"/>
          <w:lang w:eastAsia="en-US"/>
        </w:rPr>
        <w:t>Ozkan</w:t>
      </w:r>
      <w:proofErr w:type="spellEnd"/>
      <w:r w:rsidRPr="00F06767">
        <w:rPr>
          <w:rFonts w:ascii="Times New Roman" w:eastAsiaTheme="minorHAnsi" w:hAnsi="Times New Roman" w:cs="Times New Roman"/>
          <w:lang w:eastAsia="en-US"/>
        </w:rPr>
        <w:t>, N. (2011). CEO compensation and firm performance: An empirical investigation of</w:t>
      </w:r>
    </w:p>
    <w:p w14:paraId="11695DE6" w14:textId="7D5BC2D1" w:rsidR="00147C41" w:rsidRDefault="00147C41" w:rsidP="003D25A1">
      <w:pPr>
        <w:spacing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lang w:eastAsia="en-US"/>
        </w:rPr>
        <w:t xml:space="preserve">UK panel data. </w:t>
      </w:r>
      <w:r w:rsidRPr="00F06767">
        <w:rPr>
          <w:rFonts w:ascii="Times New Roman" w:eastAsiaTheme="minorHAnsi" w:hAnsi="Times New Roman" w:cs="Times New Roman"/>
          <w:i/>
          <w:iCs/>
          <w:lang w:eastAsia="en-US"/>
        </w:rPr>
        <w:t xml:space="preserve">European Financial Management, </w:t>
      </w:r>
      <w:r w:rsidRPr="00664700">
        <w:rPr>
          <w:rFonts w:ascii="Times New Roman" w:eastAsiaTheme="minorHAnsi" w:hAnsi="Times New Roman" w:cs="Times New Roman"/>
          <w:iCs/>
          <w:lang w:eastAsia="en-US"/>
        </w:rPr>
        <w:t>17</w:t>
      </w:r>
      <w:r w:rsidR="00664700" w:rsidRPr="00664700">
        <w:rPr>
          <w:rFonts w:ascii="Times New Roman" w:eastAsiaTheme="minorHAnsi" w:hAnsi="Times New Roman" w:cs="Times New Roman"/>
          <w:iCs/>
          <w:lang w:eastAsia="en-US"/>
        </w:rPr>
        <w:t xml:space="preserve"> (2)</w:t>
      </w:r>
      <w:r w:rsidRPr="00664700">
        <w:rPr>
          <w:rFonts w:ascii="Times New Roman" w:eastAsiaTheme="minorHAnsi" w:hAnsi="Times New Roman" w:cs="Times New Roman"/>
          <w:lang w:eastAsia="en-US"/>
        </w:rPr>
        <w:t>,</w:t>
      </w:r>
      <w:r w:rsidRPr="00F06767">
        <w:rPr>
          <w:rFonts w:ascii="Times New Roman" w:eastAsiaTheme="minorHAnsi" w:hAnsi="Times New Roman" w:cs="Times New Roman"/>
          <w:lang w:eastAsia="en-US"/>
        </w:rPr>
        <w:t xml:space="preserve"> 260–285.</w:t>
      </w:r>
    </w:p>
    <w:p w14:paraId="1243FD53" w14:textId="76F7773D" w:rsidR="00147C41" w:rsidRDefault="00147C41" w:rsidP="003D25A1">
      <w:pPr>
        <w:suppressAutoHyphens/>
        <w:autoSpaceDN w:val="0"/>
        <w:spacing w:after="120" w:line="240" w:lineRule="auto"/>
        <w:textAlignment w:val="baseline"/>
        <w:rPr>
          <w:rFonts w:ascii="Times New Roman" w:eastAsia="SimSun" w:hAnsi="Times New Roman" w:cs="Times New Roman"/>
          <w:i/>
          <w:color w:val="000000" w:themeColor="text1"/>
          <w:kern w:val="3"/>
          <w:szCs w:val="24"/>
          <w:lang w:eastAsia="en-US"/>
        </w:rPr>
      </w:pPr>
      <w:r w:rsidRPr="00C72A40">
        <w:rPr>
          <w:rFonts w:ascii="Times New Roman" w:eastAsia="SimSun" w:hAnsi="Times New Roman" w:cs="Times New Roman"/>
          <w:color w:val="000000" w:themeColor="text1"/>
          <w:kern w:val="3"/>
          <w:szCs w:val="24"/>
          <w:lang w:eastAsia="en-US"/>
        </w:rPr>
        <w:t>Ryan Jr., H.E.</w:t>
      </w:r>
      <w:r w:rsidR="00664700">
        <w:rPr>
          <w:rFonts w:ascii="Times New Roman" w:eastAsia="SimSun" w:hAnsi="Times New Roman" w:cs="Times New Roman"/>
          <w:color w:val="000000" w:themeColor="text1"/>
          <w:kern w:val="3"/>
          <w:szCs w:val="24"/>
          <w:lang w:eastAsia="en-US"/>
        </w:rPr>
        <w:t xml:space="preserve"> &amp; Wiggins III, R.A. (2001). </w:t>
      </w:r>
      <w:r w:rsidRPr="00C72A40">
        <w:rPr>
          <w:rFonts w:ascii="Times New Roman" w:eastAsia="SimSun" w:hAnsi="Times New Roman" w:cs="Times New Roman"/>
          <w:color w:val="000000" w:themeColor="text1"/>
          <w:kern w:val="3"/>
          <w:szCs w:val="24"/>
          <w:lang w:eastAsia="en-US"/>
        </w:rPr>
        <w:t xml:space="preserve">The influence of </w:t>
      </w:r>
      <w:r>
        <w:rPr>
          <w:rFonts w:ascii="Times New Roman" w:eastAsia="SimSun" w:hAnsi="Times New Roman" w:cs="Times New Roman"/>
          <w:color w:val="000000" w:themeColor="text1"/>
          <w:kern w:val="3"/>
          <w:szCs w:val="24"/>
          <w:lang w:eastAsia="en-US"/>
        </w:rPr>
        <w:t>f</w:t>
      </w:r>
      <w:r w:rsidRPr="00C72A40">
        <w:rPr>
          <w:rFonts w:ascii="Times New Roman" w:eastAsia="SimSun" w:hAnsi="Times New Roman" w:cs="Times New Roman"/>
          <w:color w:val="000000" w:themeColor="text1"/>
          <w:kern w:val="3"/>
          <w:szCs w:val="24"/>
          <w:lang w:eastAsia="en-US"/>
        </w:rPr>
        <w:t xml:space="preserve">irm- and </w:t>
      </w:r>
      <w:r>
        <w:rPr>
          <w:rFonts w:ascii="Times New Roman" w:eastAsia="SimSun" w:hAnsi="Times New Roman" w:cs="Times New Roman"/>
          <w:color w:val="000000" w:themeColor="text1"/>
          <w:kern w:val="3"/>
          <w:szCs w:val="24"/>
          <w:lang w:eastAsia="en-US"/>
        </w:rPr>
        <w:t>m</w:t>
      </w:r>
      <w:r w:rsidRPr="00C72A40">
        <w:rPr>
          <w:rFonts w:ascii="Times New Roman" w:eastAsia="SimSun" w:hAnsi="Times New Roman" w:cs="Times New Roman"/>
          <w:color w:val="000000" w:themeColor="text1"/>
          <w:kern w:val="3"/>
          <w:szCs w:val="24"/>
          <w:lang w:eastAsia="en-US"/>
        </w:rPr>
        <w:t xml:space="preserve">anager-specific </w:t>
      </w:r>
      <w:r>
        <w:rPr>
          <w:rFonts w:ascii="Times New Roman" w:eastAsia="SimSun" w:hAnsi="Times New Roman" w:cs="Times New Roman"/>
          <w:color w:val="000000" w:themeColor="text1"/>
          <w:kern w:val="3"/>
          <w:szCs w:val="24"/>
          <w:lang w:eastAsia="en-US"/>
        </w:rPr>
        <w:t>c</w:t>
      </w:r>
      <w:r w:rsidRPr="00C72A40">
        <w:rPr>
          <w:rFonts w:ascii="Times New Roman" w:eastAsia="SimSun" w:hAnsi="Times New Roman" w:cs="Times New Roman"/>
          <w:color w:val="000000" w:themeColor="text1"/>
          <w:kern w:val="3"/>
          <w:szCs w:val="24"/>
          <w:lang w:eastAsia="en-US"/>
        </w:rPr>
        <w:t xml:space="preserve">haracteristics on the </w:t>
      </w:r>
      <w:r>
        <w:rPr>
          <w:rFonts w:ascii="Times New Roman" w:eastAsia="SimSun" w:hAnsi="Times New Roman" w:cs="Times New Roman"/>
          <w:color w:val="000000" w:themeColor="text1"/>
          <w:kern w:val="3"/>
          <w:szCs w:val="24"/>
          <w:lang w:eastAsia="en-US"/>
        </w:rPr>
        <w:t>s</w:t>
      </w:r>
      <w:r w:rsidRPr="00C72A40">
        <w:rPr>
          <w:rFonts w:ascii="Times New Roman" w:eastAsia="SimSun" w:hAnsi="Times New Roman" w:cs="Times New Roman"/>
          <w:color w:val="000000" w:themeColor="text1"/>
          <w:kern w:val="3"/>
          <w:szCs w:val="24"/>
          <w:lang w:eastAsia="en-US"/>
        </w:rPr>
        <w:t xml:space="preserve">tructure of </w:t>
      </w:r>
      <w:r>
        <w:rPr>
          <w:rFonts w:ascii="Times New Roman" w:eastAsia="SimSun" w:hAnsi="Times New Roman" w:cs="Times New Roman"/>
          <w:color w:val="000000" w:themeColor="text1"/>
          <w:kern w:val="3"/>
          <w:szCs w:val="24"/>
          <w:lang w:eastAsia="en-US"/>
        </w:rPr>
        <w:t>e</w:t>
      </w:r>
      <w:r w:rsidRPr="00C72A40">
        <w:rPr>
          <w:rFonts w:ascii="Times New Roman" w:eastAsia="SimSun" w:hAnsi="Times New Roman" w:cs="Times New Roman"/>
          <w:color w:val="000000" w:themeColor="text1"/>
          <w:kern w:val="3"/>
          <w:szCs w:val="24"/>
          <w:lang w:eastAsia="en-US"/>
        </w:rPr>
        <w:t xml:space="preserve">xecutive </w:t>
      </w:r>
      <w:r>
        <w:rPr>
          <w:rFonts w:ascii="Times New Roman" w:eastAsia="SimSun" w:hAnsi="Times New Roman" w:cs="Times New Roman"/>
          <w:color w:val="000000" w:themeColor="text1"/>
          <w:kern w:val="3"/>
          <w:szCs w:val="24"/>
          <w:lang w:eastAsia="en-US"/>
        </w:rPr>
        <w:t>c</w:t>
      </w:r>
      <w:r w:rsidRPr="00C72A40">
        <w:rPr>
          <w:rFonts w:ascii="Times New Roman" w:eastAsia="SimSun" w:hAnsi="Times New Roman" w:cs="Times New Roman"/>
          <w:color w:val="000000" w:themeColor="text1"/>
          <w:kern w:val="3"/>
          <w:szCs w:val="24"/>
          <w:lang w:eastAsia="en-US"/>
        </w:rPr>
        <w:t>ompensation</w:t>
      </w:r>
      <w:r w:rsidR="00664700">
        <w:rPr>
          <w:rFonts w:ascii="Times New Roman" w:eastAsia="Times New Roman" w:hAnsi="Times New Roman" w:cs="Times New Roman"/>
          <w:color w:val="000000" w:themeColor="text1"/>
          <w:szCs w:val="24"/>
        </w:rPr>
        <w:t xml:space="preserve">. </w:t>
      </w:r>
      <w:r w:rsidRPr="00C72A40">
        <w:rPr>
          <w:rFonts w:ascii="Times New Roman" w:eastAsia="SimSun" w:hAnsi="Times New Roman" w:cs="Times New Roman"/>
          <w:i/>
          <w:color w:val="000000" w:themeColor="text1"/>
          <w:kern w:val="3"/>
          <w:szCs w:val="24"/>
          <w:lang w:eastAsia="en-US"/>
        </w:rPr>
        <w:t>Journal of Corporate Finance,</w:t>
      </w:r>
      <w:r w:rsidR="00664700">
        <w:rPr>
          <w:rFonts w:ascii="Times New Roman" w:eastAsia="SimSun" w:hAnsi="Times New Roman" w:cs="Times New Roman"/>
          <w:color w:val="000000" w:themeColor="text1"/>
          <w:kern w:val="3"/>
          <w:szCs w:val="24"/>
          <w:lang w:eastAsia="en-US"/>
        </w:rPr>
        <w:t xml:space="preserve"> </w:t>
      </w:r>
      <w:r w:rsidRPr="00C72A40">
        <w:rPr>
          <w:rFonts w:ascii="Times New Roman" w:eastAsia="SimSun" w:hAnsi="Times New Roman" w:cs="Times New Roman"/>
          <w:color w:val="000000" w:themeColor="text1"/>
          <w:kern w:val="3"/>
          <w:szCs w:val="24"/>
          <w:lang w:eastAsia="en-US"/>
        </w:rPr>
        <w:t>7</w:t>
      </w:r>
      <w:r w:rsidR="00664700">
        <w:rPr>
          <w:rFonts w:ascii="Times New Roman" w:eastAsia="SimSun" w:hAnsi="Times New Roman" w:cs="Times New Roman"/>
          <w:color w:val="000000" w:themeColor="text1"/>
          <w:kern w:val="3"/>
          <w:szCs w:val="24"/>
          <w:lang w:eastAsia="en-US"/>
        </w:rPr>
        <w:t>(2)</w:t>
      </w:r>
      <w:r w:rsidRPr="00C72A40">
        <w:rPr>
          <w:rFonts w:ascii="Times New Roman" w:eastAsia="SimSun" w:hAnsi="Times New Roman" w:cs="Times New Roman"/>
          <w:color w:val="000000" w:themeColor="text1"/>
          <w:kern w:val="3"/>
          <w:szCs w:val="24"/>
          <w:lang w:eastAsia="en-US"/>
        </w:rPr>
        <w:t>, pp. 101-123</w:t>
      </w:r>
      <w:r w:rsidRPr="00C72A40">
        <w:rPr>
          <w:rFonts w:ascii="Times New Roman" w:eastAsia="SimSun" w:hAnsi="Times New Roman" w:cs="Times New Roman"/>
          <w:i/>
          <w:color w:val="000000" w:themeColor="text1"/>
          <w:kern w:val="3"/>
          <w:szCs w:val="24"/>
          <w:lang w:eastAsia="en-US"/>
        </w:rPr>
        <w:t>.</w:t>
      </w:r>
    </w:p>
    <w:p w14:paraId="555A188A" w14:textId="77777777" w:rsidR="00147C41" w:rsidRPr="00F06767" w:rsidRDefault="00147C41" w:rsidP="003D25A1">
      <w:pPr>
        <w:autoSpaceDE w:val="0"/>
        <w:autoSpaceDN w:val="0"/>
        <w:adjustRightInd w:val="0"/>
        <w:spacing w:after="0" w:line="240" w:lineRule="auto"/>
        <w:jc w:val="both"/>
        <w:rPr>
          <w:rFonts w:ascii="Times New Roman" w:eastAsiaTheme="minorHAnsi" w:hAnsi="Times New Roman" w:cs="Times New Roman"/>
          <w:i/>
          <w:iCs/>
          <w:lang w:eastAsia="en-US"/>
        </w:rPr>
      </w:pPr>
      <w:r w:rsidRPr="00F06767">
        <w:rPr>
          <w:rFonts w:ascii="Times New Roman" w:eastAsiaTheme="minorHAnsi" w:hAnsi="Times New Roman" w:cs="Times New Roman"/>
          <w:lang w:eastAsia="en-US"/>
        </w:rPr>
        <w:t xml:space="preserve">Sapp, S. G. (2008). The impact of corporate governance on executive compensation. </w:t>
      </w:r>
      <w:r w:rsidRPr="00F06767">
        <w:rPr>
          <w:rFonts w:ascii="Times New Roman" w:eastAsiaTheme="minorHAnsi" w:hAnsi="Times New Roman" w:cs="Times New Roman"/>
          <w:i/>
          <w:iCs/>
          <w:lang w:eastAsia="en-US"/>
        </w:rPr>
        <w:t>European</w:t>
      </w:r>
    </w:p>
    <w:p w14:paraId="7C6C5998" w14:textId="3EE1B4E9" w:rsidR="00147C41" w:rsidRPr="00EA3FC9" w:rsidRDefault="00147C41" w:rsidP="003D25A1">
      <w:pPr>
        <w:spacing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i/>
          <w:iCs/>
          <w:lang w:eastAsia="en-US"/>
        </w:rPr>
        <w:t xml:space="preserve">Financial Management, </w:t>
      </w:r>
      <w:r w:rsidRPr="00664700">
        <w:rPr>
          <w:rFonts w:ascii="Times New Roman" w:eastAsiaTheme="minorHAnsi" w:hAnsi="Times New Roman" w:cs="Times New Roman"/>
          <w:iCs/>
          <w:lang w:eastAsia="en-US"/>
        </w:rPr>
        <w:t>14</w:t>
      </w:r>
      <w:r w:rsidR="00664700" w:rsidRPr="00664700">
        <w:rPr>
          <w:rFonts w:ascii="Times New Roman" w:eastAsiaTheme="minorHAnsi" w:hAnsi="Times New Roman" w:cs="Times New Roman"/>
          <w:iCs/>
          <w:lang w:eastAsia="en-US"/>
        </w:rPr>
        <w:t xml:space="preserve"> (4)</w:t>
      </w:r>
      <w:r w:rsidRPr="00664700">
        <w:rPr>
          <w:rFonts w:ascii="Times New Roman" w:eastAsiaTheme="minorHAnsi" w:hAnsi="Times New Roman" w:cs="Times New Roman"/>
          <w:lang w:eastAsia="en-US"/>
        </w:rPr>
        <w:t>,</w:t>
      </w:r>
      <w:r w:rsidRPr="00F06767">
        <w:rPr>
          <w:rFonts w:ascii="Times New Roman" w:eastAsiaTheme="minorHAnsi" w:hAnsi="Times New Roman" w:cs="Times New Roman"/>
          <w:lang w:eastAsia="en-US"/>
        </w:rPr>
        <w:t xml:space="preserve"> 710–746.</w:t>
      </w:r>
      <w:r w:rsidRPr="00C72A40">
        <w:rPr>
          <w:rFonts w:ascii="Times New Roman" w:eastAsia="SimSun" w:hAnsi="Times New Roman" w:cs="Times New Roman"/>
          <w:i/>
          <w:color w:val="000000" w:themeColor="text1"/>
          <w:kern w:val="3"/>
          <w:szCs w:val="24"/>
          <w:lang w:eastAsia="en-US"/>
        </w:rPr>
        <w:t xml:space="preserve"> </w:t>
      </w:r>
    </w:p>
    <w:p w14:paraId="63B618E6" w14:textId="1D7D2C3E" w:rsidR="00147C41" w:rsidRPr="00C72A40" w:rsidRDefault="00147C41" w:rsidP="003D25A1">
      <w:pPr>
        <w:suppressAutoHyphens/>
        <w:autoSpaceDN w:val="0"/>
        <w:spacing w:after="120" w:line="240" w:lineRule="auto"/>
        <w:textAlignment w:val="baseline"/>
        <w:rPr>
          <w:rFonts w:ascii="Times New Roman" w:eastAsia="SimSun" w:hAnsi="Times New Roman" w:cs="Times New Roman"/>
          <w:color w:val="000000" w:themeColor="text1"/>
          <w:kern w:val="3"/>
          <w:szCs w:val="24"/>
          <w:lang w:eastAsia="en-US"/>
        </w:rPr>
      </w:pPr>
      <w:r w:rsidRPr="00C72A40">
        <w:rPr>
          <w:rFonts w:ascii="Times New Roman" w:eastAsia="SimSun" w:hAnsi="Times New Roman" w:cs="Times New Roman"/>
          <w:color w:val="000000" w:themeColor="text1"/>
          <w:kern w:val="3"/>
          <w:szCs w:val="24"/>
          <w:lang w:eastAsia="en-US"/>
        </w:rPr>
        <w:t>Shl</w:t>
      </w:r>
      <w:r w:rsidR="00931EB1">
        <w:rPr>
          <w:rFonts w:ascii="Times New Roman" w:eastAsia="SimSun" w:hAnsi="Times New Roman" w:cs="Times New Roman"/>
          <w:color w:val="000000" w:themeColor="text1"/>
          <w:kern w:val="3"/>
          <w:szCs w:val="24"/>
          <w:lang w:eastAsia="en-US"/>
        </w:rPr>
        <w:t xml:space="preserve">eifer, A. &amp; </w:t>
      </w:r>
      <w:proofErr w:type="spellStart"/>
      <w:r w:rsidR="00931EB1">
        <w:rPr>
          <w:rFonts w:ascii="Times New Roman" w:eastAsia="SimSun" w:hAnsi="Times New Roman" w:cs="Times New Roman"/>
          <w:color w:val="000000" w:themeColor="text1"/>
          <w:kern w:val="3"/>
          <w:szCs w:val="24"/>
          <w:lang w:eastAsia="en-US"/>
        </w:rPr>
        <w:t>Vishny</w:t>
      </w:r>
      <w:proofErr w:type="spellEnd"/>
      <w:r w:rsidR="00931EB1">
        <w:rPr>
          <w:rFonts w:ascii="Times New Roman" w:eastAsia="SimSun" w:hAnsi="Times New Roman" w:cs="Times New Roman"/>
          <w:color w:val="000000" w:themeColor="text1"/>
          <w:kern w:val="3"/>
          <w:szCs w:val="24"/>
          <w:lang w:eastAsia="en-US"/>
        </w:rPr>
        <w:t>, R.W. (1986</w:t>
      </w:r>
      <w:r w:rsidRPr="00C72A40">
        <w:rPr>
          <w:rFonts w:ascii="Times New Roman" w:eastAsia="SimSun" w:hAnsi="Times New Roman" w:cs="Times New Roman"/>
          <w:color w:val="000000" w:themeColor="text1"/>
          <w:kern w:val="3"/>
          <w:szCs w:val="24"/>
          <w:lang w:eastAsia="en-US"/>
        </w:rPr>
        <w:t xml:space="preserve">). Large </w:t>
      </w:r>
      <w:r>
        <w:rPr>
          <w:rFonts w:ascii="Times New Roman" w:eastAsia="SimSun" w:hAnsi="Times New Roman" w:cs="Times New Roman"/>
          <w:color w:val="000000" w:themeColor="text1"/>
          <w:kern w:val="3"/>
          <w:szCs w:val="24"/>
          <w:lang w:eastAsia="en-US"/>
        </w:rPr>
        <w:t>s</w:t>
      </w:r>
      <w:r w:rsidRPr="00C72A40">
        <w:rPr>
          <w:rFonts w:ascii="Times New Roman" w:eastAsia="SimSun" w:hAnsi="Times New Roman" w:cs="Times New Roman"/>
          <w:color w:val="000000" w:themeColor="text1"/>
          <w:kern w:val="3"/>
          <w:szCs w:val="24"/>
          <w:lang w:eastAsia="en-US"/>
        </w:rPr>
        <w:t xml:space="preserve">hareholders and </w:t>
      </w:r>
      <w:r>
        <w:rPr>
          <w:rFonts w:ascii="Times New Roman" w:eastAsia="SimSun" w:hAnsi="Times New Roman" w:cs="Times New Roman"/>
          <w:color w:val="000000" w:themeColor="text1"/>
          <w:kern w:val="3"/>
          <w:szCs w:val="24"/>
          <w:lang w:eastAsia="en-US"/>
        </w:rPr>
        <w:t>c</w:t>
      </w:r>
      <w:r w:rsidRPr="00C72A40">
        <w:rPr>
          <w:rFonts w:ascii="Times New Roman" w:eastAsia="SimSun" w:hAnsi="Times New Roman" w:cs="Times New Roman"/>
          <w:color w:val="000000" w:themeColor="text1"/>
          <w:kern w:val="3"/>
          <w:szCs w:val="24"/>
          <w:lang w:eastAsia="en-US"/>
        </w:rPr>
        <w:t xml:space="preserve">orporate </w:t>
      </w:r>
      <w:r>
        <w:rPr>
          <w:rFonts w:ascii="Times New Roman" w:eastAsia="SimSun" w:hAnsi="Times New Roman" w:cs="Times New Roman"/>
          <w:color w:val="000000" w:themeColor="text1"/>
          <w:kern w:val="3"/>
          <w:szCs w:val="24"/>
          <w:lang w:eastAsia="en-US"/>
        </w:rPr>
        <w:t>c</w:t>
      </w:r>
      <w:r w:rsidRPr="00C72A40">
        <w:rPr>
          <w:rFonts w:ascii="Times New Roman" w:eastAsia="SimSun" w:hAnsi="Times New Roman" w:cs="Times New Roman"/>
          <w:color w:val="000000" w:themeColor="text1"/>
          <w:kern w:val="3"/>
          <w:szCs w:val="24"/>
          <w:lang w:eastAsia="en-US"/>
        </w:rPr>
        <w:t>ontrol</w:t>
      </w:r>
      <w:r w:rsidR="00664700">
        <w:rPr>
          <w:rFonts w:ascii="Times New Roman" w:eastAsia="Times New Roman" w:hAnsi="Times New Roman" w:cs="Times New Roman"/>
          <w:color w:val="000000" w:themeColor="text1"/>
          <w:szCs w:val="24"/>
        </w:rPr>
        <w:t>.</w:t>
      </w:r>
      <w:r w:rsidRPr="00C72A40">
        <w:rPr>
          <w:rFonts w:ascii="Times New Roman" w:eastAsia="SimSun" w:hAnsi="Times New Roman" w:cs="Times New Roman"/>
          <w:color w:val="000000" w:themeColor="text1"/>
          <w:kern w:val="3"/>
          <w:szCs w:val="24"/>
          <w:lang w:eastAsia="en-US"/>
        </w:rPr>
        <w:t xml:space="preserve"> </w:t>
      </w:r>
      <w:r w:rsidR="00931EB1">
        <w:rPr>
          <w:rFonts w:ascii="Times New Roman" w:eastAsia="SimSun" w:hAnsi="Times New Roman" w:cs="Times New Roman"/>
          <w:i/>
          <w:color w:val="000000" w:themeColor="text1"/>
          <w:kern w:val="3"/>
          <w:szCs w:val="24"/>
          <w:lang w:eastAsia="en-US"/>
        </w:rPr>
        <w:t>Journal of Political economy</w:t>
      </w:r>
      <w:r w:rsidR="00931EB1">
        <w:rPr>
          <w:rFonts w:ascii="Times New Roman" w:eastAsia="SimSun" w:hAnsi="Times New Roman" w:cs="Times New Roman"/>
          <w:color w:val="000000" w:themeColor="text1"/>
          <w:kern w:val="3"/>
          <w:szCs w:val="24"/>
          <w:lang w:eastAsia="en-US"/>
        </w:rPr>
        <w:t>, 94(3)</w:t>
      </w:r>
      <w:r w:rsidRPr="00C72A40">
        <w:rPr>
          <w:rFonts w:ascii="Times New Roman" w:eastAsia="SimSun" w:hAnsi="Times New Roman" w:cs="Times New Roman"/>
          <w:color w:val="000000" w:themeColor="text1"/>
          <w:kern w:val="3"/>
          <w:szCs w:val="24"/>
          <w:lang w:eastAsia="en-US"/>
        </w:rPr>
        <w:t>, pp. 461</w:t>
      </w:r>
      <w:r>
        <w:rPr>
          <w:rFonts w:ascii="Times New Roman" w:eastAsia="SimSun" w:hAnsi="Times New Roman" w:cs="Times New Roman"/>
          <w:color w:val="000000" w:themeColor="text1"/>
          <w:kern w:val="3"/>
          <w:szCs w:val="24"/>
          <w:lang w:eastAsia="en-US"/>
        </w:rPr>
        <w:t>-</w:t>
      </w:r>
      <w:r w:rsidRPr="00C72A40">
        <w:rPr>
          <w:rFonts w:ascii="Times New Roman" w:eastAsia="SimSun" w:hAnsi="Times New Roman" w:cs="Times New Roman"/>
          <w:color w:val="000000" w:themeColor="text1"/>
          <w:kern w:val="3"/>
          <w:szCs w:val="24"/>
          <w:lang w:eastAsia="en-US"/>
        </w:rPr>
        <w:t xml:space="preserve">488.  </w:t>
      </w:r>
    </w:p>
    <w:p w14:paraId="5BE612FC" w14:textId="7BCAB388" w:rsidR="00147C41" w:rsidRPr="00EA3FC9" w:rsidRDefault="00147C41" w:rsidP="003D25A1">
      <w:pPr>
        <w:pStyle w:val="NormalWeb"/>
        <w:jc w:val="both"/>
        <w:rPr>
          <w:rFonts w:eastAsia="SimSun"/>
          <w:color w:val="000000" w:themeColor="text1"/>
          <w:kern w:val="3"/>
          <w:lang w:eastAsia="en-US"/>
        </w:rPr>
      </w:pPr>
      <w:r w:rsidRPr="00C72A40">
        <w:rPr>
          <w:rFonts w:eastAsia="SimSun"/>
          <w:color w:val="000000" w:themeColor="text1"/>
          <w:kern w:val="3"/>
          <w:lang w:eastAsia="en-US"/>
        </w:rPr>
        <w:t>von Ehrlich, M.</w:t>
      </w:r>
      <w:r w:rsidR="00931EB1">
        <w:rPr>
          <w:rFonts w:eastAsia="SimSun"/>
          <w:color w:val="000000" w:themeColor="text1"/>
          <w:kern w:val="3"/>
          <w:lang w:eastAsia="en-US"/>
        </w:rPr>
        <w:t xml:space="preserve"> &amp;</w:t>
      </w:r>
      <w:r>
        <w:rPr>
          <w:rFonts w:eastAsia="SimSun"/>
          <w:color w:val="000000" w:themeColor="text1"/>
          <w:kern w:val="3"/>
          <w:lang w:eastAsia="en-US"/>
        </w:rPr>
        <w:t xml:space="preserve"> </w:t>
      </w:r>
      <w:proofErr w:type="spellStart"/>
      <w:r w:rsidR="00931EB1">
        <w:rPr>
          <w:rFonts w:eastAsia="SimSun"/>
          <w:color w:val="000000" w:themeColor="text1"/>
          <w:kern w:val="3"/>
          <w:lang w:eastAsia="en-US"/>
        </w:rPr>
        <w:t>Radulescu</w:t>
      </w:r>
      <w:proofErr w:type="spellEnd"/>
      <w:r w:rsidR="00931EB1">
        <w:rPr>
          <w:rFonts w:eastAsia="SimSun"/>
          <w:color w:val="000000" w:themeColor="text1"/>
          <w:kern w:val="3"/>
          <w:lang w:eastAsia="en-US"/>
        </w:rPr>
        <w:t xml:space="preserve">, D. (2017). </w:t>
      </w:r>
      <w:r w:rsidRPr="00C72A40">
        <w:rPr>
          <w:rFonts w:eastAsia="SimSun"/>
          <w:color w:val="000000" w:themeColor="text1"/>
          <w:kern w:val="3"/>
          <w:lang w:eastAsia="en-US"/>
        </w:rPr>
        <w:t>The taxation of bonuses and its effect on executive compensation and risk</w:t>
      </w:r>
      <w:r>
        <w:rPr>
          <w:rFonts w:eastAsia="SimSun"/>
          <w:color w:val="000000" w:themeColor="text1"/>
          <w:kern w:val="3"/>
          <w:lang w:eastAsia="en-US"/>
        </w:rPr>
        <w:t>-</w:t>
      </w:r>
      <w:r w:rsidRPr="00C72A40">
        <w:rPr>
          <w:rFonts w:eastAsia="SimSun"/>
          <w:color w:val="000000" w:themeColor="text1"/>
          <w:kern w:val="3"/>
          <w:lang w:eastAsia="en-US"/>
        </w:rPr>
        <w:t xml:space="preserve">taking: </w:t>
      </w:r>
      <w:r>
        <w:rPr>
          <w:rFonts w:eastAsia="SimSun"/>
          <w:color w:val="000000" w:themeColor="text1"/>
          <w:kern w:val="3"/>
          <w:lang w:eastAsia="en-US"/>
        </w:rPr>
        <w:t>e</w:t>
      </w:r>
      <w:r w:rsidRPr="00C72A40">
        <w:rPr>
          <w:rFonts w:eastAsia="SimSun"/>
          <w:color w:val="000000" w:themeColor="text1"/>
          <w:kern w:val="3"/>
          <w:lang w:eastAsia="en-US"/>
        </w:rPr>
        <w:t>vidence from the UK experience</w:t>
      </w:r>
      <w:r>
        <w:rPr>
          <w:rFonts w:eastAsia="SimSun"/>
          <w:color w:val="000000" w:themeColor="text1"/>
          <w:kern w:val="3"/>
          <w:lang w:eastAsia="en-US"/>
        </w:rPr>
        <w:t>.</w:t>
      </w:r>
      <w:r w:rsidRPr="00C72A40">
        <w:rPr>
          <w:rFonts w:eastAsia="SimSun"/>
          <w:color w:val="000000" w:themeColor="text1"/>
          <w:kern w:val="3"/>
          <w:lang w:eastAsia="en-US"/>
        </w:rPr>
        <w:t> </w:t>
      </w:r>
      <w:r w:rsidRPr="00C72A40">
        <w:rPr>
          <w:rFonts w:eastAsia="SimSun"/>
          <w:i/>
          <w:iCs/>
          <w:color w:val="000000" w:themeColor="text1"/>
          <w:kern w:val="3"/>
          <w:lang w:eastAsia="en-US"/>
        </w:rPr>
        <w:t xml:space="preserve">Journal of </w:t>
      </w:r>
      <w:r>
        <w:rPr>
          <w:rFonts w:eastAsia="SimSun"/>
          <w:i/>
          <w:iCs/>
          <w:color w:val="000000" w:themeColor="text1"/>
          <w:kern w:val="3"/>
          <w:lang w:eastAsia="en-US"/>
        </w:rPr>
        <w:t>E</w:t>
      </w:r>
      <w:r w:rsidRPr="00C72A40">
        <w:rPr>
          <w:rFonts w:eastAsia="SimSun"/>
          <w:i/>
          <w:iCs/>
          <w:color w:val="000000" w:themeColor="text1"/>
          <w:kern w:val="3"/>
          <w:lang w:eastAsia="en-US"/>
        </w:rPr>
        <w:t xml:space="preserve">conomics &amp; </w:t>
      </w:r>
      <w:r>
        <w:rPr>
          <w:rFonts w:eastAsia="SimSun"/>
          <w:i/>
          <w:iCs/>
          <w:color w:val="000000" w:themeColor="text1"/>
          <w:kern w:val="3"/>
          <w:lang w:eastAsia="en-US"/>
        </w:rPr>
        <w:t>M</w:t>
      </w:r>
      <w:r w:rsidRPr="00C72A40">
        <w:rPr>
          <w:rFonts w:eastAsia="SimSun"/>
          <w:i/>
          <w:iCs/>
          <w:color w:val="000000" w:themeColor="text1"/>
          <w:kern w:val="3"/>
          <w:lang w:eastAsia="en-US"/>
        </w:rPr>
        <w:t xml:space="preserve">anagement </w:t>
      </w:r>
      <w:r>
        <w:rPr>
          <w:rFonts w:eastAsia="SimSun"/>
          <w:i/>
          <w:iCs/>
          <w:color w:val="000000" w:themeColor="text1"/>
          <w:kern w:val="3"/>
          <w:lang w:eastAsia="en-US"/>
        </w:rPr>
        <w:t>S</w:t>
      </w:r>
      <w:r w:rsidRPr="00C72A40">
        <w:rPr>
          <w:rFonts w:eastAsia="SimSun"/>
          <w:i/>
          <w:iCs/>
          <w:color w:val="000000" w:themeColor="text1"/>
          <w:kern w:val="3"/>
          <w:lang w:eastAsia="en-US"/>
        </w:rPr>
        <w:t>trategy</w:t>
      </w:r>
      <w:r w:rsidRPr="00C72A40">
        <w:rPr>
          <w:rFonts w:eastAsia="SimSun"/>
          <w:color w:val="000000" w:themeColor="text1"/>
          <w:kern w:val="3"/>
          <w:lang w:eastAsia="en-US"/>
        </w:rPr>
        <w:t>, </w:t>
      </w:r>
      <w:r w:rsidRPr="00D21B76">
        <w:rPr>
          <w:rFonts w:eastAsia="SimSun"/>
          <w:iCs/>
          <w:color w:val="000000" w:themeColor="text1"/>
          <w:kern w:val="3"/>
          <w:lang w:eastAsia="en-US"/>
        </w:rPr>
        <w:t>26</w:t>
      </w:r>
      <w:r w:rsidR="00931EB1">
        <w:rPr>
          <w:rFonts w:eastAsia="SimSun"/>
          <w:iCs/>
          <w:color w:val="000000" w:themeColor="text1"/>
          <w:kern w:val="3"/>
          <w:lang w:eastAsia="en-US"/>
        </w:rPr>
        <w:t xml:space="preserve"> (</w:t>
      </w:r>
      <w:r w:rsidRPr="00D21B76">
        <w:rPr>
          <w:rFonts w:eastAsia="SimSun"/>
          <w:color w:val="000000" w:themeColor="text1"/>
          <w:kern w:val="3"/>
          <w:lang w:eastAsia="en-US"/>
        </w:rPr>
        <w:t>3</w:t>
      </w:r>
      <w:r w:rsidR="00931EB1">
        <w:rPr>
          <w:rFonts w:eastAsia="SimSun"/>
          <w:color w:val="000000" w:themeColor="text1"/>
          <w:kern w:val="3"/>
          <w:lang w:eastAsia="en-US"/>
        </w:rPr>
        <w:t>)</w:t>
      </w:r>
      <w:r w:rsidRPr="00D21B76">
        <w:rPr>
          <w:rFonts w:eastAsia="SimSun"/>
          <w:color w:val="000000" w:themeColor="text1"/>
          <w:kern w:val="3"/>
          <w:lang w:eastAsia="en-US"/>
        </w:rPr>
        <w:t>,</w:t>
      </w:r>
      <w:r w:rsidRPr="00C72A40">
        <w:rPr>
          <w:rFonts w:eastAsia="SimSun"/>
          <w:color w:val="000000" w:themeColor="text1"/>
          <w:kern w:val="3"/>
          <w:lang w:eastAsia="en-US"/>
        </w:rPr>
        <w:t xml:space="preserve"> 712-731.</w:t>
      </w:r>
    </w:p>
    <w:p w14:paraId="247328D0" w14:textId="77777777" w:rsidR="00147C41" w:rsidRPr="00F06767" w:rsidRDefault="00147C41" w:rsidP="003D25A1">
      <w:pPr>
        <w:autoSpaceDE w:val="0"/>
        <w:autoSpaceDN w:val="0"/>
        <w:adjustRightInd w:val="0"/>
        <w:spacing w:after="0" w:line="240" w:lineRule="auto"/>
        <w:jc w:val="both"/>
        <w:rPr>
          <w:rFonts w:ascii="Times New Roman" w:eastAsiaTheme="minorHAnsi" w:hAnsi="Times New Roman" w:cs="Times New Roman"/>
          <w:lang w:eastAsia="en-US"/>
        </w:rPr>
      </w:pPr>
      <w:proofErr w:type="spellStart"/>
      <w:r w:rsidRPr="00F06767">
        <w:rPr>
          <w:rFonts w:ascii="Times New Roman" w:eastAsiaTheme="minorHAnsi" w:hAnsi="Times New Roman" w:cs="Times New Roman"/>
          <w:lang w:eastAsia="en-US"/>
        </w:rPr>
        <w:t>Upneja</w:t>
      </w:r>
      <w:proofErr w:type="spellEnd"/>
      <w:r w:rsidRPr="00F06767">
        <w:rPr>
          <w:rFonts w:ascii="Times New Roman" w:eastAsiaTheme="minorHAnsi" w:hAnsi="Times New Roman" w:cs="Times New Roman"/>
          <w:lang w:eastAsia="en-US"/>
        </w:rPr>
        <w:t xml:space="preserve">, A., &amp; </w:t>
      </w:r>
      <w:proofErr w:type="spellStart"/>
      <w:r w:rsidRPr="00F06767">
        <w:rPr>
          <w:rFonts w:ascii="Times New Roman" w:eastAsiaTheme="minorHAnsi" w:hAnsi="Times New Roman" w:cs="Times New Roman"/>
          <w:lang w:eastAsia="en-US"/>
        </w:rPr>
        <w:t>Ozdemir</w:t>
      </w:r>
      <w:proofErr w:type="spellEnd"/>
      <w:r w:rsidRPr="00F06767">
        <w:rPr>
          <w:rFonts w:ascii="Times New Roman" w:eastAsiaTheme="minorHAnsi" w:hAnsi="Times New Roman" w:cs="Times New Roman"/>
          <w:lang w:eastAsia="en-US"/>
        </w:rPr>
        <w:t>, O. (2014). Compensation practices in the lodging industry: Does</w:t>
      </w:r>
    </w:p>
    <w:p w14:paraId="70F1702D" w14:textId="77777777" w:rsidR="00147C41" w:rsidRPr="00F06767" w:rsidRDefault="00147C41" w:rsidP="003D25A1">
      <w:pPr>
        <w:autoSpaceDE w:val="0"/>
        <w:autoSpaceDN w:val="0"/>
        <w:adjustRightInd w:val="0"/>
        <w:spacing w:after="0" w:line="240" w:lineRule="auto"/>
        <w:jc w:val="both"/>
        <w:rPr>
          <w:rFonts w:ascii="Times New Roman" w:eastAsiaTheme="minorHAnsi" w:hAnsi="Times New Roman" w:cs="Times New Roman"/>
          <w:i/>
          <w:iCs/>
          <w:lang w:eastAsia="en-US"/>
        </w:rPr>
      </w:pPr>
      <w:r w:rsidRPr="00F06767">
        <w:rPr>
          <w:rFonts w:ascii="Times New Roman" w:eastAsiaTheme="minorHAnsi" w:hAnsi="Times New Roman" w:cs="Times New Roman"/>
          <w:lang w:eastAsia="en-US"/>
        </w:rPr>
        <w:t xml:space="preserve">top management pay affect corporate performance? </w:t>
      </w:r>
      <w:r w:rsidRPr="00F06767">
        <w:rPr>
          <w:rFonts w:ascii="Times New Roman" w:eastAsiaTheme="minorHAnsi" w:hAnsi="Times New Roman" w:cs="Times New Roman"/>
          <w:i/>
          <w:iCs/>
          <w:lang w:eastAsia="en-US"/>
        </w:rPr>
        <w:t>International Journal of Hospitality</w:t>
      </w:r>
    </w:p>
    <w:p w14:paraId="79696C86" w14:textId="77777777" w:rsidR="00147C41" w:rsidRPr="00F06767" w:rsidRDefault="00147C41" w:rsidP="003D25A1">
      <w:pPr>
        <w:spacing w:line="240" w:lineRule="auto"/>
        <w:jc w:val="both"/>
        <w:rPr>
          <w:rFonts w:ascii="Times New Roman" w:eastAsiaTheme="minorHAnsi" w:hAnsi="Times New Roman" w:cs="Times New Roman"/>
          <w:lang w:eastAsia="en-US"/>
        </w:rPr>
      </w:pPr>
      <w:r w:rsidRPr="00F06767">
        <w:rPr>
          <w:rFonts w:ascii="Times New Roman" w:eastAsiaTheme="minorHAnsi" w:hAnsi="Times New Roman" w:cs="Times New Roman"/>
          <w:i/>
          <w:iCs/>
          <w:lang w:eastAsia="en-US"/>
        </w:rPr>
        <w:t>Management, 38</w:t>
      </w:r>
      <w:r w:rsidRPr="00F06767">
        <w:rPr>
          <w:rFonts w:ascii="Times New Roman" w:eastAsiaTheme="minorHAnsi" w:hAnsi="Times New Roman" w:cs="Times New Roman"/>
          <w:lang w:eastAsia="en-US"/>
        </w:rPr>
        <w:t>, 30–38.</w:t>
      </w:r>
    </w:p>
    <w:p w14:paraId="1B00479C" w14:textId="0E4D49D1" w:rsidR="00147C41" w:rsidRPr="00931EB1" w:rsidRDefault="00147C41" w:rsidP="003D25A1">
      <w:pPr>
        <w:autoSpaceDE w:val="0"/>
        <w:autoSpaceDN w:val="0"/>
        <w:adjustRightInd w:val="0"/>
        <w:spacing w:after="0" w:line="240" w:lineRule="auto"/>
        <w:jc w:val="both"/>
        <w:rPr>
          <w:rFonts w:ascii="Times New Roman" w:eastAsiaTheme="minorHAnsi" w:hAnsi="Times New Roman" w:cs="Times New Roman"/>
          <w:i/>
          <w:iCs/>
          <w:lang w:eastAsia="en-US"/>
        </w:rPr>
      </w:pPr>
      <w:r w:rsidRPr="00F06767">
        <w:rPr>
          <w:rFonts w:ascii="Times New Roman" w:eastAsiaTheme="minorHAnsi" w:hAnsi="Times New Roman" w:cs="Times New Roman"/>
          <w:lang w:eastAsia="en-US"/>
        </w:rPr>
        <w:t>van Essen, M., Otten, J., &amp; Carberry, E.J. (2015). Assessing managerial power theory</w:t>
      </w:r>
      <w:r w:rsidR="00931EB1">
        <w:rPr>
          <w:rFonts w:ascii="Times New Roman" w:eastAsiaTheme="minorHAnsi" w:hAnsi="Times New Roman" w:cs="Times New Roman"/>
          <w:lang w:eastAsia="en-US"/>
        </w:rPr>
        <w:t>” A meta-analytic approach to understanding the determinants of CEO compensation</w:t>
      </w:r>
      <w:r w:rsidRPr="00F06767">
        <w:rPr>
          <w:rFonts w:ascii="Times New Roman" w:eastAsiaTheme="minorHAnsi" w:hAnsi="Times New Roman" w:cs="Times New Roman"/>
          <w:lang w:eastAsia="en-US"/>
        </w:rPr>
        <w:t xml:space="preserve">. </w:t>
      </w:r>
      <w:r w:rsidR="00931EB1">
        <w:rPr>
          <w:rFonts w:ascii="Times New Roman" w:eastAsiaTheme="minorHAnsi" w:hAnsi="Times New Roman" w:cs="Times New Roman"/>
          <w:i/>
          <w:iCs/>
          <w:lang w:eastAsia="en-US"/>
        </w:rPr>
        <w:t xml:space="preserve">Journal </w:t>
      </w:r>
      <w:r w:rsidRPr="00F06767">
        <w:rPr>
          <w:rFonts w:ascii="Times New Roman" w:eastAsiaTheme="minorHAnsi" w:hAnsi="Times New Roman" w:cs="Times New Roman"/>
          <w:i/>
          <w:iCs/>
          <w:lang w:eastAsia="en-US"/>
        </w:rPr>
        <w:t xml:space="preserve">of Management, </w:t>
      </w:r>
      <w:r w:rsidRPr="00931EB1">
        <w:rPr>
          <w:rFonts w:ascii="Times New Roman" w:eastAsiaTheme="minorHAnsi" w:hAnsi="Times New Roman" w:cs="Times New Roman"/>
          <w:iCs/>
          <w:lang w:eastAsia="en-US"/>
        </w:rPr>
        <w:t>41</w:t>
      </w:r>
      <w:r w:rsidR="00931EB1" w:rsidRPr="00931EB1">
        <w:rPr>
          <w:rFonts w:ascii="Times New Roman" w:eastAsiaTheme="minorHAnsi" w:hAnsi="Times New Roman" w:cs="Times New Roman"/>
          <w:iCs/>
          <w:lang w:eastAsia="en-US"/>
        </w:rPr>
        <w:t>(1)</w:t>
      </w:r>
      <w:r w:rsidRPr="00931EB1">
        <w:rPr>
          <w:rFonts w:ascii="Times New Roman" w:eastAsiaTheme="minorHAnsi" w:hAnsi="Times New Roman" w:cs="Times New Roman"/>
          <w:lang w:eastAsia="en-US"/>
        </w:rPr>
        <w:t>,</w:t>
      </w:r>
      <w:r w:rsidRPr="00F06767">
        <w:rPr>
          <w:rFonts w:ascii="Times New Roman" w:eastAsiaTheme="minorHAnsi" w:hAnsi="Times New Roman" w:cs="Times New Roman"/>
          <w:lang w:eastAsia="en-US"/>
        </w:rPr>
        <w:t xml:space="preserve"> 164–202.</w:t>
      </w:r>
    </w:p>
    <w:p w14:paraId="74C7F6BF" w14:textId="6B778F7C" w:rsidR="00147C41" w:rsidRPr="00F06767" w:rsidRDefault="00147C41" w:rsidP="003D25A1">
      <w:pPr>
        <w:pStyle w:val="NormalWeb"/>
        <w:jc w:val="both"/>
        <w:rPr>
          <w:rFonts w:eastAsia="SimSun"/>
          <w:kern w:val="3"/>
          <w:sz w:val="22"/>
          <w:szCs w:val="22"/>
          <w:lang w:eastAsia="en-US"/>
        </w:rPr>
      </w:pPr>
      <w:proofErr w:type="spellStart"/>
      <w:r w:rsidRPr="00F06767">
        <w:rPr>
          <w:rFonts w:eastAsia="SimSun"/>
          <w:kern w:val="3"/>
          <w:sz w:val="22"/>
          <w:szCs w:val="22"/>
          <w:lang w:eastAsia="en-US"/>
        </w:rPr>
        <w:t>Weisbach</w:t>
      </w:r>
      <w:proofErr w:type="spellEnd"/>
      <w:r w:rsidRPr="00F06767">
        <w:rPr>
          <w:rFonts w:eastAsia="SimSun"/>
          <w:kern w:val="3"/>
          <w:sz w:val="22"/>
          <w:szCs w:val="22"/>
          <w:lang w:eastAsia="en-US"/>
        </w:rPr>
        <w:t>, M.S., (2007)</w:t>
      </w:r>
      <w:r w:rsidR="00931EB1">
        <w:rPr>
          <w:sz w:val="22"/>
          <w:szCs w:val="22"/>
        </w:rPr>
        <w:t xml:space="preserve">. </w:t>
      </w:r>
      <w:r w:rsidRPr="00F06767">
        <w:rPr>
          <w:rFonts w:eastAsia="SimSun"/>
          <w:kern w:val="3"/>
          <w:sz w:val="22"/>
          <w:szCs w:val="22"/>
          <w:lang w:eastAsia="en-US"/>
        </w:rPr>
        <w:t xml:space="preserve">Optimal executive compensation versus managerial power: </w:t>
      </w:r>
      <w:r w:rsidRPr="00F06767">
        <w:rPr>
          <w:sz w:val="22"/>
          <w:szCs w:val="22"/>
        </w:rPr>
        <w:t xml:space="preserve">a review of Lucian </w:t>
      </w:r>
      <w:proofErr w:type="spellStart"/>
      <w:r w:rsidRPr="00F06767">
        <w:rPr>
          <w:sz w:val="22"/>
          <w:szCs w:val="22"/>
        </w:rPr>
        <w:t>Bebchuk</w:t>
      </w:r>
      <w:proofErr w:type="spellEnd"/>
      <w:r w:rsidRPr="00F06767">
        <w:rPr>
          <w:sz w:val="22"/>
          <w:szCs w:val="22"/>
        </w:rPr>
        <w:t xml:space="preserve"> and Jesse </w:t>
      </w:r>
      <w:proofErr w:type="spellStart"/>
      <w:r w:rsidRPr="00F06767">
        <w:rPr>
          <w:sz w:val="22"/>
          <w:szCs w:val="22"/>
        </w:rPr>
        <w:t>Fried’s</w:t>
      </w:r>
      <w:proofErr w:type="spellEnd"/>
      <w:r w:rsidRPr="00F06767">
        <w:rPr>
          <w:sz w:val="22"/>
          <w:szCs w:val="22"/>
        </w:rPr>
        <w:t xml:space="preserve"> Pay without Performance: The Unfulfilled Promise of Executive Com</w:t>
      </w:r>
      <w:r w:rsidR="00931EB1">
        <w:rPr>
          <w:sz w:val="22"/>
          <w:szCs w:val="22"/>
        </w:rPr>
        <w:t>pensation.</w:t>
      </w:r>
      <w:r w:rsidRPr="00F06767">
        <w:rPr>
          <w:rFonts w:eastAsia="SimSun"/>
          <w:i/>
          <w:kern w:val="3"/>
          <w:sz w:val="22"/>
          <w:szCs w:val="22"/>
          <w:lang w:eastAsia="en-US"/>
        </w:rPr>
        <w:t xml:space="preserve"> Journal of Economic Literature</w:t>
      </w:r>
      <w:r w:rsidR="00931EB1">
        <w:rPr>
          <w:rFonts w:eastAsia="SimSun"/>
          <w:kern w:val="3"/>
          <w:sz w:val="22"/>
          <w:szCs w:val="22"/>
          <w:lang w:eastAsia="en-US"/>
        </w:rPr>
        <w:t xml:space="preserve">, 45 (2), </w:t>
      </w:r>
      <w:r w:rsidRPr="00F06767">
        <w:rPr>
          <w:rFonts w:eastAsia="SimSun"/>
          <w:kern w:val="3"/>
          <w:sz w:val="22"/>
          <w:szCs w:val="22"/>
          <w:lang w:eastAsia="en-US"/>
        </w:rPr>
        <w:t xml:space="preserve">419-428. </w:t>
      </w:r>
    </w:p>
    <w:p w14:paraId="4A5AD4DB" w14:textId="0B3CA4ED" w:rsidR="00390128" w:rsidRDefault="00931EB1" w:rsidP="003D25A1">
      <w:pPr>
        <w:spacing w:line="240" w:lineRule="auto"/>
        <w:jc w:val="both"/>
        <w:rPr>
          <w:rFonts w:ascii="Times New Roman" w:eastAsia="Calibri" w:hAnsi="Times New Roman" w:cs="Times New Roman"/>
          <w:shd w:val="clear" w:color="auto" w:fill="FFFFFF"/>
          <w:lang w:eastAsia="en-US"/>
        </w:rPr>
      </w:pPr>
      <w:proofErr w:type="spellStart"/>
      <w:r>
        <w:rPr>
          <w:rFonts w:ascii="Times New Roman" w:eastAsia="Calibri" w:hAnsi="Times New Roman" w:cs="Times New Roman"/>
          <w:shd w:val="clear" w:color="auto" w:fill="FFFFFF"/>
          <w:lang w:eastAsia="en-US"/>
        </w:rPr>
        <w:t>Xue</w:t>
      </w:r>
      <w:proofErr w:type="spellEnd"/>
      <w:r>
        <w:rPr>
          <w:rFonts w:ascii="Times New Roman" w:eastAsia="Calibri" w:hAnsi="Times New Roman" w:cs="Times New Roman"/>
          <w:shd w:val="clear" w:color="auto" w:fill="FFFFFF"/>
          <w:lang w:eastAsia="en-US"/>
        </w:rPr>
        <w:t xml:space="preserve">, Y. (2007). </w:t>
      </w:r>
      <w:r w:rsidR="00147C41" w:rsidRPr="00F06767">
        <w:rPr>
          <w:rFonts w:ascii="Times New Roman" w:eastAsia="Calibri" w:hAnsi="Times New Roman" w:cs="Times New Roman"/>
          <w:shd w:val="clear" w:color="auto" w:fill="FFFFFF"/>
          <w:lang w:eastAsia="en-US"/>
        </w:rPr>
        <w:t xml:space="preserve">Make or buy new technology: the role of CEO compensation contract </w:t>
      </w:r>
      <w:r>
        <w:rPr>
          <w:rFonts w:ascii="Times New Roman" w:eastAsia="Calibri" w:hAnsi="Times New Roman" w:cs="Times New Roman"/>
          <w:shd w:val="clear" w:color="auto" w:fill="FFFFFF"/>
          <w:lang w:eastAsia="en-US"/>
        </w:rPr>
        <w:t>in a firm’s route to innovation.</w:t>
      </w:r>
      <w:r w:rsidR="00147C41" w:rsidRPr="00F06767">
        <w:rPr>
          <w:rFonts w:ascii="Times New Roman" w:eastAsia="Calibri" w:hAnsi="Times New Roman" w:cs="Times New Roman"/>
          <w:i/>
          <w:iCs/>
          <w:shd w:val="clear" w:color="auto" w:fill="FFFFFF"/>
          <w:lang w:eastAsia="en-US"/>
        </w:rPr>
        <w:t xml:space="preserve"> Review of Accounting </w:t>
      </w:r>
      <w:proofErr w:type="gramStart"/>
      <w:r w:rsidR="00147C41" w:rsidRPr="00F06767">
        <w:rPr>
          <w:rFonts w:ascii="Times New Roman" w:eastAsia="Calibri" w:hAnsi="Times New Roman" w:cs="Times New Roman"/>
          <w:i/>
          <w:iCs/>
          <w:shd w:val="clear" w:color="auto" w:fill="FFFFFF"/>
          <w:lang w:eastAsia="en-US"/>
        </w:rPr>
        <w:t>Studies</w:t>
      </w:r>
      <w:r>
        <w:rPr>
          <w:rFonts w:ascii="Times New Roman" w:eastAsia="Calibri" w:hAnsi="Times New Roman" w:cs="Times New Roman"/>
          <w:shd w:val="clear" w:color="auto" w:fill="FFFFFF"/>
          <w:lang w:eastAsia="en-US"/>
        </w:rPr>
        <w:t xml:space="preserve">  12</w:t>
      </w:r>
      <w:proofErr w:type="gramEnd"/>
      <w:r>
        <w:rPr>
          <w:rFonts w:ascii="Times New Roman" w:eastAsia="Calibri" w:hAnsi="Times New Roman" w:cs="Times New Roman"/>
          <w:shd w:val="clear" w:color="auto" w:fill="FFFFFF"/>
          <w:lang w:eastAsia="en-US"/>
        </w:rPr>
        <w:t xml:space="preserve"> (</w:t>
      </w:r>
      <w:r w:rsidR="00147C41" w:rsidRPr="00F06767">
        <w:rPr>
          <w:rFonts w:ascii="Times New Roman" w:eastAsia="Calibri" w:hAnsi="Times New Roman" w:cs="Times New Roman"/>
          <w:shd w:val="clear" w:color="auto" w:fill="FFFFFF"/>
          <w:lang w:eastAsia="en-US"/>
        </w:rPr>
        <w:t>4</w:t>
      </w:r>
      <w:r>
        <w:rPr>
          <w:rFonts w:ascii="Times New Roman" w:eastAsia="Calibri" w:hAnsi="Times New Roman" w:cs="Times New Roman"/>
          <w:shd w:val="clear" w:color="auto" w:fill="FFFFFF"/>
          <w:lang w:eastAsia="en-US"/>
        </w:rPr>
        <w:t xml:space="preserve">), </w:t>
      </w:r>
      <w:r w:rsidR="00147C41" w:rsidRPr="00F06767">
        <w:rPr>
          <w:rFonts w:ascii="Times New Roman" w:eastAsia="Calibri" w:hAnsi="Times New Roman" w:cs="Times New Roman"/>
          <w:shd w:val="clear" w:color="auto" w:fill="FFFFFF"/>
          <w:lang w:eastAsia="en-US"/>
        </w:rPr>
        <w:t xml:space="preserve">659-690. </w:t>
      </w:r>
    </w:p>
    <w:p w14:paraId="5F7C1B9F" w14:textId="373C7AA7" w:rsidR="00390128" w:rsidRDefault="00390128" w:rsidP="00147C41">
      <w:pPr>
        <w:spacing w:line="240" w:lineRule="auto"/>
        <w:jc w:val="both"/>
        <w:rPr>
          <w:rFonts w:ascii="Times New Roman" w:eastAsia="Calibri" w:hAnsi="Times New Roman" w:cs="Times New Roman"/>
          <w:shd w:val="clear" w:color="auto" w:fill="FFFFFF"/>
          <w:lang w:eastAsia="en-US"/>
        </w:rPr>
      </w:pPr>
    </w:p>
    <w:p w14:paraId="263A34FB" w14:textId="220F52A2" w:rsidR="00390128" w:rsidRDefault="00390128" w:rsidP="00147C41">
      <w:pPr>
        <w:spacing w:line="240" w:lineRule="auto"/>
        <w:jc w:val="both"/>
        <w:rPr>
          <w:rFonts w:ascii="Times New Roman" w:eastAsia="Calibri" w:hAnsi="Times New Roman" w:cs="Times New Roman"/>
          <w:shd w:val="clear" w:color="auto" w:fill="FFFFFF"/>
          <w:lang w:eastAsia="en-US"/>
        </w:rPr>
      </w:pPr>
    </w:p>
    <w:p w14:paraId="40E1D556" w14:textId="32C21ED5" w:rsidR="00390128" w:rsidRDefault="00390128" w:rsidP="00147C41">
      <w:pPr>
        <w:spacing w:line="240" w:lineRule="auto"/>
        <w:jc w:val="both"/>
        <w:rPr>
          <w:rFonts w:ascii="Times New Roman" w:eastAsia="Calibri" w:hAnsi="Times New Roman" w:cs="Times New Roman"/>
          <w:shd w:val="clear" w:color="auto" w:fill="FFFFFF"/>
          <w:lang w:eastAsia="en-US"/>
        </w:rPr>
      </w:pPr>
    </w:p>
    <w:p w14:paraId="5C259C02" w14:textId="29DECF45" w:rsidR="00390128" w:rsidRDefault="00390128" w:rsidP="00147C41">
      <w:pPr>
        <w:spacing w:line="240" w:lineRule="auto"/>
        <w:jc w:val="both"/>
        <w:rPr>
          <w:rFonts w:ascii="Times New Roman" w:eastAsia="Calibri" w:hAnsi="Times New Roman" w:cs="Times New Roman"/>
          <w:shd w:val="clear" w:color="auto" w:fill="FFFFFF"/>
          <w:lang w:eastAsia="en-US"/>
        </w:rPr>
      </w:pPr>
    </w:p>
    <w:p w14:paraId="63C25C09" w14:textId="3251BA89" w:rsidR="00390128" w:rsidRDefault="00390128" w:rsidP="00147C41">
      <w:pPr>
        <w:spacing w:line="240" w:lineRule="auto"/>
        <w:jc w:val="both"/>
        <w:rPr>
          <w:rFonts w:ascii="Times New Roman" w:eastAsia="Calibri" w:hAnsi="Times New Roman" w:cs="Times New Roman"/>
          <w:shd w:val="clear" w:color="auto" w:fill="FFFFFF"/>
          <w:lang w:eastAsia="en-US"/>
        </w:rPr>
      </w:pPr>
    </w:p>
    <w:p w14:paraId="046DD784" w14:textId="04F189D8" w:rsidR="00390128" w:rsidRDefault="00390128" w:rsidP="00147C41">
      <w:pPr>
        <w:spacing w:line="240" w:lineRule="auto"/>
        <w:jc w:val="both"/>
        <w:rPr>
          <w:rFonts w:ascii="Times New Roman" w:eastAsia="Calibri" w:hAnsi="Times New Roman" w:cs="Times New Roman"/>
          <w:shd w:val="clear" w:color="auto" w:fill="FFFFFF"/>
          <w:lang w:eastAsia="en-US"/>
        </w:rPr>
      </w:pPr>
    </w:p>
    <w:p w14:paraId="4141E15C" w14:textId="57823875" w:rsidR="00390128" w:rsidRDefault="00390128" w:rsidP="00147C41">
      <w:pPr>
        <w:spacing w:line="240" w:lineRule="auto"/>
        <w:jc w:val="both"/>
        <w:rPr>
          <w:rFonts w:ascii="Times New Roman" w:eastAsia="Calibri" w:hAnsi="Times New Roman" w:cs="Times New Roman"/>
          <w:shd w:val="clear" w:color="auto" w:fill="FFFFFF"/>
          <w:lang w:eastAsia="en-US"/>
        </w:rPr>
      </w:pPr>
    </w:p>
    <w:p w14:paraId="39BCB433" w14:textId="1759DE40" w:rsidR="000B1951" w:rsidRDefault="000B1951" w:rsidP="00147C41">
      <w:pPr>
        <w:spacing w:line="240" w:lineRule="auto"/>
        <w:jc w:val="both"/>
        <w:rPr>
          <w:rFonts w:ascii="Times New Roman" w:eastAsia="Calibri" w:hAnsi="Times New Roman" w:cs="Times New Roman"/>
          <w:shd w:val="clear" w:color="auto" w:fill="FFFFFF"/>
          <w:lang w:eastAsia="en-US"/>
        </w:rPr>
      </w:pPr>
    </w:p>
    <w:p w14:paraId="6DAFE8EE" w14:textId="77777777" w:rsidR="000B1951" w:rsidRDefault="000B1951" w:rsidP="00147C41">
      <w:pPr>
        <w:spacing w:line="240" w:lineRule="auto"/>
        <w:jc w:val="both"/>
        <w:rPr>
          <w:rFonts w:ascii="Times New Roman" w:eastAsia="Calibri" w:hAnsi="Times New Roman" w:cs="Times New Roman"/>
          <w:shd w:val="clear" w:color="auto" w:fill="FFFFFF"/>
          <w:lang w:eastAsia="en-US"/>
        </w:rPr>
      </w:pPr>
    </w:p>
    <w:p w14:paraId="270079B0" w14:textId="77777777" w:rsidR="00390128" w:rsidRPr="006860E3" w:rsidRDefault="00390128" w:rsidP="00147C41">
      <w:pPr>
        <w:spacing w:line="240" w:lineRule="auto"/>
        <w:jc w:val="both"/>
        <w:rPr>
          <w:rFonts w:ascii="Times New Roman" w:eastAsia="Calibri" w:hAnsi="Times New Roman" w:cs="Times New Roman"/>
          <w:shd w:val="clear" w:color="auto" w:fill="FFFFFF"/>
          <w:lang w:eastAsia="en-US"/>
        </w:rPr>
      </w:pPr>
    </w:p>
    <w:p w14:paraId="0E59B9D5" w14:textId="233AD774" w:rsidR="00147C41" w:rsidRDefault="00147C41" w:rsidP="000B1951">
      <w:pPr>
        <w:spacing w:line="240" w:lineRule="auto"/>
        <w:jc w:val="both"/>
        <w:rPr>
          <w:rFonts w:asciiTheme="majorBidi" w:hAnsiTheme="majorBidi" w:cstheme="majorBidi"/>
          <w:color w:val="000000" w:themeColor="text1"/>
          <w:sz w:val="24"/>
          <w:szCs w:val="24"/>
        </w:rPr>
      </w:pPr>
    </w:p>
    <w:p w14:paraId="3EBFF319" w14:textId="439D4D25" w:rsidR="00364E95" w:rsidRPr="00CD0CBC" w:rsidRDefault="00364E95" w:rsidP="00CD0CBC">
      <w:pPr>
        <w:pStyle w:val="Heading1"/>
        <w:numPr>
          <w:ilvl w:val="0"/>
          <w:numId w:val="0"/>
        </w:numPr>
        <w:rPr>
          <w:rFonts w:ascii="Times New Roman" w:hAnsi="Times New Roman" w:cs="Times New Roman"/>
          <w:i/>
          <w:iCs/>
          <w:color w:val="auto"/>
          <w:sz w:val="24"/>
          <w:szCs w:val="24"/>
        </w:rPr>
      </w:pPr>
      <w:r w:rsidRPr="00CD6B65">
        <w:rPr>
          <w:rFonts w:ascii="Times New Roman" w:hAnsi="Times New Roman" w:cs="Times New Roman"/>
          <w:sz w:val="24"/>
          <w:szCs w:val="24"/>
        </w:rPr>
        <w:t>Table 1</w:t>
      </w:r>
      <w:r w:rsidR="00CD0CBC" w:rsidRPr="00CD6B65">
        <w:rPr>
          <w:rFonts w:ascii="Times New Roman" w:hAnsi="Times New Roman" w:cs="Times New Roman"/>
          <w:b w:val="0"/>
          <w:sz w:val="24"/>
          <w:szCs w:val="24"/>
        </w:rPr>
        <w:t>:</w:t>
      </w:r>
      <w:r w:rsidRPr="00CD6B65">
        <w:rPr>
          <w:rFonts w:ascii="Times New Roman" w:hAnsi="Times New Roman" w:cs="Times New Roman"/>
          <w:sz w:val="24"/>
          <w:szCs w:val="24"/>
        </w:rPr>
        <w:t xml:space="preserve"> Definitions of Variables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470"/>
      </w:tblGrid>
      <w:tr w:rsidR="00364E95" w14:paraId="59623689" w14:textId="77777777" w:rsidTr="00770444">
        <w:trPr>
          <w:trHeight w:val="467"/>
        </w:trPr>
        <w:tc>
          <w:tcPr>
            <w:tcW w:w="1525" w:type="dxa"/>
            <w:tcBorders>
              <w:top w:val="single" w:sz="4" w:space="0" w:color="auto"/>
            </w:tcBorders>
          </w:tcPr>
          <w:p w14:paraId="439FF672" w14:textId="34A774D3" w:rsidR="00364E95" w:rsidRPr="00586F47" w:rsidRDefault="00364E95" w:rsidP="00AA2A6E">
            <w:pPr>
              <w:adjustRightInd w:val="0"/>
              <w:snapToGrid w:val="0"/>
              <w:jc w:val="both"/>
              <w:rPr>
                <w:rFonts w:ascii="Times New Roman" w:hAnsi="Times New Roman" w:cs="Times New Roman"/>
                <w:color w:val="000000" w:themeColor="text1"/>
                <w:sz w:val="18"/>
                <w:szCs w:val="18"/>
                <w:lang w:val="en-US"/>
              </w:rPr>
            </w:pPr>
            <w:r w:rsidRPr="00586F47">
              <w:rPr>
                <w:rFonts w:ascii="Times New Roman" w:hAnsi="Times New Roman" w:cs="Times New Roman"/>
                <w:color w:val="000000" w:themeColor="text1"/>
                <w:sz w:val="18"/>
                <w:szCs w:val="18"/>
                <w:lang w:val="en-US"/>
              </w:rPr>
              <w:t>TFP</w:t>
            </w:r>
            <w:r w:rsidR="00770444">
              <w:rPr>
                <w:rFonts w:ascii="Times New Roman" w:hAnsi="Times New Roman" w:cs="Times New Roman"/>
                <w:color w:val="000000" w:themeColor="text1"/>
                <w:sz w:val="18"/>
                <w:szCs w:val="18"/>
                <w:lang w:val="en-US"/>
              </w:rPr>
              <w:t xml:space="preserve"> </w:t>
            </w:r>
          </w:p>
          <w:p w14:paraId="6ABE550B" w14:textId="77777777" w:rsidR="00364E95" w:rsidRPr="00586F47" w:rsidRDefault="00364E95" w:rsidP="00AA2A6E">
            <w:pPr>
              <w:adjustRightInd w:val="0"/>
              <w:snapToGrid w:val="0"/>
              <w:jc w:val="both"/>
              <w:rPr>
                <w:rFonts w:ascii="Times New Roman" w:hAnsi="Times New Roman" w:cs="Times New Roman"/>
                <w:color w:val="000000" w:themeColor="text1"/>
                <w:sz w:val="18"/>
                <w:szCs w:val="18"/>
                <w:lang w:val="en-US"/>
              </w:rPr>
            </w:pPr>
          </w:p>
        </w:tc>
        <w:tc>
          <w:tcPr>
            <w:tcW w:w="7470" w:type="dxa"/>
            <w:tcBorders>
              <w:top w:val="single" w:sz="4" w:space="0" w:color="auto"/>
            </w:tcBorders>
          </w:tcPr>
          <w:p w14:paraId="22D17AD6" w14:textId="43D26BDD" w:rsidR="00364E95" w:rsidRPr="00496049" w:rsidRDefault="00364E95" w:rsidP="00AA2A6E">
            <w:pPr>
              <w:adjustRightInd w:val="0"/>
              <w:snapToGrid w:val="0"/>
              <w:jc w:val="both"/>
              <w:rPr>
                <w:rFonts w:ascii="Times New Roman" w:hAnsi="Times New Roman" w:cs="Times New Roman"/>
                <w:color w:val="000000" w:themeColor="text1"/>
                <w:sz w:val="18"/>
                <w:szCs w:val="18"/>
                <w:lang w:val="en-US"/>
              </w:rPr>
            </w:pPr>
            <w:r w:rsidRPr="00496049">
              <w:rPr>
                <w:rFonts w:ascii="Times New Roman" w:hAnsi="Times New Roman" w:cs="Times New Roman"/>
                <w:color w:val="000000" w:themeColor="text1"/>
                <w:sz w:val="18"/>
                <w:szCs w:val="18"/>
                <w:lang w:val="en-US"/>
              </w:rPr>
              <w:t xml:space="preserve">Total fixed </w:t>
            </w:r>
            <w:r w:rsidR="00770444" w:rsidRPr="00496049">
              <w:rPr>
                <w:rFonts w:ascii="Times New Roman" w:hAnsi="Times New Roman" w:cs="Times New Roman"/>
                <w:color w:val="000000" w:themeColor="text1"/>
                <w:sz w:val="18"/>
                <w:szCs w:val="18"/>
                <w:lang w:val="en-US"/>
              </w:rPr>
              <w:t>pay (</w:t>
            </w:r>
            <w:r w:rsidRPr="00496049">
              <w:rPr>
                <w:rFonts w:ascii="Times New Roman" w:hAnsi="Times New Roman" w:cs="Times New Roman"/>
                <w:color w:val="000000" w:themeColor="text1"/>
                <w:sz w:val="18"/>
                <w:szCs w:val="18"/>
                <w:lang w:val="en-US"/>
              </w:rPr>
              <w:t>Basic salary) paid to board executives</w:t>
            </w:r>
            <w:r w:rsidR="00770444">
              <w:rPr>
                <w:rFonts w:ascii="Times New Roman" w:hAnsi="Times New Roman" w:cs="Times New Roman"/>
                <w:color w:val="000000" w:themeColor="text1"/>
                <w:sz w:val="18"/>
                <w:szCs w:val="18"/>
                <w:lang w:val="en-US"/>
              </w:rPr>
              <w:t xml:space="preserve"> – defined as log total value of the executive base salary. </w:t>
            </w:r>
          </w:p>
        </w:tc>
      </w:tr>
      <w:tr w:rsidR="00364E95" w14:paraId="266073A9" w14:textId="77777777" w:rsidTr="00AA2A6E">
        <w:tc>
          <w:tcPr>
            <w:tcW w:w="1525" w:type="dxa"/>
          </w:tcPr>
          <w:p w14:paraId="27D31AF6" w14:textId="258BEB2B" w:rsidR="00364E95" w:rsidRPr="00586F47" w:rsidRDefault="00364E95" w:rsidP="00AA2A6E">
            <w:pPr>
              <w:adjustRightInd w:val="0"/>
              <w:snapToGrid w:val="0"/>
              <w:jc w:val="both"/>
              <w:rPr>
                <w:rFonts w:ascii="Times New Roman" w:hAnsi="Times New Roman" w:cs="Times New Roman"/>
                <w:color w:val="000000" w:themeColor="text1"/>
                <w:sz w:val="18"/>
                <w:szCs w:val="18"/>
                <w:lang w:val="en-US"/>
              </w:rPr>
            </w:pPr>
            <w:r w:rsidRPr="00586F47">
              <w:rPr>
                <w:rFonts w:ascii="Times New Roman" w:hAnsi="Times New Roman" w:cs="Times New Roman"/>
                <w:color w:val="000000" w:themeColor="text1"/>
                <w:sz w:val="18"/>
                <w:szCs w:val="18"/>
                <w:lang w:val="en-US"/>
              </w:rPr>
              <w:t>TV</w:t>
            </w:r>
            <w:r w:rsidR="00770444">
              <w:rPr>
                <w:rFonts w:ascii="Times New Roman" w:hAnsi="Times New Roman" w:cs="Times New Roman"/>
                <w:color w:val="000000" w:themeColor="text1"/>
                <w:sz w:val="18"/>
                <w:szCs w:val="18"/>
                <w:lang w:val="en-US"/>
              </w:rPr>
              <w:t>P</w:t>
            </w:r>
          </w:p>
        </w:tc>
        <w:tc>
          <w:tcPr>
            <w:tcW w:w="7470" w:type="dxa"/>
          </w:tcPr>
          <w:p w14:paraId="68BE0623" w14:textId="5473CB8E" w:rsidR="00364E95" w:rsidRDefault="00364E95" w:rsidP="00AA2A6E">
            <w:pPr>
              <w:adjustRightInd w:val="0"/>
              <w:snapToGrid w:val="0"/>
              <w:jc w:val="both"/>
              <w:rPr>
                <w:rFonts w:ascii="Times New Roman" w:hAnsi="Times New Roman" w:cs="Times New Roman"/>
                <w:color w:val="000000" w:themeColor="text1"/>
                <w:sz w:val="18"/>
                <w:szCs w:val="18"/>
                <w:lang w:val="en-US"/>
              </w:rPr>
            </w:pPr>
            <w:r w:rsidRPr="00496049">
              <w:rPr>
                <w:rFonts w:ascii="Times New Roman" w:hAnsi="Times New Roman" w:cs="Times New Roman"/>
                <w:color w:val="000000" w:themeColor="text1"/>
                <w:sz w:val="18"/>
                <w:szCs w:val="18"/>
                <w:lang w:val="en-US"/>
              </w:rPr>
              <w:t>Total variable paid to board executives (annual bonuses and share options)</w:t>
            </w:r>
            <w:r w:rsidR="00770444">
              <w:rPr>
                <w:rFonts w:ascii="Times New Roman" w:hAnsi="Times New Roman" w:cs="Times New Roman"/>
                <w:color w:val="000000" w:themeColor="text1"/>
                <w:sz w:val="18"/>
                <w:szCs w:val="18"/>
                <w:lang w:val="en-US"/>
              </w:rPr>
              <w:t xml:space="preserve"> – defined as the log total value. </w:t>
            </w:r>
          </w:p>
          <w:p w14:paraId="5CFE6473" w14:textId="77777777" w:rsidR="00364E95" w:rsidRPr="00496049" w:rsidRDefault="00364E95" w:rsidP="00AA2A6E">
            <w:pPr>
              <w:adjustRightInd w:val="0"/>
              <w:snapToGrid w:val="0"/>
              <w:jc w:val="both"/>
              <w:rPr>
                <w:rFonts w:ascii="Times New Roman" w:hAnsi="Times New Roman" w:cs="Times New Roman"/>
                <w:color w:val="000000" w:themeColor="text1"/>
                <w:sz w:val="18"/>
                <w:szCs w:val="18"/>
                <w:lang w:val="en-US"/>
              </w:rPr>
            </w:pPr>
            <w:r w:rsidRPr="00496049">
              <w:rPr>
                <w:rFonts w:ascii="Times New Roman" w:hAnsi="Times New Roman" w:cs="Times New Roman"/>
                <w:color w:val="000000" w:themeColor="text1"/>
                <w:sz w:val="18"/>
                <w:szCs w:val="18"/>
                <w:lang w:val="en-US"/>
              </w:rPr>
              <w:t xml:space="preserve"> </w:t>
            </w:r>
          </w:p>
        </w:tc>
      </w:tr>
      <w:tr w:rsidR="00364E95" w14:paraId="0A79D624" w14:textId="77777777" w:rsidTr="00AA2A6E">
        <w:tc>
          <w:tcPr>
            <w:tcW w:w="1525" w:type="dxa"/>
          </w:tcPr>
          <w:p w14:paraId="5D41D2BD" w14:textId="2CC80281" w:rsidR="00364E95" w:rsidRPr="00244721" w:rsidRDefault="00364E95" w:rsidP="00AA2A6E">
            <w:pPr>
              <w:adjustRightInd w:val="0"/>
              <w:snapToGrid w:val="0"/>
              <w:jc w:val="both"/>
              <w:rPr>
                <w:rFonts w:ascii="Times New Roman" w:hAnsi="Times New Roman" w:cs="Times New Roman"/>
                <w:color w:val="000000" w:themeColor="text1"/>
                <w:sz w:val="24"/>
                <w:szCs w:val="24"/>
                <w:vertAlign w:val="subscript"/>
                <w:lang w:val="en-US"/>
              </w:rPr>
            </w:pPr>
            <w:r w:rsidRPr="00586F47">
              <w:rPr>
                <w:rFonts w:ascii="Times New Roman" w:hAnsi="Times New Roman" w:cs="Times New Roman"/>
                <w:color w:val="000000" w:themeColor="text1"/>
                <w:sz w:val="24"/>
                <w:szCs w:val="24"/>
                <w:vertAlign w:val="subscript"/>
                <w:lang w:val="en-US"/>
              </w:rPr>
              <w:t>TOBIN Q</w:t>
            </w:r>
            <w:r w:rsidR="00FA7FB5">
              <w:rPr>
                <w:rFonts w:ascii="Times New Roman" w:hAnsi="Times New Roman" w:cs="Times New Roman"/>
                <w:color w:val="000000" w:themeColor="text1"/>
                <w:sz w:val="24"/>
                <w:szCs w:val="24"/>
                <w:vertAlign w:val="subscript"/>
                <w:lang w:val="en-US"/>
              </w:rPr>
              <w:t xml:space="preserve"> (TQ)</w:t>
            </w:r>
          </w:p>
        </w:tc>
        <w:tc>
          <w:tcPr>
            <w:tcW w:w="7470" w:type="dxa"/>
          </w:tcPr>
          <w:p w14:paraId="413E8D47" w14:textId="77777777" w:rsidR="00364E95" w:rsidRDefault="00364E95" w:rsidP="00AA2A6E">
            <w:pPr>
              <w:adjustRightInd w:val="0"/>
              <w:snapToGrid w:val="0"/>
              <w:jc w:val="both"/>
              <w:rPr>
                <w:rFonts w:ascii="Times New Roman" w:hAnsi="Times New Roman" w:cs="Times New Roman"/>
                <w:color w:val="000000" w:themeColor="text1"/>
                <w:sz w:val="18"/>
                <w:szCs w:val="18"/>
                <w:lang w:val="en-US"/>
              </w:rPr>
            </w:pPr>
            <w:r w:rsidRPr="00496049">
              <w:rPr>
                <w:rFonts w:ascii="Times New Roman" w:hAnsi="Times New Roman" w:cs="Times New Roman"/>
                <w:color w:val="000000" w:themeColor="text1"/>
                <w:sz w:val="18"/>
                <w:szCs w:val="18"/>
                <w:lang w:val="en-US"/>
              </w:rPr>
              <w:t xml:space="preserve">Ratio of the market value of the firm to the replacement cost of their average total asset. </w:t>
            </w:r>
          </w:p>
          <w:p w14:paraId="17BEB6DC" w14:textId="77777777" w:rsidR="00364E95" w:rsidRPr="00865F2B" w:rsidRDefault="00364E95" w:rsidP="00AA2A6E">
            <w:pPr>
              <w:adjustRightInd w:val="0"/>
              <w:snapToGrid w:val="0"/>
              <w:jc w:val="both"/>
              <w:rPr>
                <w:rFonts w:ascii="Times New Roman" w:hAnsi="Times New Roman" w:cs="Times New Roman"/>
                <w:i/>
                <w:color w:val="000000" w:themeColor="text1"/>
                <w:sz w:val="18"/>
                <w:szCs w:val="18"/>
                <w:lang w:val="en-US"/>
              </w:rPr>
            </w:pPr>
          </w:p>
        </w:tc>
      </w:tr>
      <w:tr w:rsidR="0022343D" w14:paraId="045BA9A6" w14:textId="77777777" w:rsidTr="00AA2A6E">
        <w:tc>
          <w:tcPr>
            <w:tcW w:w="1525" w:type="dxa"/>
          </w:tcPr>
          <w:p w14:paraId="5A4C2EBE" w14:textId="63120C7E" w:rsidR="0022343D" w:rsidRDefault="0022343D" w:rsidP="0022343D">
            <w:pPr>
              <w:rPr>
                <w:rFonts w:ascii="Times New Roman" w:hAnsi="Times New Roman" w:cs="Times New Roman"/>
                <w:color w:val="000000" w:themeColor="text1"/>
                <w:sz w:val="18"/>
                <w:szCs w:val="18"/>
                <w:lang w:val="en-US"/>
              </w:rPr>
            </w:pPr>
            <w:r w:rsidRPr="00586F47">
              <w:rPr>
                <w:rFonts w:ascii="Times New Roman" w:hAnsi="Times New Roman" w:cs="Times New Roman"/>
                <w:color w:val="000000" w:themeColor="text1"/>
                <w:sz w:val="18"/>
                <w:szCs w:val="18"/>
                <w:lang w:val="en-US"/>
              </w:rPr>
              <w:t>DE</w:t>
            </w:r>
          </w:p>
          <w:p w14:paraId="152229EC" w14:textId="77777777" w:rsidR="0022343D" w:rsidRDefault="0022343D" w:rsidP="0022343D">
            <w:pPr>
              <w:rPr>
                <w:rFonts w:ascii="Times New Roman" w:hAnsi="Times New Roman" w:cs="Times New Roman"/>
                <w:color w:val="000000" w:themeColor="text1"/>
                <w:sz w:val="18"/>
                <w:szCs w:val="18"/>
                <w:lang w:val="en-US"/>
              </w:rPr>
            </w:pPr>
          </w:p>
          <w:p w14:paraId="50DBC613" w14:textId="77777777" w:rsidR="0022343D" w:rsidRDefault="0022343D" w:rsidP="0022343D">
            <w:pPr>
              <w:rPr>
                <w:rFonts w:ascii="Times New Roman" w:hAnsi="Times New Roman" w:cs="Times New Roman"/>
                <w:sz w:val="18"/>
                <w:szCs w:val="18"/>
                <w:lang w:val="en-US"/>
              </w:rPr>
            </w:pPr>
            <w:r>
              <w:rPr>
                <w:rFonts w:ascii="Times New Roman" w:hAnsi="Times New Roman" w:cs="Times New Roman"/>
                <w:sz w:val="18"/>
                <w:szCs w:val="18"/>
                <w:lang w:val="en-US"/>
              </w:rPr>
              <w:t>LQ</w:t>
            </w:r>
          </w:p>
          <w:p w14:paraId="3E279220" w14:textId="77777777" w:rsidR="0022343D" w:rsidRDefault="0022343D" w:rsidP="0022343D">
            <w:pPr>
              <w:rPr>
                <w:rFonts w:ascii="Times New Roman" w:hAnsi="Times New Roman" w:cs="Times New Roman"/>
                <w:sz w:val="18"/>
                <w:szCs w:val="18"/>
                <w:lang w:val="en-US"/>
              </w:rPr>
            </w:pPr>
          </w:p>
          <w:p w14:paraId="7F18C9BD" w14:textId="7E7455D5" w:rsidR="0022343D" w:rsidRPr="00CD6B65" w:rsidRDefault="0022343D" w:rsidP="00CD6B65">
            <w:pPr>
              <w:rPr>
                <w:rFonts w:ascii="Times New Roman" w:hAnsi="Times New Roman" w:cs="Times New Roman"/>
                <w:sz w:val="18"/>
                <w:szCs w:val="18"/>
                <w:lang w:val="en-US"/>
              </w:rPr>
            </w:pPr>
            <w:r>
              <w:rPr>
                <w:rFonts w:ascii="Times New Roman" w:hAnsi="Times New Roman" w:cs="Times New Roman"/>
                <w:sz w:val="18"/>
                <w:szCs w:val="18"/>
                <w:lang w:val="en-US"/>
              </w:rPr>
              <w:t>RD</w:t>
            </w:r>
          </w:p>
        </w:tc>
        <w:tc>
          <w:tcPr>
            <w:tcW w:w="7470" w:type="dxa"/>
          </w:tcPr>
          <w:p w14:paraId="7C73A7AC" w14:textId="7BF47C9F" w:rsidR="0022343D" w:rsidRDefault="0022343D" w:rsidP="0022343D">
            <w:pPr>
              <w:adjustRightInd w:val="0"/>
              <w:snapToGrid w:val="0"/>
              <w:jc w:val="both"/>
              <w:rPr>
                <w:rFonts w:ascii="Times New Roman" w:hAnsi="Times New Roman" w:cs="Times New Roman"/>
                <w:color w:val="000000" w:themeColor="text1"/>
                <w:sz w:val="18"/>
                <w:szCs w:val="18"/>
                <w:lang w:val="en-US"/>
              </w:rPr>
            </w:pPr>
            <w:r w:rsidRPr="00496049">
              <w:rPr>
                <w:rFonts w:ascii="Times New Roman" w:hAnsi="Times New Roman" w:cs="Times New Roman"/>
                <w:color w:val="000000" w:themeColor="text1"/>
                <w:sz w:val="18"/>
                <w:szCs w:val="18"/>
                <w:lang w:val="en-US"/>
              </w:rPr>
              <w:t>Measured by the firms’ total debt to equity ratio.</w:t>
            </w:r>
          </w:p>
          <w:p w14:paraId="6D5DEBCD" w14:textId="472C040B" w:rsidR="0022343D" w:rsidRDefault="0022343D" w:rsidP="0022343D">
            <w:pPr>
              <w:adjustRightInd w:val="0"/>
              <w:snapToGrid w:val="0"/>
              <w:jc w:val="both"/>
              <w:rPr>
                <w:rFonts w:ascii="Times New Roman" w:hAnsi="Times New Roman" w:cs="Times New Roman"/>
                <w:color w:val="000000" w:themeColor="text1"/>
                <w:sz w:val="18"/>
                <w:szCs w:val="18"/>
                <w:lang w:val="en-US"/>
              </w:rPr>
            </w:pPr>
          </w:p>
          <w:p w14:paraId="7EA3FB79" w14:textId="581FF544" w:rsidR="0022343D" w:rsidRDefault="0022343D" w:rsidP="0022343D">
            <w:pPr>
              <w:adjustRightInd w:val="0"/>
              <w:snapToGrid w:val="0"/>
              <w:jc w:val="both"/>
              <w:rPr>
                <w:rFonts w:ascii="Times New Roman" w:hAnsi="Times New Roman" w:cs="Times New Roman"/>
                <w:color w:val="000000" w:themeColor="text1"/>
                <w:sz w:val="18"/>
                <w:szCs w:val="18"/>
                <w:lang w:val="en-US"/>
              </w:rPr>
            </w:pPr>
            <w:r w:rsidRPr="00496049">
              <w:rPr>
                <w:rFonts w:ascii="Times New Roman" w:hAnsi="Times New Roman" w:cs="Times New Roman"/>
                <w:color w:val="000000" w:themeColor="text1"/>
                <w:sz w:val="18"/>
                <w:szCs w:val="18"/>
                <w:lang w:val="en-US"/>
              </w:rPr>
              <w:t>Measured as current ratio</w:t>
            </w:r>
          </w:p>
          <w:p w14:paraId="5D112757" w14:textId="761F152F" w:rsidR="0022343D" w:rsidRDefault="0022343D" w:rsidP="0022343D">
            <w:pPr>
              <w:adjustRightInd w:val="0"/>
              <w:snapToGrid w:val="0"/>
              <w:jc w:val="both"/>
              <w:rPr>
                <w:rFonts w:ascii="Times New Roman" w:hAnsi="Times New Roman" w:cs="Times New Roman"/>
                <w:color w:val="000000" w:themeColor="text1"/>
                <w:sz w:val="18"/>
                <w:szCs w:val="18"/>
                <w:lang w:val="en-US"/>
              </w:rPr>
            </w:pPr>
          </w:p>
          <w:p w14:paraId="217CB173" w14:textId="3BD47882" w:rsidR="0022343D" w:rsidRPr="00496049" w:rsidRDefault="0022343D" w:rsidP="0022343D">
            <w:pPr>
              <w:adjustRightInd w:val="0"/>
              <w:snapToGrid w:val="0"/>
              <w:jc w:val="both"/>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Log value of t</w:t>
            </w:r>
            <w:r w:rsidRPr="00496049">
              <w:rPr>
                <w:rFonts w:ascii="Times New Roman" w:hAnsi="Times New Roman" w:cs="Times New Roman"/>
                <w:color w:val="000000" w:themeColor="text1"/>
                <w:sz w:val="18"/>
                <w:szCs w:val="18"/>
                <w:lang w:val="en-US"/>
              </w:rPr>
              <w:t>he firm</w:t>
            </w:r>
            <w:r>
              <w:rPr>
                <w:rFonts w:ascii="Times New Roman" w:hAnsi="Times New Roman" w:cs="Times New Roman"/>
                <w:color w:val="000000" w:themeColor="text1"/>
                <w:sz w:val="18"/>
                <w:szCs w:val="18"/>
                <w:lang w:val="en-US"/>
              </w:rPr>
              <w:t>’</w:t>
            </w:r>
            <w:r w:rsidRPr="00496049">
              <w:rPr>
                <w:rFonts w:ascii="Times New Roman" w:hAnsi="Times New Roman" w:cs="Times New Roman"/>
                <w:color w:val="000000" w:themeColor="text1"/>
                <w:sz w:val="18"/>
                <w:szCs w:val="18"/>
                <w:lang w:val="en-US"/>
              </w:rPr>
              <w:t>s total investment in research and development.</w:t>
            </w:r>
          </w:p>
          <w:p w14:paraId="27A51D24" w14:textId="77777777" w:rsidR="0022343D" w:rsidRPr="00496049" w:rsidRDefault="0022343D" w:rsidP="0022343D">
            <w:pPr>
              <w:adjustRightInd w:val="0"/>
              <w:snapToGrid w:val="0"/>
              <w:jc w:val="both"/>
              <w:rPr>
                <w:rFonts w:ascii="Times New Roman" w:hAnsi="Times New Roman" w:cs="Times New Roman"/>
                <w:color w:val="000000" w:themeColor="text1"/>
                <w:sz w:val="18"/>
                <w:szCs w:val="18"/>
                <w:lang w:val="en-US"/>
              </w:rPr>
            </w:pPr>
          </w:p>
        </w:tc>
      </w:tr>
      <w:tr w:rsidR="0022343D" w14:paraId="366A2946" w14:textId="77777777" w:rsidTr="00AA2A6E">
        <w:trPr>
          <w:trHeight w:val="502"/>
        </w:trPr>
        <w:tc>
          <w:tcPr>
            <w:tcW w:w="1525" w:type="dxa"/>
          </w:tcPr>
          <w:p w14:paraId="4B88084A" w14:textId="3488EED4" w:rsidR="0022343D" w:rsidRPr="00586F47" w:rsidRDefault="0022343D" w:rsidP="0022343D">
            <w:pPr>
              <w:adjustRightInd w:val="0"/>
              <w:snapToGrid w:val="0"/>
              <w:jc w:val="both"/>
              <w:rPr>
                <w:rFonts w:ascii="Times New Roman" w:hAnsi="Times New Roman" w:cs="Times New Roman"/>
                <w:color w:val="000000" w:themeColor="text1"/>
                <w:sz w:val="18"/>
                <w:szCs w:val="18"/>
                <w:lang w:val="en-US"/>
              </w:rPr>
            </w:pPr>
            <w:r w:rsidRPr="00586F47">
              <w:rPr>
                <w:rFonts w:ascii="Times New Roman" w:hAnsi="Times New Roman" w:cs="Times New Roman"/>
                <w:color w:val="000000" w:themeColor="text1"/>
                <w:sz w:val="18"/>
                <w:szCs w:val="18"/>
                <w:lang w:val="en-US"/>
              </w:rPr>
              <w:t>MO</w:t>
            </w:r>
          </w:p>
        </w:tc>
        <w:tc>
          <w:tcPr>
            <w:tcW w:w="7470" w:type="dxa"/>
          </w:tcPr>
          <w:p w14:paraId="3CB2E78F" w14:textId="10AA1130" w:rsidR="0022343D" w:rsidRPr="00496049" w:rsidRDefault="0022343D" w:rsidP="0022343D">
            <w:pPr>
              <w:adjustRightInd w:val="0"/>
              <w:snapToGrid w:val="0"/>
              <w:jc w:val="both"/>
              <w:rPr>
                <w:rFonts w:ascii="Times New Roman" w:hAnsi="Times New Roman" w:cs="Times New Roman"/>
                <w:color w:val="000000" w:themeColor="text1"/>
                <w:sz w:val="18"/>
                <w:szCs w:val="18"/>
                <w:lang w:val="en-US"/>
              </w:rPr>
            </w:pPr>
            <w:r w:rsidRPr="00496049">
              <w:rPr>
                <w:rFonts w:ascii="Times New Roman" w:hAnsi="Times New Roman" w:cs="Times New Roman"/>
                <w:color w:val="000000" w:themeColor="text1"/>
                <w:sz w:val="18"/>
                <w:szCs w:val="18"/>
                <w:lang w:val="en-US"/>
              </w:rPr>
              <w:t>Number of shares held by co</w:t>
            </w:r>
            <w:r>
              <w:rPr>
                <w:rFonts w:ascii="Times New Roman" w:hAnsi="Times New Roman" w:cs="Times New Roman"/>
                <w:color w:val="000000" w:themeColor="text1"/>
                <w:sz w:val="18"/>
                <w:szCs w:val="18"/>
                <w:lang w:val="en-US"/>
              </w:rPr>
              <w:t>mpany executives i.e., managerial ownership</w:t>
            </w:r>
            <w:r w:rsidRPr="00496049">
              <w:rPr>
                <w:rFonts w:ascii="Times New Roman" w:hAnsi="Times New Roman" w:cs="Times New Roman"/>
                <w:color w:val="000000" w:themeColor="text1"/>
                <w:sz w:val="18"/>
                <w:szCs w:val="18"/>
                <w:lang w:val="en-US"/>
              </w:rPr>
              <w:t>.</w:t>
            </w:r>
          </w:p>
        </w:tc>
      </w:tr>
      <w:tr w:rsidR="0022343D" w14:paraId="55F57140" w14:textId="77777777" w:rsidTr="00AA2A6E">
        <w:tc>
          <w:tcPr>
            <w:tcW w:w="1525" w:type="dxa"/>
          </w:tcPr>
          <w:p w14:paraId="49D32524" w14:textId="043F17DB" w:rsidR="0022343D" w:rsidRPr="00CD6B65" w:rsidRDefault="0022343D" w:rsidP="0022343D">
            <w:pPr>
              <w:adjustRightInd w:val="0"/>
              <w:snapToGrid w:val="0"/>
              <w:jc w:val="both"/>
              <w:rPr>
                <w:rFonts w:ascii="Times New Roman" w:hAnsi="Times New Roman" w:cs="Times New Roman"/>
                <w:color w:val="000000" w:themeColor="text1"/>
                <w:sz w:val="18"/>
                <w:szCs w:val="18"/>
                <w:lang w:val="en-US"/>
              </w:rPr>
            </w:pPr>
            <w:r w:rsidRPr="00CD6B65">
              <w:rPr>
                <w:rFonts w:ascii="Times New Roman" w:hAnsi="Times New Roman" w:cs="Times New Roman"/>
                <w:color w:val="000000" w:themeColor="text1"/>
                <w:sz w:val="18"/>
                <w:szCs w:val="18"/>
                <w:lang w:val="en-US"/>
              </w:rPr>
              <w:t>IO</w:t>
            </w:r>
          </w:p>
        </w:tc>
        <w:tc>
          <w:tcPr>
            <w:tcW w:w="7470" w:type="dxa"/>
          </w:tcPr>
          <w:p w14:paraId="4444A0EE" w14:textId="0382E210" w:rsidR="0022343D" w:rsidRPr="00CD6B65" w:rsidRDefault="0022343D" w:rsidP="0022343D">
            <w:pPr>
              <w:adjustRightInd w:val="0"/>
              <w:snapToGrid w:val="0"/>
              <w:jc w:val="both"/>
              <w:rPr>
                <w:rFonts w:ascii="Times New Roman" w:hAnsi="Times New Roman" w:cs="Times New Roman"/>
                <w:color w:val="000000" w:themeColor="text1"/>
                <w:sz w:val="18"/>
                <w:szCs w:val="18"/>
                <w:lang w:val="en-US"/>
              </w:rPr>
            </w:pPr>
            <w:r w:rsidRPr="00CD6B65">
              <w:rPr>
                <w:rFonts w:ascii="Times New Roman" w:hAnsi="Times New Roman" w:cs="Times New Roman"/>
                <w:color w:val="000000" w:themeColor="text1"/>
                <w:sz w:val="18"/>
                <w:szCs w:val="18"/>
                <w:lang w:val="en-US"/>
              </w:rPr>
              <w:t xml:space="preserve">Log of total number of shares held by institutional investors. </w:t>
            </w:r>
          </w:p>
          <w:p w14:paraId="17DEB5E9" w14:textId="77777777" w:rsidR="0022343D" w:rsidRPr="00CD6B65" w:rsidRDefault="0022343D" w:rsidP="0022343D">
            <w:pPr>
              <w:adjustRightInd w:val="0"/>
              <w:snapToGrid w:val="0"/>
              <w:jc w:val="both"/>
              <w:rPr>
                <w:rFonts w:ascii="Times New Roman" w:hAnsi="Times New Roman" w:cs="Times New Roman"/>
                <w:color w:val="000000" w:themeColor="text1"/>
                <w:sz w:val="18"/>
                <w:szCs w:val="18"/>
                <w:lang w:val="en-US"/>
              </w:rPr>
            </w:pPr>
          </w:p>
        </w:tc>
      </w:tr>
      <w:tr w:rsidR="0022343D" w14:paraId="2658074E" w14:textId="77777777" w:rsidTr="00AA2A6E">
        <w:tc>
          <w:tcPr>
            <w:tcW w:w="1525" w:type="dxa"/>
          </w:tcPr>
          <w:p w14:paraId="44069AA3" w14:textId="4F272773" w:rsidR="0022343D" w:rsidRPr="00586F47" w:rsidRDefault="0022343D" w:rsidP="0022343D">
            <w:pPr>
              <w:adjustRightInd w:val="0"/>
              <w:snapToGrid w:val="0"/>
              <w:jc w:val="both"/>
              <w:rPr>
                <w:rFonts w:ascii="Times New Roman" w:hAnsi="Times New Roman" w:cs="Times New Roman"/>
                <w:color w:val="000000" w:themeColor="text1"/>
                <w:sz w:val="18"/>
                <w:szCs w:val="18"/>
                <w:lang w:val="en-US"/>
              </w:rPr>
            </w:pPr>
            <w:r w:rsidRPr="00586F47">
              <w:rPr>
                <w:rFonts w:ascii="Times New Roman" w:hAnsi="Times New Roman" w:cs="Times New Roman"/>
                <w:color w:val="000000" w:themeColor="text1"/>
                <w:sz w:val="18"/>
                <w:szCs w:val="18"/>
                <w:lang w:val="en-US"/>
              </w:rPr>
              <w:t>B</w:t>
            </w:r>
            <w:r>
              <w:rPr>
                <w:rFonts w:ascii="Times New Roman" w:hAnsi="Times New Roman" w:cs="Times New Roman"/>
                <w:color w:val="000000" w:themeColor="text1"/>
                <w:sz w:val="18"/>
                <w:szCs w:val="18"/>
                <w:lang w:val="en-US"/>
              </w:rPr>
              <w:t>S</w:t>
            </w:r>
          </w:p>
        </w:tc>
        <w:tc>
          <w:tcPr>
            <w:tcW w:w="7470" w:type="dxa"/>
          </w:tcPr>
          <w:p w14:paraId="4C6738C1" w14:textId="77777777" w:rsidR="0022343D" w:rsidRPr="00496049" w:rsidRDefault="0022343D" w:rsidP="0022343D">
            <w:pPr>
              <w:adjustRightInd w:val="0"/>
              <w:snapToGrid w:val="0"/>
              <w:jc w:val="both"/>
              <w:rPr>
                <w:rFonts w:ascii="Times New Roman" w:hAnsi="Times New Roman" w:cs="Times New Roman"/>
                <w:color w:val="000000" w:themeColor="text1"/>
                <w:sz w:val="18"/>
                <w:szCs w:val="18"/>
                <w:lang w:val="en-US"/>
              </w:rPr>
            </w:pPr>
            <w:r w:rsidRPr="00496049">
              <w:rPr>
                <w:rFonts w:ascii="Times New Roman" w:hAnsi="Times New Roman" w:cs="Times New Roman"/>
                <w:color w:val="000000" w:themeColor="text1"/>
                <w:sz w:val="18"/>
                <w:szCs w:val="18"/>
                <w:lang w:val="en-US"/>
              </w:rPr>
              <w:t>Total number of board members on the board.</w:t>
            </w:r>
          </w:p>
          <w:p w14:paraId="2EF92047" w14:textId="77777777" w:rsidR="0022343D" w:rsidRPr="00496049" w:rsidRDefault="0022343D" w:rsidP="0022343D">
            <w:pPr>
              <w:adjustRightInd w:val="0"/>
              <w:snapToGrid w:val="0"/>
              <w:jc w:val="both"/>
              <w:rPr>
                <w:rFonts w:ascii="Times New Roman" w:hAnsi="Times New Roman" w:cs="Times New Roman"/>
                <w:color w:val="000000" w:themeColor="text1"/>
                <w:sz w:val="18"/>
                <w:szCs w:val="18"/>
                <w:lang w:val="en-US"/>
              </w:rPr>
            </w:pPr>
          </w:p>
        </w:tc>
      </w:tr>
      <w:tr w:rsidR="0022343D" w14:paraId="6035F9FE" w14:textId="77777777" w:rsidTr="00AA2A6E">
        <w:tc>
          <w:tcPr>
            <w:tcW w:w="1525" w:type="dxa"/>
          </w:tcPr>
          <w:p w14:paraId="1A1D0811" w14:textId="4C8878A2" w:rsidR="0022343D" w:rsidRPr="00586F47" w:rsidRDefault="0022343D" w:rsidP="0022343D">
            <w:pPr>
              <w:adjustRightInd w:val="0"/>
              <w:snapToGrid w:val="0"/>
              <w:jc w:val="both"/>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NE</w:t>
            </w:r>
          </w:p>
        </w:tc>
        <w:tc>
          <w:tcPr>
            <w:tcW w:w="7470" w:type="dxa"/>
          </w:tcPr>
          <w:p w14:paraId="66CB27A6" w14:textId="77777777" w:rsidR="0022343D" w:rsidRDefault="0022343D" w:rsidP="0022343D">
            <w:pPr>
              <w:adjustRightInd w:val="0"/>
              <w:snapToGrid w:val="0"/>
              <w:jc w:val="both"/>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Proportion of independent non-executive directors on the board</w:t>
            </w:r>
          </w:p>
          <w:p w14:paraId="1ABD0358" w14:textId="77777777" w:rsidR="0022343D" w:rsidRPr="00496049" w:rsidRDefault="0022343D" w:rsidP="0022343D">
            <w:pPr>
              <w:adjustRightInd w:val="0"/>
              <w:snapToGrid w:val="0"/>
              <w:jc w:val="both"/>
              <w:rPr>
                <w:rFonts w:ascii="Times New Roman" w:hAnsi="Times New Roman" w:cs="Times New Roman"/>
                <w:color w:val="000000" w:themeColor="text1"/>
                <w:sz w:val="18"/>
                <w:szCs w:val="18"/>
                <w:lang w:val="en-US"/>
              </w:rPr>
            </w:pPr>
          </w:p>
        </w:tc>
      </w:tr>
      <w:tr w:rsidR="0022343D" w:rsidRPr="00496049" w14:paraId="14DE4498" w14:textId="77777777" w:rsidTr="00C85FD2">
        <w:tc>
          <w:tcPr>
            <w:tcW w:w="1525" w:type="dxa"/>
          </w:tcPr>
          <w:p w14:paraId="1F899FBE" w14:textId="77777777" w:rsidR="0022343D" w:rsidRPr="00586F47" w:rsidRDefault="0022343D" w:rsidP="0022343D">
            <w:pPr>
              <w:adjustRightInd w:val="0"/>
              <w:snapToGrid w:val="0"/>
              <w:jc w:val="both"/>
              <w:rPr>
                <w:rFonts w:ascii="Times New Roman" w:hAnsi="Times New Roman" w:cs="Times New Roman"/>
                <w:color w:val="000000" w:themeColor="text1"/>
                <w:sz w:val="18"/>
                <w:szCs w:val="18"/>
                <w:lang w:val="en-US"/>
              </w:rPr>
            </w:pPr>
            <w:r w:rsidRPr="00586F47">
              <w:rPr>
                <w:rFonts w:ascii="Times New Roman" w:hAnsi="Times New Roman" w:cs="Times New Roman"/>
                <w:color w:val="000000" w:themeColor="text1"/>
                <w:sz w:val="18"/>
                <w:szCs w:val="18"/>
                <w:lang w:val="en-US"/>
              </w:rPr>
              <w:t>AGE</w:t>
            </w:r>
          </w:p>
        </w:tc>
        <w:tc>
          <w:tcPr>
            <w:tcW w:w="7470" w:type="dxa"/>
          </w:tcPr>
          <w:p w14:paraId="7DC1EF59" w14:textId="77777777" w:rsidR="0022343D" w:rsidRPr="00496049" w:rsidRDefault="0022343D" w:rsidP="0022343D">
            <w:pPr>
              <w:adjustRightInd w:val="0"/>
              <w:snapToGrid w:val="0"/>
              <w:jc w:val="both"/>
              <w:rPr>
                <w:rFonts w:ascii="Times New Roman" w:hAnsi="Times New Roman" w:cs="Times New Roman"/>
                <w:color w:val="000000" w:themeColor="text1"/>
                <w:sz w:val="18"/>
                <w:szCs w:val="18"/>
                <w:lang w:val="en-US"/>
              </w:rPr>
            </w:pPr>
            <w:r w:rsidRPr="00496049">
              <w:rPr>
                <w:rFonts w:ascii="Times New Roman" w:hAnsi="Times New Roman" w:cs="Times New Roman"/>
                <w:color w:val="000000" w:themeColor="text1"/>
                <w:sz w:val="18"/>
                <w:szCs w:val="18"/>
                <w:lang w:val="en-US"/>
              </w:rPr>
              <w:t>Average age for board room executives</w:t>
            </w:r>
          </w:p>
          <w:p w14:paraId="1408136F" w14:textId="77777777" w:rsidR="0022343D" w:rsidRPr="00496049" w:rsidRDefault="0022343D" w:rsidP="0022343D">
            <w:pPr>
              <w:adjustRightInd w:val="0"/>
              <w:snapToGrid w:val="0"/>
              <w:jc w:val="both"/>
              <w:rPr>
                <w:rFonts w:ascii="Times New Roman" w:hAnsi="Times New Roman" w:cs="Times New Roman"/>
                <w:color w:val="000000" w:themeColor="text1"/>
                <w:sz w:val="18"/>
                <w:szCs w:val="18"/>
                <w:lang w:val="en-US"/>
              </w:rPr>
            </w:pPr>
          </w:p>
        </w:tc>
      </w:tr>
      <w:tr w:rsidR="0022343D" w:rsidRPr="00496049" w14:paraId="7DB1EB6F" w14:textId="77777777" w:rsidTr="00C85FD2">
        <w:tc>
          <w:tcPr>
            <w:tcW w:w="1525" w:type="dxa"/>
          </w:tcPr>
          <w:p w14:paraId="2DFA48B2" w14:textId="77777777" w:rsidR="0022343D" w:rsidRPr="00586F47" w:rsidRDefault="0022343D" w:rsidP="0022343D">
            <w:pPr>
              <w:adjustRightInd w:val="0"/>
              <w:snapToGrid w:val="0"/>
              <w:jc w:val="both"/>
              <w:rPr>
                <w:rFonts w:ascii="Times New Roman" w:hAnsi="Times New Roman" w:cs="Times New Roman"/>
                <w:color w:val="000000" w:themeColor="text1"/>
                <w:sz w:val="18"/>
                <w:szCs w:val="18"/>
                <w:lang w:val="en-US"/>
              </w:rPr>
            </w:pPr>
            <w:r w:rsidRPr="00586F47">
              <w:rPr>
                <w:rFonts w:ascii="Times New Roman" w:hAnsi="Times New Roman" w:cs="Times New Roman"/>
                <w:color w:val="000000" w:themeColor="text1"/>
                <w:sz w:val="18"/>
                <w:szCs w:val="18"/>
                <w:lang w:val="en-US"/>
              </w:rPr>
              <w:t>T</w:t>
            </w:r>
            <w:r>
              <w:rPr>
                <w:rFonts w:ascii="Times New Roman" w:hAnsi="Times New Roman" w:cs="Times New Roman"/>
                <w:color w:val="000000" w:themeColor="text1"/>
                <w:sz w:val="18"/>
                <w:szCs w:val="18"/>
                <w:lang w:val="en-US"/>
              </w:rPr>
              <w:t>EN</w:t>
            </w:r>
          </w:p>
        </w:tc>
        <w:tc>
          <w:tcPr>
            <w:tcW w:w="7470" w:type="dxa"/>
          </w:tcPr>
          <w:p w14:paraId="75C3A775" w14:textId="77777777" w:rsidR="0022343D" w:rsidRPr="00496049" w:rsidRDefault="0022343D" w:rsidP="0022343D">
            <w:pPr>
              <w:adjustRightInd w:val="0"/>
              <w:snapToGrid w:val="0"/>
              <w:jc w:val="both"/>
              <w:rPr>
                <w:rFonts w:ascii="Times New Roman" w:hAnsi="Times New Roman" w:cs="Times New Roman"/>
                <w:color w:val="000000" w:themeColor="text1"/>
                <w:sz w:val="18"/>
                <w:szCs w:val="18"/>
                <w:lang w:val="en-US"/>
              </w:rPr>
            </w:pPr>
            <w:r w:rsidRPr="00496049">
              <w:rPr>
                <w:rFonts w:ascii="Times New Roman" w:hAnsi="Times New Roman" w:cs="Times New Roman"/>
                <w:color w:val="000000" w:themeColor="text1"/>
                <w:sz w:val="18"/>
                <w:szCs w:val="18"/>
                <w:lang w:val="en-US"/>
              </w:rPr>
              <w:t>Time period for CEOs’/CFOs and other board executives holding their current boardroom roles</w:t>
            </w:r>
          </w:p>
          <w:p w14:paraId="6DFC28B0" w14:textId="77777777" w:rsidR="0022343D" w:rsidRPr="00496049" w:rsidRDefault="0022343D" w:rsidP="0022343D">
            <w:pPr>
              <w:adjustRightInd w:val="0"/>
              <w:snapToGrid w:val="0"/>
              <w:jc w:val="both"/>
              <w:rPr>
                <w:rFonts w:ascii="Times New Roman" w:hAnsi="Times New Roman" w:cs="Times New Roman"/>
                <w:color w:val="000000" w:themeColor="text1"/>
                <w:sz w:val="18"/>
                <w:szCs w:val="18"/>
                <w:lang w:val="en-US"/>
              </w:rPr>
            </w:pPr>
          </w:p>
        </w:tc>
      </w:tr>
      <w:tr w:rsidR="0022343D" w:rsidRPr="00496049" w14:paraId="5EB10E6B" w14:textId="77777777" w:rsidTr="00C85FD2">
        <w:tc>
          <w:tcPr>
            <w:tcW w:w="1525" w:type="dxa"/>
          </w:tcPr>
          <w:p w14:paraId="2DA1F923" w14:textId="77777777" w:rsidR="0022343D" w:rsidRPr="00586F47" w:rsidRDefault="0022343D" w:rsidP="0022343D">
            <w:pPr>
              <w:adjustRightInd w:val="0"/>
              <w:snapToGrid w:val="0"/>
              <w:jc w:val="both"/>
              <w:rPr>
                <w:rFonts w:ascii="Times New Roman" w:hAnsi="Times New Roman" w:cs="Times New Roman"/>
                <w:color w:val="000000" w:themeColor="text1"/>
                <w:sz w:val="18"/>
                <w:szCs w:val="18"/>
                <w:lang w:val="en-US"/>
              </w:rPr>
            </w:pPr>
            <w:r w:rsidRPr="00586F47">
              <w:rPr>
                <w:rFonts w:ascii="Times New Roman" w:hAnsi="Times New Roman" w:cs="Times New Roman"/>
                <w:color w:val="000000" w:themeColor="text1"/>
                <w:sz w:val="18"/>
                <w:szCs w:val="18"/>
                <w:lang w:val="en-US"/>
              </w:rPr>
              <w:t>GDR %</w:t>
            </w:r>
          </w:p>
        </w:tc>
        <w:tc>
          <w:tcPr>
            <w:tcW w:w="7470" w:type="dxa"/>
          </w:tcPr>
          <w:p w14:paraId="39DF7846" w14:textId="77777777" w:rsidR="0022343D" w:rsidRDefault="0022343D" w:rsidP="0022343D">
            <w:pPr>
              <w:adjustRightInd w:val="0"/>
              <w:snapToGrid w:val="0"/>
              <w:jc w:val="both"/>
              <w:rPr>
                <w:rFonts w:ascii="Times New Roman" w:hAnsi="Times New Roman" w:cs="Times New Roman"/>
                <w:color w:val="000000" w:themeColor="text1"/>
                <w:sz w:val="18"/>
                <w:szCs w:val="18"/>
                <w:lang w:val="en-US"/>
              </w:rPr>
            </w:pPr>
            <w:r w:rsidRPr="00496049">
              <w:rPr>
                <w:rFonts w:ascii="Times New Roman" w:hAnsi="Times New Roman" w:cs="Times New Roman"/>
                <w:color w:val="000000" w:themeColor="text1"/>
                <w:sz w:val="18"/>
                <w:szCs w:val="18"/>
                <w:lang w:val="en-US"/>
              </w:rPr>
              <w:t>Percentage of female representation on the board.</w:t>
            </w:r>
          </w:p>
          <w:p w14:paraId="4D15F6FC" w14:textId="77777777" w:rsidR="0022343D" w:rsidRPr="00496049" w:rsidRDefault="0022343D" w:rsidP="0022343D">
            <w:pPr>
              <w:adjustRightInd w:val="0"/>
              <w:snapToGrid w:val="0"/>
              <w:jc w:val="both"/>
              <w:rPr>
                <w:rFonts w:ascii="Times New Roman" w:hAnsi="Times New Roman" w:cs="Times New Roman"/>
                <w:color w:val="000000" w:themeColor="text1"/>
                <w:sz w:val="18"/>
                <w:szCs w:val="18"/>
                <w:lang w:val="en-US"/>
              </w:rPr>
            </w:pPr>
          </w:p>
        </w:tc>
      </w:tr>
    </w:tbl>
    <w:p w14:paraId="6CB85842" w14:textId="37F35F6A" w:rsidR="00364E95" w:rsidRDefault="00364E95" w:rsidP="00364E95">
      <w:pPr>
        <w:pStyle w:val="NoSpacing"/>
        <w:adjustRightInd w:val="0"/>
        <w:snapToGrid w:val="0"/>
        <w:jc w:val="both"/>
        <w:rPr>
          <w:rFonts w:ascii="Times New Roman" w:hAnsi="Times New Roman" w:cs="Times New Roman"/>
          <w:b/>
          <w:sz w:val="20"/>
          <w:szCs w:val="20"/>
        </w:rPr>
      </w:pPr>
    </w:p>
    <w:p w14:paraId="0EA0492A" w14:textId="36239A10" w:rsidR="00CD0CBC" w:rsidRDefault="00CD0CBC" w:rsidP="00364E95">
      <w:pPr>
        <w:pStyle w:val="NoSpacing"/>
        <w:adjustRightInd w:val="0"/>
        <w:snapToGrid w:val="0"/>
        <w:jc w:val="both"/>
        <w:rPr>
          <w:rFonts w:ascii="Times New Roman" w:hAnsi="Times New Roman" w:cs="Times New Roman"/>
          <w:b/>
          <w:sz w:val="20"/>
          <w:szCs w:val="20"/>
        </w:rPr>
      </w:pPr>
    </w:p>
    <w:p w14:paraId="0EDA2E6F" w14:textId="63340AE6" w:rsidR="00CD0CBC" w:rsidRDefault="00CD0CBC" w:rsidP="00364E95">
      <w:pPr>
        <w:pStyle w:val="NoSpacing"/>
        <w:adjustRightInd w:val="0"/>
        <w:snapToGrid w:val="0"/>
        <w:jc w:val="both"/>
        <w:rPr>
          <w:rFonts w:ascii="Times New Roman" w:hAnsi="Times New Roman" w:cs="Times New Roman"/>
          <w:b/>
          <w:sz w:val="20"/>
          <w:szCs w:val="20"/>
        </w:rPr>
      </w:pPr>
    </w:p>
    <w:p w14:paraId="5E930AB2" w14:textId="77777777" w:rsidR="00CD0CBC" w:rsidRDefault="00CD0CBC" w:rsidP="00364E95">
      <w:pPr>
        <w:pStyle w:val="NoSpacing"/>
        <w:adjustRightInd w:val="0"/>
        <w:snapToGrid w:val="0"/>
        <w:jc w:val="both"/>
        <w:rPr>
          <w:rFonts w:ascii="Times New Roman" w:hAnsi="Times New Roman" w:cs="Times New Roman"/>
          <w:b/>
          <w:sz w:val="20"/>
          <w:szCs w:val="20"/>
        </w:rPr>
      </w:pPr>
    </w:p>
    <w:p w14:paraId="771EC267" w14:textId="77777777" w:rsidR="00364E95" w:rsidRDefault="00364E95" w:rsidP="00364E95">
      <w:pPr>
        <w:pStyle w:val="NoSpacing"/>
        <w:spacing w:line="360" w:lineRule="auto"/>
        <w:rPr>
          <w:rFonts w:ascii="Times New Roman" w:hAnsi="Times New Roman" w:cs="Times New Roman"/>
          <w:b/>
          <w:sz w:val="24"/>
          <w:szCs w:val="24"/>
        </w:rPr>
      </w:pPr>
    </w:p>
    <w:p w14:paraId="7214CEF1" w14:textId="77777777" w:rsidR="00364E95" w:rsidRDefault="00364E95" w:rsidP="00364E95">
      <w:pPr>
        <w:pStyle w:val="NoSpacing"/>
        <w:spacing w:line="360" w:lineRule="auto"/>
        <w:rPr>
          <w:rFonts w:ascii="Times New Roman" w:hAnsi="Times New Roman" w:cs="Times New Roman"/>
          <w:b/>
          <w:sz w:val="24"/>
          <w:szCs w:val="24"/>
        </w:rPr>
      </w:pPr>
    </w:p>
    <w:p w14:paraId="2353F88D" w14:textId="1D3A08B2" w:rsidR="00364E95" w:rsidRDefault="00364E95" w:rsidP="00364E95">
      <w:pPr>
        <w:pStyle w:val="NoSpacing"/>
        <w:spacing w:line="360" w:lineRule="auto"/>
        <w:rPr>
          <w:rFonts w:ascii="Times New Roman" w:hAnsi="Times New Roman" w:cs="Times New Roman"/>
          <w:b/>
          <w:sz w:val="24"/>
          <w:szCs w:val="24"/>
        </w:rPr>
      </w:pPr>
    </w:p>
    <w:p w14:paraId="73C73BEE" w14:textId="77777777" w:rsidR="00CF5C8E" w:rsidRDefault="00CF5C8E" w:rsidP="00364E95">
      <w:pPr>
        <w:pStyle w:val="NoSpacing"/>
        <w:spacing w:line="360" w:lineRule="auto"/>
        <w:rPr>
          <w:rFonts w:ascii="Times New Roman" w:hAnsi="Times New Roman" w:cs="Times New Roman"/>
          <w:b/>
          <w:sz w:val="24"/>
          <w:szCs w:val="24"/>
        </w:rPr>
      </w:pPr>
    </w:p>
    <w:p w14:paraId="6772FC95" w14:textId="3C3ED8B2" w:rsidR="00364E95" w:rsidRPr="00D03D0F" w:rsidRDefault="00364E95" w:rsidP="00364E95">
      <w:pPr>
        <w:pStyle w:val="NoSpacing"/>
        <w:adjustRightInd w:val="0"/>
        <w:snapToGrid w:val="0"/>
        <w:rPr>
          <w:rFonts w:ascii="Times New Roman" w:hAnsi="Times New Roman" w:cs="Times New Roman"/>
          <w:b/>
          <w:sz w:val="24"/>
          <w:szCs w:val="24"/>
        </w:rPr>
      </w:pPr>
      <w:r w:rsidRPr="00D03D0F">
        <w:rPr>
          <w:rFonts w:ascii="Times New Roman" w:hAnsi="Times New Roman" w:cs="Times New Roman"/>
          <w:b/>
          <w:sz w:val="24"/>
          <w:szCs w:val="24"/>
        </w:rPr>
        <w:t xml:space="preserve">Table </w:t>
      </w:r>
      <w:r w:rsidR="00CD0CBC">
        <w:rPr>
          <w:rFonts w:ascii="Times New Roman" w:hAnsi="Times New Roman" w:cs="Times New Roman"/>
          <w:b/>
          <w:sz w:val="24"/>
          <w:szCs w:val="24"/>
        </w:rPr>
        <w:t>1B</w:t>
      </w:r>
      <w:r w:rsidRPr="00D03D0F">
        <w:rPr>
          <w:rFonts w:ascii="Times New Roman" w:hAnsi="Times New Roman" w:cs="Times New Roman"/>
          <w:b/>
          <w:sz w:val="24"/>
          <w:szCs w:val="24"/>
        </w:rPr>
        <w:t>: FTSE 100 Companies by Sector Classifications 2007-2012</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364E95" w:rsidRPr="008374FA" w14:paraId="0775EC11" w14:textId="77777777" w:rsidTr="00AA2A6E">
        <w:tc>
          <w:tcPr>
            <w:tcW w:w="3005" w:type="dxa"/>
            <w:tcBorders>
              <w:top w:val="single" w:sz="4" w:space="0" w:color="auto"/>
              <w:bottom w:val="single" w:sz="4" w:space="0" w:color="auto"/>
            </w:tcBorders>
          </w:tcPr>
          <w:p w14:paraId="4150C548"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GIC Industrial Classification</w:t>
            </w:r>
          </w:p>
        </w:tc>
        <w:tc>
          <w:tcPr>
            <w:tcW w:w="3005" w:type="dxa"/>
            <w:tcBorders>
              <w:top w:val="single" w:sz="4" w:space="0" w:color="auto"/>
              <w:bottom w:val="single" w:sz="4" w:space="0" w:color="auto"/>
            </w:tcBorders>
          </w:tcPr>
          <w:p w14:paraId="52AD3D3D" w14:textId="77777777" w:rsidR="00364E95" w:rsidRPr="008374FA" w:rsidRDefault="00364E95" w:rsidP="00AA2A6E">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Number of firms in the sample</w:t>
            </w:r>
          </w:p>
        </w:tc>
        <w:tc>
          <w:tcPr>
            <w:tcW w:w="3006" w:type="dxa"/>
            <w:tcBorders>
              <w:top w:val="single" w:sz="4" w:space="0" w:color="auto"/>
              <w:bottom w:val="single" w:sz="4" w:space="0" w:color="auto"/>
            </w:tcBorders>
          </w:tcPr>
          <w:p w14:paraId="5B131E15"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Observed firm years</w:t>
            </w:r>
          </w:p>
        </w:tc>
      </w:tr>
      <w:tr w:rsidR="00364E95" w:rsidRPr="008374FA" w14:paraId="1931F624" w14:textId="77777777" w:rsidTr="00AA2A6E">
        <w:tc>
          <w:tcPr>
            <w:tcW w:w="3005" w:type="dxa"/>
            <w:tcBorders>
              <w:top w:val="single" w:sz="4" w:space="0" w:color="auto"/>
            </w:tcBorders>
          </w:tcPr>
          <w:p w14:paraId="51EDF2E2"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Basic Materials</w:t>
            </w:r>
          </w:p>
        </w:tc>
        <w:tc>
          <w:tcPr>
            <w:tcW w:w="3005" w:type="dxa"/>
            <w:tcBorders>
              <w:top w:val="single" w:sz="4" w:space="0" w:color="auto"/>
            </w:tcBorders>
          </w:tcPr>
          <w:p w14:paraId="308BB679"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11</w:t>
            </w:r>
          </w:p>
        </w:tc>
        <w:tc>
          <w:tcPr>
            <w:tcW w:w="3006" w:type="dxa"/>
            <w:tcBorders>
              <w:top w:val="single" w:sz="4" w:space="0" w:color="auto"/>
            </w:tcBorders>
          </w:tcPr>
          <w:p w14:paraId="7AE408C9"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65</w:t>
            </w:r>
          </w:p>
        </w:tc>
      </w:tr>
      <w:tr w:rsidR="00364E95" w:rsidRPr="008374FA" w14:paraId="4AC0A34E" w14:textId="77777777" w:rsidTr="00AA2A6E">
        <w:tc>
          <w:tcPr>
            <w:tcW w:w="3005" w:type="dxa"/>
          </w:tcPr>
          <w:p w14:paraId="2CBC84F1"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Consumer Goods</w:t>
            </w:r>
          </w:p>
        </w:tc>
        <w:tc>
          <w:tcPr>
            <w:tcW w:w="3005" w:type="dxa"/>
          </w:tcPr>
          <w:p w14:paraId="5744DE6D"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9</w:t>
            </w:r>
          </w:p>
        </w:tc>
        <w:tc>
          <w:tcPr>
            <w:tcW w:w="3006" w:type="dxa"/>
          </w:tcPr>
          <w:p w14:paraId="0815E361"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54</w:t>
            </w:r>
          </w:p>
        </w:tc>
      </w:tr>
      <w:tr w:rsidR="00364E95" w:rsidRPr="008374FA" w14:paraId="7EBD6A49" w14:textId="77777777" w:rsidTr="00AA2A6E">
        <w:tc>
          <w:tcPr>
            <w:tcW w:w="3005" w:type="dxa"/>
          </w:tcPr>
          <w:p w14:paraId="5B45C179"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Consumer Services</w:t>
            </w:r>
          </w:p>
        </w:tc>
        <w:tc>
          <w:tcPr>
            <w:tcW w:w="3005" w:type="dxa"/>
          </w:tcPr>
          <w:p w14:paraId="1E1C2C81"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16</w:t>
            </w:r>
          </w:p>
        </w:tc>
        <w:tc>
          <w:tcPr>
            <w:tcW w:w="3006" w:type="dxa"/>
          </w:tcPr>
          <w:p w14:paraId="39E419C5"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94</w:t>
            </w:r>
          </w:p>
        </w:tc>
      </w:tr>
      <w:tr w:rsidR="00364E95" w:rsidRPr="008374FA" w14:paraId="434B06D5" w14:textId="77777777" w:rsidTr="00AA2A6E">
        <w:tc>
          <w:tcPr>
            <w:tcW w:w="3005" w:type="dxa"/>
          </w:tcPr>
          <w:p w14:paraId="43A37CEA"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 xml:space="preserve">Financial </w:t>
            </w:r>
          </w:p>
        </w:tc>
        <w:tc>
          <w:tcPr>
            <w:tcW w:w="3005" w:type="dxa"/>
          </w:tcPr>
          <w:p w14:paraId="71FBE35D"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25</w:t>
            </w:r>
          </w:p>
        </w:tc>
        <w:tc>
          <w:tcPr>
            <w:tcW w:w="3006" w:type="dxa"/>
          </w:tcPr>
          <w:p w14:paraId="674E5620"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132</w:t>
            </w:r>
          </w:p>
        </w:tc>
      </w:tr>
      <w:tr w:rsidR="00364E95" w:rsidRPr="008374FA" w14:paraId="3CE9FA04" w14:textId="77777777" w:rsidTr="00AA2A6E">
        <w:tc>
          <w:tcPr>
            <w:tcW w:w="3005" w:type="dxa"/>
          </w:tcPr>
          <w:p w14:paraId="3051E0DD"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Health Care</w:t>
            </w:r>
          </w:p>
        </w:tc>
        <w:tc>
          <w:tcPr>
            <w:tcW w:w="3005" w:type="dxa"/>
          </w:tcPr>
          <w:p w14:paraId="502C3CB3"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4</w:t>
            </w:r>
          </w:p>
        </w:tc>
        <w:tc>
          <w:tcPr>
            <w:tcW w:w="3006" w:type="dxa"/>
          </w:tcPr>
          <w:p w14:paraId="4C2184A1"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24</w:t>
            </w:r>
          </w:p>
        </w:tc>
      </w:tr>
      <w:tr w:rsidR="00364E95" w:rsidRPr="008374FA" w14:paraId="58B9CAB5" w14:textId="77777777" w:rsidTr="00AA2A6E">
        <w:tc>
          <w:tcPr>
            <w:tcW w:w="3005" w:type="dxa"/>
          </w:tcPr>
          <w:p w14:paraId="77294A02"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Industrial Goods &amp; Services</w:t>
            </w:r>
          </w:p>
        </w:tc>
        <w:tc>
          <w:tcPr>
            <w:tcW w:w="3005" w:type="dxa"/>
          </w:tcPr>
          <w:p w14:paraId="060937C6"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11</w:t>
            </w:r>
          </w:p>
        </w:tc>
        <w:tc>
          <w:tcPr>
            <w:tcW w:w="3006" w:type="dxa"/>
          </w:tcPr>
          <w:p w14:paraId="2AAD62F3"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63</w:t>
            </w:r>
          </w:p>
        </w:tc>
      </w:tr>
      <w:tr w:rsidR="00364E95" w:rsidRPr="008374FA" w14:paraId="4676D2B2" w14:textId="77777777" w:rsidTr="00AA2A6E">
        <w:tc>
          <w:tcPr>
            <w:tcW w:w="3005" w:type="dxa"/>
          </w:tcPr>
          <w:p w14:paraId="6AA27810"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Oil &amp; Gas</w:t>
            </w:r>
          </w:p>
        </w:tc>
        <w:tc>
          <w:tcPr>
            <w:tcW w:w="3005" w:type="dxa"/>
          </w:tcPr>
          <w:p w14:paraId="75E4F6BE"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8</w:t>
            </w:r>
          </w:p>
        </w:tc>
        <w:tc>
          <w:tcPr>
            <w:tcW w:w="3006" w:type="dxa"/>
          </w:tcPr>
          <w:p w14:paraId="6BDADDAB"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49</w:t>
            </w:r>
          </w:p>
        </w:tc>
      </w:tr>
      <w:tr w:rsidR="00364E95" w:rsidRPr="008374FA" w14:paraId="4CB76F3A" w14:textId="77777777" w:rsidTr="00AA2A6E">
        <w:tc>
          <w:tcPr>
            <w:tcW w:w="3005" w:type="dxa"/>
          </w:tcPr>
          <w:p w14:paraId="577DCDF4"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Technology</w:t>
            </w:r>
          </w:p>
        </w:tc>
        <w:tc>
          <w:tcPr>
            <w:tcW w:w="3005" w:type="dxa"/>
          </w:tcPr>
          <w:p w14:paraId="1052FAEF"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2</w:t>
            </w:r>
          </w:p>
        </w:tc>
        <w:tc>
          <w:tcPr>
            <w:tcW w:w="3006" w:type="dxa"/>
          </w:tcPr>
          <w:p w14:paraId="5A716EE0"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4</w:t>
            </w:r>
          </w:p>
        </w:tc>
      </w:tr>
      <w:tr w:rsidR="00364E95" w:rsidRPr="008374FA" w14:paraId="4C051F9A" w14:textId="77777777" w:rsidTr="00AA2A6E">
        <w:tc>
          <w:tcPr>
            <w:tcW w:w="3005" w:type="dxa"/>
          </w:tcPr>
          <w:p w14:paraId="3432D478"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Telecommunication</w:t>
            </w:r>
          </w:p>
        </w:tc>
        <w:tc>
          <w:tcPr>
            <w:tcW w:w="3005" w:type="dxa"/>
          </w:tcPr>
          <w:p w14:paraId="1D0DD59D"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4</w:t>
            </w:r>
          </w:p>
        </w:tc>
        <w:tc>
          <w:tcPr>
            <w:tcW w:w="3006" w:type="dxa"/>
          </w:tcPr>
          <w:p w14:paraId="36C8AF98"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19</w:t>
            </w:r>
          </w:p>
        </w:tc>
      </w:tr>
      <w:tr w:rsidR="00364E95" w14:paraId="28602C36" w14:textId="77777777" w:rsidTr="00AA2A6E">
        <w:tc>
          <w:tcPr>
            <w:tcW w:w="3005" w:type="dxa"/>
          </w:tcPr>
          <w:p w14:paraId="7B9A386C"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Utilities</w:t>
            </w:r>
          </w:p>
        </w:tc>
        <w:tc>
          <w:tcPr>
            <w:tcW w:w="3005" w:type="dxa"/>
          </w:tcPr>
          <w:p w14:paraId="66739380"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6</w:t>
            </w:r>
          </w:p>
        </w:tc>
        <w:tc>
          <w:tcPr>
            <w:tcW w:w="3006" w:type="dxa"/>
          </w:tcPr>
          <w:p w14:paraId="7AEE7089"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36</w:t>
            </w:r>
          </w:p>
        </w:tc>
      </w:tr>
      <w:tr w:rsidR="00364E95" w14:paraId="16FBBB76" w14:textId="77777777" w:rsidTr="00AA2A6E">
        <w:tc>
          <w:tcPr>
            <w:tcW w:w="3005" w:type="dxa"/>
          </w:tcPr>
          <w:p w14:paraId="0C8CD196"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Total</w:t>
            </w:r>
          </w:p>
        </w:tc>
        <w:tc>
          <w:tcPr>
            <w:tcW w:w="3005" w:type="dxa"/>
          </w:tcPr>
          <w:p w14:paraId="1151234A"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96</w:t>
            </w:r>
          </w:p>
        </w:tc>
        <w:tc>
          <w:tcPr>
            <w:tcW w:w="3006" w:type="dxa"/>
          </w:tcPr>
          <w:p w14:paraId="70C37F68" w14:textId="77777777" w:rsidR="00364E95" w:rsidRPr="008374FA" w:rsidRDefault="00364E95" w:rsidP="00AA2A6E">
            <w:pPr>
              <w:pStyle w:val="NoSpacing"/>
              <w:spacing w:line="360" w:lineRule="auto"/>
              <w:rPr>
                <w:rFonts w:ascii="Times New Roman" w:hAnsi="Times New Roman" w:cs="Times New Roman"/>
                <w:sz w:val="20"/>
                <w:szCs w:val="20"/>
              </w:rPr>
            </w:pPr>
            <w:r w:rsidRPr="008374FA">
              <w:rPr>
                <w:rFonts w:ascii="Times New Roman" w:hAnsi="Times New Roman" w:cs="Times New Roman"/>
                <w:sz w:val="20"/>
                <w:szCs w:val="20"/>
              </w:rPr>
              <w:t>575</w:t>
            </w:r>
          </w:p>
        </w:tc>
      </w:tr>
    </w:tbl>
    <w:p w14:paraId="1976C50A" w14:textId="0A7CA1E5" w:rsidR="00364E95" w:rsidRDefault="00364E95" w:rsidP="007C19C4">
      <w:pPr>
        <w:spacing w:line="360" w:lineRule="auto"/>
        <w:jc w:val="both"/>
        <w:rPr>
          <w:rFonts w:asciiTheme="majorBidi" w:hAnsiTheme="majorBidi" w:cstheme="majorBidi"/>
          <w:color w:val="000000" w:themeColor="text1"/>
          <w:sz w:val="24"/>
          <w:szCs w:val="24"/>
        </w:rPr>
      </w:pPr>
    </w:p>
    <w:p w14:paraId="6A5B82B7" w14:textId="24608CC8" w:rsidR="00D42CF3" w:rsidRPr="00CF5C8E" w:rsidRDefault="003D4BF9" w:rsidP="003D4BF9">
      <w:pPr>
        <w:rPr>
          <w:rFonts w:ascii="Times New Roman" w:hAnsi="Times New Roman"/>
          <w:b/>
          <w:bCs/>
          <w:sz w:val="24"/>
          <w:szCs w:val="24"/>
        </w:rPr>
      </w:pPr>
      <w:r w:rsidRPr="00CF5C8E">
        <w:rPr>
          <w:rFonts w:ascii="Times New Roman" w:hAnsi="Times New Roman"/>
          <w:b/>
          <w:bCs/>
          <w:sz w:val="24"/>
          <w:szCs w:val="24"/>
        </w:rPr>
        <w:t xml:space="preserve">Table </w:t>
      </w:r>
      <w:r w:rsidR="00CD0CBC" w:rsidRPr="00CF5C8E">
        <w:rPr>
          <w:rFonts w:ascii="Times New Roman" w:hAnsi="Times New Roman"/>
          <w:b/>
          <w:bCs/>
          <w:sz w:val="24"/>
          <w:szCs w:val="24"/>
        </w:rPr>
        <w:t>2</w:t>
      </w:r>
      <w:r w:rsidRPr="00CF5C8E">
        <w:rPr>
          <w:rFonts w:ascii="Times New Roman" w:hAnsi="Times New Roman"/>
          <w:b/>
          <w:bCs/>
          <w:sz w:val="24"/>
          <w:szCs w:val="24"/>
        </w:rPr>
        <w:t>: Summary statistics</w:t>
      </w:r>
    </w:p>
    <w:tbl>
      <w:tblPr>
        <w:tblW w:w="9692" w:type="dxa"/>
        <w:tblLayout w:type="fixed"/>
        <w:tblLook w:val="0000" w:firstRow="0" w:lastRow="0" w:firstColumn="0" w:lastColumn="0" w:noHBand="0" w:noVBand="0"/>
      </w:tblPr>
      <w:tblGrid>
        <w:gridCol w:w="907"/>
        <w:gridCol w:w="1416"/>
        <w:gridCol w:w="964"/>
        <w:gridCol w:w="1020"/>
        <w:gridCol w:w="1020"/>
        <w:gridCol w:w="1134"/>
        <w:gridCol w:w="1077"/>
        <w:gridCol w:w="1020"/>
        <w:gridCol w:w="1134"/>
      </w:tblGrid>
      <w:tr w:rsidR="002C4D9C" w:rsidRPr="005D0BC8" w14:paraId="295883F7" w14:textId="77777777" w:rsidTr="00AA2A6E">
        <w:tc>
          <w:tcPr>
            <w:tcW w:w="907" w:type="dxa"/>
            <w:tcBorders>
              <w:top w:val="single" w:sz="4" w:space="0" w:color="auto"/>
              <w:left w:val="nil"/>
              <w:bottom w:val="nil"/>
              <w:right w:val="nil"/>
            </w:tcBorders>
          </w:tcPr>
          <w:p w14:paraId="21316668" w14:textId="2EF201F2" w:rsidR="00D42CF3" w:rsidRPr="005D0BC8" w:rsidRDefault="00D42CF3" w:rsidP="00AA2A6E">
            <w:pPr>
              <w:widowControl w:val="0"/>
              <w:autoSpaceDE w:val="0"/>
              <w:autoSpaceDN w:val="0"/>
              <w:adjustRightInd w:val="0"/>
              <w:spacing w:after="0" w:line="240" w:lineRule="auto"/>
              <w:rPr>
                <w:rFonts w:ascii="Times New Roman" w:hAnsi="Times New Roman" w:cs="Times New Roman"/>
                <w:sz w:val="20"/>
                <w:szCs w:val="20"/>
                <w:lang w:val="en-US"/>
              </w:rPr>
            </w:pPr>
          </w:p>
        </w:tc>
        <w:tc>
          <w:tcPr>
            <w:tcW w:w="1416" w:type="dxa"/>
            <w:tcBorders>
              <w:top w:val="single" w:sz="4" w:space="0" w:color="auto"/>
              <w:left w:val="nil"/>
              <w:bottom w:val="nil"/>
              <w:right w:val="nil"/>
            </w:tcBorders>
          </w:tcPr>
          <w:p w14:paraId="7F326AE2"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w:t>
            </w:r>
          </w:p>
        </w:tc>
        <w:tc>
          <w:tcPr>
            <w:tcW w:w="964" w:type="dxa"/>
            <w:tcBorders>
              <w:top w:val="single" w:sz="4" w:space="0" w:color="auto"/>
              <w:left w:val="nil"/>
              <w:bottom w:val="nil"/>
              <w:right w:val="nil"/>
            </w:tcBorders>
          </w:tcPr>
          <w:p w14:paraId="4C3B6EC4"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20" w:type="dxa"/>
            <w:tcBorders>
              <w:top w:val="single" w:sz="4" w:space="0" w:color="auto"/>
              <w:left w:val="nil"/>
              <w:bottom w:val="nil"/>
              <w:right w:val="nil"/>
            </w:tcBorders>
          </w:tcPr>
          <w:p w14:paraId="1F15290D"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20" w:type="dxa"/>
            <w:tcBorders>
              <w:top w:val="single" w:sz="4" w:space="0" w:color="auto"/>
              <w:left w:val="nil"/>
              <w:bottom w:val="nil"/>
              <w:right w:val="nil"/>
            </w:tcBorders>
          </w:tcPr>
          <w:p w14:paraId="09D49505"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4" w:space="0" w:color="auto"/>
              <w:left w:val="nil"/>
              <w:bottom w:val="nil"/>
              <w:right w:val="nil"/>
            </w:tcBorders>
          </w:tcPr>
          <w:p w14:paraId="3B658442"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77" w:type="dxa"/>
            <w:tcBorders>
              <w:top w:val="single" w:sz="4" w:space="0" w:color="auto"/>
              <w:left w:val="nil"/>
              <w:bottom w:val="nil"/>
              <w:right w:val="nil"/>
            </w:tcBorders>
          </w:tcPr>
          <w:p w14:paraId="408FAE98"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20" w:type="dxa"/>
            <w:tcBorders>
              <w:top w:val="single" w:sz="4" w:space="0" w:color="auto"/>
              <w:left w:val="nil"/>
              <w:bottom w:val="nil"/>
              <w:right w:val="nil"/>
            </w:tcBorders>
          </w:tcPr>
          <w:p w14:paraId="6329D628"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4" w:space="0" w:color="auto"/>
              <w:left w:val="nil"/>
              <w:bottom w:val="nil"/>
              <w:right w:val="nil"/>
            </w:tcBorders>
          </w:tcPr>
          <w:p w14:paraId="5709ADAC"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2C4D9C" w:rsidRPr="005D0BC8" w14:paraId="2869F8F8" w14:textId="77777777" w:rsidTr="00AA2A6E">
        <w:tc>
          <w:tcPr>
            <w:tcW w:w="907" w:type="dxa"/>
            <w:tcBorders>
              <w:top w:val="nil"/>
              <w:left w:val="nil"/>
              <w:bottom w:val="nil"/>
              <w:right w:val="nil"/>
            </w:tcBorders>
          </w:tcPr>
          <w:p w14:paraId="43CB6476" w14:textId="77777777"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p>
        </w:tc>
        <w:tc>
          <w:tcPr>
            <w:tcW w:w="1416" w:type="dxa"/>
            <w:tcBorders>
              <w:top w:val="nil"/>
              <w:left w:val="nil"/>
              <w:bottom w:val="nil"/>
              <w:right w:val="nil"/>
            </w:tcBorders>
          </w:tcPr>
          <w:p w14:paraId="6CD9D283"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Mean</w:t>
            </w:r>
          </w:p>
        </w:tc>
        <w:tc>
          <w:tcPr>
            <w:tcW w:w="964" w:type="dxa"/>
            <w:tcBorders>
              <w:top w:val="nil"/>
              <w:left w:val="nil"/>
              <w:bottom w:val="nil"/>
              <w:right w:val="nil"/>
            </w:tcBorders>
          </w:tcPr>
          <w:p w14:paraId="7B6DEF03"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St. Dev.</w:t>
            </w:r>
          </w:p>
        </w:tc>
        <w:tc>
          <w:tcPr>
            <w:tcW w:w="1020" w:type="dxa"/>
            <w:tcBorders>
              <w:top w:val="nil"/>
              <w:left w:val="nil"/>
              <w:bottom w:val="nil"/>
              <w:right w:val="nil"/>
            </w:tcBorders>
          </w:tcPr>
          <w:p w14:paraId="43773702"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Min</w:t>
            </w:r>
          </w:p>
        </w:tc>
        <w:tc>
          <w:tcPr>
            <w:tcW w:w="1020" w:type="dxa"/>
            <w:tcBorders>
              <w:top w:val="nil"/>
              <w:left w:val="nil"/>
              <w:bottom w:val="nil"/>
              <w:right w:val="nil"/>
            </w:tcBorders>
          </w:tcPr>
          <w:p w14:paraId="4F861760"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25%</w:t>
            </w:r>
          </w:p>
        </w:tc>
        <w:tc>
          <w:tcPr>
            <w:tcW w:w="1134" w:type="dxa"/>
            <w:tcBorders>
              <w:top w:val="nil"/>
              <w:left w:val="nil"/>
              <w:bottom w:val="nil"/>
              <w:right w:val="nil"/>
            </w:tcBorders>
          </w:tcPr>
          <w:p w14:paraId="663B9AEF"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50%</w:t>
            </w:r>
          </w:p>
        </w:tc>
        <w:tc>
          <w:tcPr>
            <w:tcW w:w="1077" w:type="dxa"/>
            <w:tcBorders>
              <w:top w:val="nil"/>
              <w:left w:val="nil"/>
              <w:bottom w:val="nil"/>
              <w:right w:val="nil"/>
            </w:tcBorders>
          </w:tcPr>
          <w:p w14:paraId="17B3B398"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75%</w:t>
            </w:r>
          </w:p>
        </w:tc>
        <w:tc>
          <w:tcPr>
            <w:tcW w:w="1020" w:type="dxa"/>
            <w:tcBorders>
              <w:top w:val="nil"/>
              <w:left w:val="nil"/>
              <w:bottom w:val="nil"/>
              <w:right w:val="nil"/>
            </w:tcBorders>
          </w:tcPr>
          <w:p w14:paraId="63FD8FDB"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95%</w:t>
            </w:r>
          </w:p>
        </w:tc>
        <w:tc>
          <w:tcPr>
            <w:tcW w:w="1134" w:type="dxa"/>
            <w:tcBorders>
              <w:top w:val="nil"/>
              <w:left w:val="nil"/>
              <w:bottom w:val="nil"/>
              <w:right w:val="nil"/>
            </w:tcBorders>
          </w:tcPr>
          <w:p w14:paraId="1184A2E5"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N</w:t>
            </w:r>
          </w:p>
        </w:tc>
      </w:tr>
      <w:tr w:rsidR="002C4D9C" w:rsidRPr="005D0BC8" w14:paraId="11C604F2" w14:textId="77777777" w:rsidTr="00AA2A6E">
        <w:tc>
          <w:tcPr>
            <w:tcW w:w="907" w:type="dxa"/>
            <w:tcBorders>
              <w:top w:val="single" w:sz="4" w:space="0" w:color="auto"/>
              <w:left w:val="nil"/>
              <w:bottom w:val="nil"/>
              <w:right w:val="nil"/>
            </w:tcBorders>
          </w:tcPr>
          <w:p w14:paraId="04810A67" w14:textId="77777777"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ROA</w:t>
            </w:r>
          </w:p>
        </w:tc>
        <w:tc>
          <w:tcPr>
            <w:tcW w:w="1416" w:type="dxa"/>
            <w:tcBorders>
              <w:top w:val="single" w:sz="4" w:space="0" w:color="auto"/>
              <w:left w:val="nil"/>
              <w:bottom w:val="nil"/>
              <w:right w:val="nil"/>
            </w:tcBorders>
          </w:tcPr>
          <w:p w14:paraId="6578CFC2"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6.75</w:t>
            </w:r>
          </w:p>
        </w:tc>
        <w:tc>
          <w:tcPr>
            <w:tcW w:w="964" w:type="dxa"/>
            <w:tcBorders>
              <w:top w:val="single" w:sz="4" w:space="0" w:color="auto"/>
              <w:left w:val="nil"/>
              <w:bottom w:val="nil"/>
              <w:right w:val="nil"/>
            </w:tcBorders>
          </w:tcPr>
          <w:p w14:paraId="66C7241C"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8.56</w:t>
            </w:r>
          </w:p>
        </w:tc>
        <w:tc>
          <w:tcPr>
            <w:tcW w:w="1020" w:type="dxa"/>
            <w:tcBorders>
              <w:top w:val="single" w:sz="4" w:space="0" w:color="auto"/>
              <w:left w:val="nil"/>
              <w:bottom w:val="nil"/>
              <w:right w:val="nil"/>
            </w:tcBorders>
          </w:tcPr>
          <w:p w14:paraId="00C12FD3"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-56.98</w:t>
            </w:r>
          </w:p>
        </w:tc>
        <w:tc>
          <w:tcPr>
            <w:tcW w:w="1020" w:type="dxa"/>
            <w:tcBorders>
              <w:top w:val="single" w:sz="4" w:space="0" w:color="auto"/>
              <w:left w:val="nil"/>
              <w:bottom w:val="nil"/>
              <w:right w:val="nil"/>
            </w:tcBorders>
          </w:tcPr>
          <w:p w14:paraId="0E54697A"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2.17</w:t>
            </w:r>
          </w:p>
        </w:tc>
        <w:tc>
          <w:tcPr>
            <w:tcW w:w="1134" w:type="dxa"/>
            <w:tcBorders>
              <w:top w:val="single" w:sz="4" w:space="0" w:color="auto"/>
              <w:left w:val="nil"/>
              <w:bottom w:val="nil"/>
              <w:right w:val="nil"/>
            </w:tcBorders>
          </w:tcPr>
          <w:p w14:paraId="575F2D29"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5.83</w:t>
            </w:r>
          </w:p>
        </w:tc>
        <w:tc>
          <w:tcPr>
            <w:tcW w:w="1077" w:type="dxa"/>
            <w:tcBorders>
              <w:top w:val="single" w:sz="4" w:space="0" w:color="auto"/>
              <w:left w:val="nil"/>
              <w:bottom w:val="nil"/>
              <w:right w:val="nil"/>
            </w:tcBorders>
          </w:tcPr>
          <w:p w14:paraId="795459F1"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10.24</w:t>
            </w:r>
          </w:p>
        </w:tc>
        <w:tc>
          <w:tcPr>
            <w:tcW w:w="1020" w:type="dxa"/>
            <w:tcBorders>
              <w:top w:val="single" w:sz="4" w:space="0" w:color="auto"/>
              <w:left w:val="nil"/>
              <w:bottom w:val="nil"/>
              <w:right w:val="nil"/>
            </w:tcBorders>
          </w:tcPr>
          <w:p w14:paraId="340B6531"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18.44</w:t>
            </w:r>
          </w:p>
        </w:tc>
        <w:tc>
          <w:tcPr>
            <w:tcW w:w="1134" w:type="dxa"/>
            <w:tcBorders>
              <w:top w:val="single" w:sz="4" w:space="0" w:color="auto"/>
              <w:left w:val="nil"/>
              <w:bottom w:val="nil"/>
              <w:right w:val="nil"/>
            </w:tcBorders>
          </w:tcPr>
          <w:p w14:paraId="3435DF58"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r>
      <w:tr w:rsidR="002C4D9C" w:rsidRPr="005D0BC8" w14:paraId="1325F0FD" w14:textId="77777777" w:rsidTr="00AA2A6E">
        <w:tc>
          <w:tcPr>
            <w:tcW w:w="907" w:type="dxa"/>
            <w:tcBorders>
              <w:top w:val="nil"/>
              <w:left w:val="nil"/>
              <w:bottom w:val="nil"/>
              <w:right w:val="nil"/>
            </w:tcBorders>
          </w:tcPr>
          <w:p w14:paraId="74B86073" w14:textId="77777777"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TQ</w:t>
            </w:r>
          </w:p>
        </w:tc>
        <w:tc>
          <w:tcPr>
            <w:tcW w:w="1416" w:type="dxa"/>
            <w:tcBorders>
              <w:top w:val="nil"/>
              <w:left w:val="nil"/>
              <w:bottom w:val="nil"/>
              <w:right w:val="nil"/>
            </w:tcBorders>
          </w:tcPr>
          <w:p w14:paraId="6058FFE1"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1.77</w:t>
            </w:r>
          </w:p>
        </w:tc>
        <w:tc>
          <w:tcPr>
            <w:tcW w:w="964" w:type="dxa"/>
            <w:tcBorders>
              <w:top w:val="nil"/>
              <w:left w:val="nil"/>
              <w:bottom w:val="nil"/>
              <w:right w:val="nil"/>
            </w:tcBorders>
          </w:tcPr>
          <w:p w14:paraId="515D4E5A"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1.11</w:t>
            </w:r>
          </w:p>
        </w:tc>
        <w:tc>
          <w:tcPr>
            <w:tcW w:w="1020" w:type="dxa"/>
            <w:tcBorders>
              <w:top w:val="nil"/>
              <w:left w:val="nil"/>
              <w:bottom w:val="nil"/>
              <w:right w:val="nil"/>
            </w:tcBorders>
          </w:tcPr>
          <w:p w14:paraId="0393B6F4"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0.73</w:t>
            </w:r>
          </w:p>
        </w:tc>
        <w:tc>
          <w:tcPr>
            <w:tcW w:w="1020" w:type="dxa"/>
            <w:tcBorders>
              <w:top w:val="nil"/>
              <w:left w:val="nil"/>
              <w:bottom w:val="nil"/>
              <w:right w:val="nil"/>
            </w:tcBorders>
          </w:tcPr>
          <w:p w14:paraId="54DE6377"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1.06</w:t>
            </w:r>
          </w:p>
        </w:tc>
        <w:tc>
          <w:tcPr>
            <w:tcW w:w="1134" w:type="dxa"/>
            <w:tcBorders>
              <w:top w:val="nil"/>
              <w:left w:val="nil"/>
              <w:bottom w:val="nil"/>
              <w:right w:val="nil"/>
            </w:tcBorders>
          </w:tcPr>
          <w:p w14:paraId="729AA83D"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1.40</w:t>
            </w:r>
          </w:p>
        </w:tc>
        <w:tc>
          <w:tcPr>
            <w:tcW w:w="1077" w:type="dxa"/>
            <w:tcBorders>
              <w:top w:val="nil"/>
              <w:left w:val="nil"/>
              <w:bottom w:val="nil"/>
              <w:right w:val="nil"/>
            </w:tcBorders>
          </w:tcPr>
          <w:p w14:paraId="32352E76"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2.09</w:t>
            </w:r>
          </w:p>
        </w:tc>
        <w:tc>
          <w:tcPr>
            <w:tcW w:w="1020" w:type="dxa"/>
            <w:tcBorders>
              <w:top w:val="nil"/>
              <w:left w:val="nil"/>
              <w:bottom w:val="nil"/>
              <w:right w:val="nil"/>
            </w:tcBorders>
          </w:tcPr>
          <w:p w14:paraId="3D4439E9"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3.66</w:t>
            </w:r>
          </w:p>
        </w:tc>
        <w:tc>
          <w:tcPr>
            <w:tcW w:w="1134" w:type="dxa"/>
            <w:tcBorders>
              <w:top w:val="nil"/>
              <w:left w:val="nil"/>
              <w:bottom w:val="nil"/>
              <w:right w:val="nil"/>
            </w:tcBorders>
          </w:tcPr>
          <w:p w14:paraId="7D6E7FB3"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r>
      <w:tr w:rsidR="002C4D9C" w:rsidRPr="005D0BC8" w14:paraId="7A0F29F8" w14:textId="77777777" w:rsidTr="00AA2A6E">
        <w:tc>
          <w:tcPr>
            <w:tcW w:w="907" w:type="dxa"/>
            <w:tcBorders>
              <w:top w:val="nil"/>
              <w:left w:val="nil"/>
              <w:bottom w:val="nil"/>
              <w:right w:val="nil"/>
            </w:tcBorders>
          </w:tcPr>
          <w:p w14:paraId="319AD03C" w14:textId="77777777"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TVP</w:t>
            </w:r>
          </w:p>
        </w:tc>
        <w:tc>
          <w:tcPr>
            <w:tcW w:w="1416" w:type="dxa"/>
            <w:tcBorders>
              <w:top w:val="nil"/>
              <w:left w:val="nil"/>
              <w:bottom w:val="nil"/>
              <w:right w:val="nil"/>
            </w:tcBorders>
          </w:tcPr>
          <w:p w14:paraId="1B335BBA"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16.94</w:t>
            </w:r>
          </w:p>
        </w:tc>
        <w:tc>
          <w:tcPr>
            <w:tcW w:w="964" w:type="dxa"/>
            <w:tcBorders>
              <w:top w:val="nil"/>
              <w:left w:val="nil"/>
              <w:bottom w:val="nil"/>
              <w:right w:val="nil"/>
            </w:tcBorders>
          </w:tcPr>
          <w:p w14:paraId="1C529E74"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1.31</w:t>
            </w:r>
          </w:p>
        </w:tc>
        <w:tc>
          <w:tcPr>
            <w:tcW w:w="1020" w:type="dxa"/>
            <w:tcBorders>
              <w:top w:val="nil"/>
              <w:left w:val="nil"/>
              <w:bottom w:val="nil"/>
              <w:right w:val="nil"/>
            </w:tcBorders>
          </w:tcPr>
          <w:p w14:paraId="28957E3E"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13.25</w:t>
            </w:r>
          </w:p>
        </w:tc>
        <w:tc>
          <w:tcPr>
            <w:tcW w:w="1020" w:type="dxa"/>
            <w:tcBorders>
              <w:top w:val="nil"/>
              <w:left w:val="nil"/>
              <w:bottom w:val="nil"/>
              <w:right w:val="nil"/>
            </w:tcBorders>
          </w:tcPr>
          <w:p w14:paraId="0A18C98C"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16.19</w:t>
            </w:r>
          </w:p>
        </w:tc>
        <w:tc>
          <w:tcPr>
            <w:tcW w:w="1134" w:type="dxa"/>
            <w:tcBorders>
              <w:top w:val="nil"/>
              <w:left w:val="nil"/>
              <w:bottom w:val="nil"/>
              <w:right w:val="nil"/>
            </w:tcBorders>
          </w:tcPr>
          <w:p w14:paraId="73F8BC19"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16.88</w:t>
            </w:r>
          </w:p>
        </w:tc>
        <w:tc>
          <w:tcPr>
            <w:tcW w:w="1077" w:type="dxa"/>
            <w:tcBorders>
              <w:top w:val="nil"/>
              <w:left w:val="nil"/>
              <w:bottom w:val="nil"/>
              <w:right w:val="nil"/>
            </w:tcBorders>
          </w:tcPr>
          <w:p w14:paraId="28550CC9"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17.71</w:t>
            </w:r>
          </w:p>
        </w:tc>
        <w:tc>
          <w:tcPr>
            <w:tcW w:w="1020" w:type="dxa"/>
            <w:tcBorders>
              <w:top w:val="nil"/>
              <w:left w:val="nil"/>
              <w:bottom w:val="nil"/>
              <w:right w:val="nil"/>
            </w:tcBorders>
          </w:tcPr>
          <w:p w14:paraId="61D83EAE"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19.37</w:t>
            </w:r>
          </w:p>
        </w:tc>
        <w:tc>
          <w:tcPr>
            <w:tcW w:w="1134" w:type="dxa"/>
            <w:tcBorders>
              <w:top w:val="nil"/>
              <w:left w:val="nil"/>
              <w:bottom w:val="nil"/>
              <w:right w:val="nil"/>
            </w:tcBorders>
          </w:tcPr>
          <w:p w14:paraId="3FE973E0"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567</w:t>
            </w:r>
          </w:p>
        </w:tc>
      </w:tr>
      <w:tr w:rsidR="002C4D9C" w:rsidRPr="005D0BC8" w14:paraId="4FD8400B" w14:textId="77777777" w:rsidTr="00AA2A6E">
        <w:tc>
          <w:tcPr>
            <w:tcW w:w="907" w:type="dxa"/>
            <w:tcBorders>
              <w:top w:val="nil"/>
              <w:left w:val="nil"/>
              <w:bottom w:val="nil"/>
              <w:right w:val="nil"/>
            </w:tcBorders>
          </w:tcPr>
          <w:p w14:paraId="32CA07E1" w14:textId="4463DA5F" w:rsidR="002C4D9C" w:rsidRPr="005D0BC8" w:rsidRDefault="00713BF8" w:rsidP="00AA2A6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TFP</w:t>
            </w:r>
          </w:p>
        </w:tc>
        <w:tc>
          <w:tcPr>
            <w:tcW w:w="1416" w:type="dxa"/>
            <w:tcBorders>
              <w:top w:val="nil"/>
              <w:left w:val="nil"/>
              <w:bottom w:val="nil"/>
              <w:right w:val="nil"/>
            </w:tcBorders>
          </w:tcPr>
          <w:p w14:paraId="0B9D1517"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6.44</w:t>
            </w:r>
          </w:p>
        </w:tc>
        <w:tc>
          <w:tcPr>
            <w:tcW w:w="964" w:type="dxa"/>
            <w:tcBorders>
              <w:top w:val="nil"/>
              <w:left w:val="nil"/>
              <w:bottom w:val="nil"/>
              <w:right w:val="nil"/>
            </w:tcBorders>
          </w:tcPr>
          <w:p w14:paraId="243EB85F"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0.31</w:t>
            </w:r>
          </w:p>
        </w:tc>
        <w:tc>
          <w:tcPr>
            <w:tcW w:w="1020" w:type="dxa"/>
            <w:tcBorders>
              <w:top w:val="nil"/>
              <w:left w:val="nil"/>
              <w:bottom w:val="nil"/>
              <w:right w:val="nil"/>
            </w:tcBorders>
          </w:tcPr>
          <w:p w14:paraId="1533E403"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5.32</w:t>
            </w:r>
          </w:p>
        </w:tc>
        <w:tc>
          <w:tcPr>
            <w:tcW w:w="1020" w:type="dxa"/>
            <w:tcBorders>
              <w:top w:val="nil"/>
              <w:left w:val="nil"/>
              <w:bottom w:val="nil"/>
              <w:right w:val="nil"/>
            </w:tcBorders>
          </w:tcPr>
          <w:p w14:paraId="02BF1638"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6.26</w:t>
            </w:r>
          </w:p>
        </w:tc>
        <w:tc>
          <w:tcPr>
            <w:tcW w:w="1134" w:type="dxa"/>
            <w:tcBorders>
              <w:top w:val="nil"/>
              <w:left w:val="nil"/>
              <w:bottom w:val="nil"/>
              <w:right w:val="nil"/>
            </w:tcBorders>
          </w:tcPr>
          <w:p w14:paraId="77C40EA0"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6.40</w:t>
            </w:r>
          </w:p>
        </w:tc>
        <w:tc>
          <w:tcPr>
            <w:tcW w:w="1077" w:type="dxa"/>
            <w:tcBorders>
              <w:top w:val="nil"/>
              <w:left w:val="nil"/>
              <w:bottom w:val="nil"/>
              <w:right w:val="nil"/>
            </w:tcBorders>
          </w:tcPr>
          <w:p w14:paraId="3771F761"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6.58</w:t>
            </w:r>
          </w:p>
        </w:tc>
        <w:tc>
          <w:tcPr>
            <w:tcW w:w="1020" w:type="dxa"/>
            <w:tcBorders>
              <w:top w:val="nil"/>
              <w:left w:val="nil"/>
              <w:bottom w:val="nil"/>
              <w:right w:val="nil"/>
            </w:tcBorders>
          </w:tcPr>
          <w:p w14:paraId="2A2C1A55"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7.05</w:t>
            </w:r>
          </w:p>
        </w:tc>
        <w:tc>
          <w:tcPr>
            <w:tcW w:w="1134" w:type="dxa"/>
            <w:tcBorders>
              <w:top w:val="nil"/>
              <w:left w:val="nil"/>
              <w:bottom w:val="nil"/>
              <w:right w:val="nil"/>
            </w:tcBorders>
          </w:tcPr>
          <w:p w14:paraId="78FAFD67"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r>
      <w:tr w:rsidR="002C4D9C" w:rsidRPr="005D0BC8" w14:paraId="29F85384" w14:textId="77777777" w:rsidTr="00AA2A6E">
        <w:tc>
          <w:tcPr>
            <w:tcW w:w="907" w:type="dxa"/>
            <w:tcBorders>
              <w:top w:val="nil"/>
              <w:left w:val="nil"/>
              <w:bottom w:val="nil"/>
              <w:right w:val="nil"/>
            </w:tcBorders>
          </w:tcPr>
          <w:p w14:paraId="361DC7EE" w14:textId="77777777"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SZ</w:t>
            </w:r>
          </w:p>
        </w:tc>
        <w:tc>
          <w:tcPr>
            <w:tcW w:w="1416" w:type="dxa"/>
            <w:tcBorders>
              <w:top w:val="nil"/>
              <w:left w:val="nil"/>
              <w:bottom w:val="nil"/>
              <w:right w:val="nil"/>
            </w:tcBorders>
          </w:tcPr>
          <w:p w14:paraId="2F8BB873"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4.06</w:t>
            </w:r>
          </w:p>
        </w:tc>
        <w:tc>
          <w:tcPr>
            <w:tcW w:w="964" w:type="dxa"/>
            <w:tcBorders>
              <w:top w:val="nil"/>
              <w:left w:val="nil"/>
              <w:bottom w:val="nil"/>
              <w:right w:val="nil"/>
            </w:tcBorders>
          </w:tcPr>
          <w:p w14:paraId="1E2FD617"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0.80</w:t>
            </w:r>
          </w:p>
        </w:tc>
        <w:tc>
          <w:tcPr>
            <w:tcW w:w="1020" w:type="dxa"/>
            <w:tcBorders>
              <w:top w:val="nil"/>
              <w:left w:val="nil"/>
              <w:bottom w:val="nil"/>
              <w:right w:val="nil"/>
            </w:tcBorders>
          </w:tcPr>
          <w:p w14:paraId="2C3500AE"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2.19</w:t>
            </w:r>
          </w:p>
        </w:tc>
        <w:tc>
          <w:tcPr>
            <w:tcW w:w="1020" w:type="dxa"/>
            <w:tcBorders>
              <w:top w:val="nil"/>
              <w:left w:val="nil"/>
              <w:bottom w:val="nil"/>
              <w:right w:val="nil"/>
            </w:tcBorders>
          </w:tcPr>
          <w:p w14:paraId="0867E244"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3.49</w:t>
            </w:r>
          </w:p>
        </w:tc>
        <w:tc>
          <w:tcPr>
            <w:tcW w:w="1134" w:type="dxa"/>
            <w:tcBorders>
              <w:top w:val="nil"/>
              <w:left w:val="nil"/>
              <w:bottom w:val="nil"/>
              <w:right w:val="nil"/>
            </w:tcBorders>
          </w:tcPr>
          <w:p w14:paraId="145FF005"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3.92</w:t>
            </w:r>
          </w:p>
        </w:tc>
        <w:tc>
          <w:tcPr>
            <w:tcW w:w="1077" w:type="dxa"/>
            <w:tcBorders>
              <w:top w:val="nil"/>
              <w:left w:val="nil"/>
              <w:bottom w:val="nil"/>
              <w:right w:val="nil"/>
            </w:tcBorders>
          </w:tcPr>
          <w:p w14:paraId="3F87B4D3"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4.48</w:t>
            </w:r>
          </w:p>
        </w:tc>
        <w:tc>
          <w:tcPr>
            <w:tcW w:w="1020" w:type="dxa"/>
            <w:tcBorders>
              <w:top w:val="nil"/>
              <w:left w:val="nil"/>
              <w:bottom w:val="nil"/>
              <w:right w:val="nil"/>
            </w:tcBorders>
          </w:tcPr>
          <w:p w14:paraId="5430E7A8"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5.55</w:t>
            </w:r>
          </w:p>
        </w:tc>
        <w:tc>
          <w:tcPr>
            <w:tcW w:w="1134" w:type="dxa"/>
            <w:tcBorders>
              <w:top w:val="nil"/>
              <w:left w:val="nil"/>
              <w:bottom w:val="nil"/>
              <w:right w:val="nil"/>
            </w:tcBorders>
          </w:tcPr>
          <w:p w14:paraId="7333EC2C"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r>
      <w:tr w:rsidR="002C4D9C" w:rsidRPr="005D0BC8" w14:paraId="2EB50595" w14:textId="77777777" w:rsidTr="00AA2A6E">
        <w:tc>
          <w:tcPr>
            <w:tcW w:w="907" w:type="dxa"/>
            <w:tcBorders>
              <w:top w:val="nil"/>
              <w:left w:val="nil"/>
              <w:bottom w:val="nil"/>
              <w:right w:val="nil"/>
            </w:tcBorders>
          </w:tcPr>
          <w:p w14:paraId="36A8A86D" w14:textId="77777777"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SUB</w:t>
            </w:r>
          </w:p>
        </w:tc>
        <w:tc>
          <w:tcPr>
            <w:tcW w:w="1416" w:type="dxa"/>
            <w:tcBorders>
              <w:top w:val="nil"/>
              <w:left w:val="nil"/>
              <w:bottom w:val="nil"/>
              <w:right w:val="nil"/>
            </w:tcBorders>
          </w:tcPr>
          <w:p w14:paraId="7F521D48"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541.54</w:t>
            </w:r>
          </w:p>
        </w:tc>
        <w:tc>
          <w:tcPr>
            <w:tcW w:w="964" w:type="dxa"/>
            <w:tcBorders>
              <w:top w:val="nil"/>
              <w:left w:val="nil"/>
              <w:bottom w:val="nil"/>
              <w:right w:val="nil"/>
            </w:tcBorders>
          </w:tcPr>
          <w:p w14:paraId="0C3A627F"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799.90</w:t>
            </w:r>
          </w:p>
        </w:tc>
        <w:tc>
          <w:tcPr>
            <w:tcW w:w="1020" w:type="dxa"/>
            <w:tcBorders>
              <w:top w:val="nil"/>
              <w:left w:val="nil"/>
              <w:bottom w:val="nil"/>
              <w:right w:val="nil"/>
            </w:tcBorders>
          </w:tcPr>
          <w:p w14:paraId="36E1680C"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0.00</w:t>
            </w:r>
          </w:p>
        </w:tc>
        <w:tc>
          <w:tcPr>
            <w:tcW w:w="1020" w:type="dxa"/>
            <w:tcBorders>
              <w:top w:val="nil"/>
              <w:left w:val="nil"/>
              <w:bottom w:val="nil"/>
              <w:right w:val="nil"/>
            </w:tcBorders>
          </w:tcPr>
          <w:p w14:paraId="006159E6"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138.00</w:t>
            </w:r>
          </w:p>
        </w:tc>
        <w:tc>
          <w:tcPr>
            <w:tcW w:w="1134" w:type="dxa"/>
            <w:tcBorders>
              <w:top w:val="nil"/>
              <w:left w:val="nil"/>
              <w:bottom w:val="nil"/>
              <w:right w:val="nil"/>
            </w:tcBorders>
          </w:tcPr>
          <w:p w14:paraId="31C26F3F"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292.00</w:t>
            </w:r>
          </w:p>
        </w:tc>
        <w:tc>
          <w:tcPr>
            <w:tcW w:w="1077" w:type="dxa"/>
            <w:tcBorders>
              <w:top w:val="nil"/>
              <w:left w:val="nil"/>
              <w:bottom w:val="nil"/>
              <w:right w:val="nil"/>
            </w:tcBorders>
          </w:tcPr>
          <w:p w14:paraId="0B32A18D"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541.00</w:t>
            </w:r>
          </w:p>
        </w:tc>
        <w:tc>
          <w:tcPr>
            <w:tcW w:w="1020" w:type="dxa"/>
            <w:tcBorders>
              <w:top w:val="nil"/>
              <w:left w:val="nil"/>
              <w:bottom w:val="nil"/>
              <w:right w:val="nil"/>
            </w:tcBorders>
          </w:tcPr>
          <w:p w14:paraId="306C6209"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2550.00</w:t>
            </w:r>
          </w:p>
        </w:tc>
        <w:tc>
          <w:tcPr>
            <w:tcW w:w="1134" w:type="dxa"/>
            <w:tcBorders>
              <w:top w:val="nil"/>
              <w:left w:val="nil"/>
              <w:bottom w:val="nil"/>
              <w:right w:val="nil"/>
            </w:tcBorders>
          </w:tcPr>
          <w:p w14:paraId="48F9B582"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r>
      <w:tr w:rsidR="002C4D9C" w:rsidRPr="005D0BC8" w14:paraId="44E2AA62" w14:textId="77777777" w:rsidTr="00AA2A6E">
        <w:tc>
          <w:tcPr>
            <w:tcW w:w="907" w:type="dxa"/>
            <w:tcBorders>
              <w:top w:val="nil"/>
              <w:left w:val="nil"/>
              <w:bottom w:val="nil"/>
              <w:right w:val="nil"/>
            </w:tcBorders>
          </w:tcPr>
          <w:p w14:paraId="71A3F84C" w14:textId="77777777"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DE</w:t>
            </w:r>
          </w:p>
        </w:tc>
        <w:tc>
          <w:tcPr>
            <w:tcW w:w="1416" w:type="dxa"/>
            <w:tcBorders>
              <w:top w:val="nil"/>
              <w:left w:val="nil"/>
              <w:bottom w:val="nil"/>
              <w:right w:val="nil"/>
            </w:tcBorders>
          </w:tcPr>
          <w:p w14:paraId="3A796D47"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1.70</w:t>
            </w:r>
          </w:p>
        </w:tc>
        <w:tc>
          <w:tcPr>
            <w:tcW w:w="964" w:type="dxa"/>
            <w:tcBorders>
              <w:top w:val="nil"/>
              <w:left w:val="nil"/>
              <w:bottom w:val="nil"/>
              <w:right w:val="nil"/>
            </w:tcBorders>
          </w:tcPr>
          <w:p w14:paraId="5F620566"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0.73</w:t>
            </w:r>
          </w:p>
        </w:tc>
        <w:tc>
          <w:tcPr>
            <w:tcW w:w="1020" w:type="dxa"/>
            <w:tcBorders>
              <w:top w:val="nil"/>
              <w:left w:val="nil"/>
              <w:bottom w:val="nil"/>
              <w:right w:val="nil"/>
            </w:tcBorders>
          </w:tcPr>
          <w:p w14:paraId="4E75F445"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-2.27</w:t>
            </w:r>
          </w:p>
        </w:tc>
        <w:tc>
          <w:tcPr>
            <w:tcW w:w="1020" w:type="dxa"/>
            <w:tcBorders>
              <w:top w:val="nil"/>
              <w:left w:val="nil"/>
              <w:bottom w:val="nil"/>
              <w:right w:val="nil"/>
            </w:tcBorders>
          </w:tcPr>
          <w:p w14:paraId="1E28C938"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1.53</w:t>
            </w:r>
          </w:p>
        </w:tc>
        <w:tc>
          <w:tcPr>
            <w:tcW w:w="1134" w:type="dxa"/>
            <w:tcBorders>
              <w:top w:val="nil"/>
              <w:left w:val="nil"/>
              <w:bottom w:val="nil"/>
              <w:right w:val="nil"/>
            </w:tcBorders>
          </w:tcPr>
          <w:p w14:paraId="1DBC2E21"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1.77</w:t>
            </w:r>
          </w:p>
        </w:tc>
        <w:tc>
          <w:tcPr>
            <w:tcW w:w="1077" w:type="dxa"/>
            <w:tcBorders>
              <w:top w:val="nil"/>
              <w:left w:val="nil"/>
              <w:bottom w:val="nil"/>
              <w:right w:val="nil"/>
            </w:tcBorders>
          </w:tcPr>
          <w:p w14:paraId="57427816"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2.07</w:t>
            </w:r>
          </w:p>
        </w:tc>
        <w:tc>
          <w:tcPr>
            <w:tcW w:w="1020" w:type="dxa"/>
            <w:tcBorders>
              <w:top w:val="nil"/>
              <w:left w:val="nil"/>
              <w:bottom w:val="nil"/>
              <w:right w:val="nil"/>
            </w:tcBorders>
          </w:tcPr>
          <w:p w14:paraId="2C05C480"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2.65</w:t>
            </w:r>
          </w:p>
        </w:tc>
        <w:tc>
          <w:tcPr>
            <w:tcW w:w="1134" w:type="dxa"/>
            <w:tcBorders>
              <w:top w:val="nil"/>
              <w:left w:val="nil"/>
              <w:bottom w:val="nil"/>
              <w:right w:val="nil"/>
            </w:tcBorders>
          </w:tcPr>
          <w:p w14:paraId="74503A8A"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r>
      <w:tr w:rsidR="002C4D9C" w:rsidRPr="005D0BC8" w14:paraId="71388A42" w14:textId="77777777" w:rsidTr="00AA2A6E">
        <w:tc>
          <w:tcPr>
            <w:tcW w:w="907" w:type="dxa"/>
            <w:tcBorders>
              <w:top w:val="nil"/>
              <w:left w:val="nil"/>
              <w:bottom w:val="nil"/>
              <w:right w:val="nil"/>
            </w:tcBorders>
          </w:tcPr>
          <w:p w14:paraId="46AF3AF5" w14:textId="77777777"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GR</w:t>
            </w:r>
          </w:p>
        </w:tc>
        <w:tc>
          <w:tcPr>
            <w:tcW w:w="1416" w:type="dxa"/>
            <w:tcBorders>
              <w:top w:val="nil"/>
              <w:left w:val="nil"/>
              <w:bottom w:val="nil"/>
              <w:right w:val="nil"/>
            </w:tcBorders>
          </w:tcPr>
          <w:p w14:paraId="4B759C2D"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22.39</w:t>
            </w:r>
          </w:p>
        </w:tc>
        <w:tc>
          <w:tcPr>
            <w:tcW w:w="964" w:type="dxa"/>
            <w:tcBorders>
              <w:top w:val="nil"/>
              <w:left w:val="nil"/>
              <w:bottom w:val="nil"/>
              <w:right w:val="nil"/>
            </w:tcBorders>
          </w:tcPr>
          <w:p w14:paraId="79F535A6"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68.87</w:t>
            </w:r>
          </w:p>
        </w:tc>
        <w:tc>
          <w:tcPr>
            <w:tcW w:w="1020" w:type="dxa"/>
            <w:tcBorders>
              <w:top w:val="nil"/>
              <w:left w:val="nil"/>
              <w:bottom w:val="nil"/>
              <w:right w:val="nil"/>
            </w:tcBorders>
          </w:tcPr>
          <w:p w14:paraId="4F181033"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-255.00</w:t>
            </w:r>
          </w:p>
        </w:tc>
        <w:tc>
          <w:tcPr>
            <w:tcW w:w="1020" w:type="dxa"/>
            <w:tcBorders>
              <w:top w:val="nil"/>
              <w:left w:val="nil"/>
              <w:bottom w:val="nil"/>
              <w:right w:val="nil"/>
            </w:tcBorders>
          </w:tcPr>
          <w:p w14:paraId="693247C5"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10.30</w:t>
            </w:r>
          </w:p>
        </w:tc>
        <w:tc>
          <w:tcPr>
            <w:tcW w:w="1134" w:type="dxa"/>
            <w:tcBorders>
              <w:top w:val="nil"/>
              <w:left w:val="nil"/>
              <w:bottom w:val="nil"/>
              <w:right w:val="nil"/>
            </w:tcBorders>
          </w:tcPr>
          <w:p w14:paraId="48F84933"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14.60</w:t>
            </w:r>
          </w:p>
        </w:tc>
        <w:tc>
          <w:tcPr>
            <w:tcW w:w="1077" w:type="dxa"/>
            <w:tcBorders>
              <w:top w:val="nil"/>
              <w:left w:val="nil"/>
              <w:bottom w:val="nil"/>
              <w:right w:val="nil"/>
            </w:tcBorders>
          </w:tcPr>
          <w:p w14:paraId="781D144C"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20.19</w:t>
            </w:r>
          </w:p>
        </w:tc>
        <w:tc>
          <w:tcPr>
            <w:tcW w:w="1020" w:type="dxa"/>
            <w:tcBorders>
              <w:top w:val="nil"/>
              <w:left w:val="nil"/>
              <w:bottom w:val="nil"/>
              <w:right w:val="nil"/>
            </w:tcBorders>
          </w:tcPr>
          <w:p w14:paraId="0EA0A199"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38.75</w:t>
            </w:r>
          </w:p>
        </w:tc>
        <w:tc>
          <w:tcPr>
            <w:tcW w:w="1134" w:type="dxa"/>
            <w:tcBorders>
              <w:top w:val="nil"/>
              <w:left w:val="nil"/>
              <w:bottom w:val="nil"/>
              <w:right w:val="nil"/>
            </w:tcBorders>
          </w:tcPr>
          <w:p w14:paraId="436412F8"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r>
      <w:tr w:rsidR="002C4D9C" w:rsidRPr="005D0BC8" w14:paraId="32003B83" w14:textId="77777777" w:rsidTr="00AA2A6E">
        <w:tc>
          <w:tcPr>
            <w:tcW w:w="907" w:type="dxa"/>
            <w:tcBorders>
              <w:top w:val="nil"/>
              <w:left w:val="nil"/>
              <w:bottom w:val="nil"/>
              <w:right w:val="nil"/>
            </w:tcBorders>
          </w:tcPr>
          <w:p w14:paraId="211D01D6" w14:textId="77777777"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LQ</w:t>
            </w:r>
          </w:p>
        </w:tc>
        <w:tc>
          <w:tcPr>
            <w:tcW w:w="1416" w:type="dxa"/>
            <w:tcBorders>
              <w:top w:val="nil"/>
              <w:left w:val="nil"/>
              <w:bottom w:val="nil"/>
              <w:right w:val="nil"/>
            </w:tcBorders>
          </w:tcPr>
          <w:p w14:paraId="70DC2BF5"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1.32</w:t>
            </w:r>
          </w:p>
        </w:tc>
        <w:tc>
          <w:tcPr>
            <w:tcW w:w="964" w:type="dxa"/>
            <w:tcBorders>
              <w:top w:val="nil"/>
              <w:left w:val="nil"/>
              <w:bottom w:val="nil"/>
              <w:right w:val="nil"/>
            </w:tcBorders>
          </w:tcPr>
          <w:p w14:paraId="498F3F34"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1.01</w:t>
            </w:r>
          </w:p>
        </w:tc>
        <w:tc>
          <w:tcPr>
            <w:tcW w:w="1020" w:type="dxa"/>
            <w:tcBorders>
              <w:top w:val="nil"/>
              <w:left w:val="nil"/>
              <w:bottom w:val="nil"/>
              <w:right w:val="nil"/>
            </w:tcBorders>
          </w:tcPr>
          <w:p w14:paraId="177888A2"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0.05</w:t>
            </w:r>
          </w:p>
        </w:tc>
        <w:tc>
          <w:tcPr>
            <w:tcW w:w="1020" w:type="dxa"/>
            <w:tcBorders>
              <w:top w:val="nil"/>
              <w:left w:val="nil"/>
              <w:bottom w:val="nil"/>
              <w:right w:val="nil"/>
            </w:tcBorders>
          </w:tcPr>
          <w:p w14:paraId="061E610F"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0.78</w:t>
            </w:r>
          </w:p>
        </w:tc>
        <w:tc>
          <w:tcPr>
            <w:tcW w:w="1134" w:type="dxa"/>
            <w:tcBorders>
              <w:top w:val="nil"/>
              <w:left w:val="nil"/>
              <w:bottom w:val="nil"/>
              <w:right w:val="nil"/>
            </w:tcBorders>
          </w:tcPr>
          <w:p w14:paraId="567E2463"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1.12</w:t>
            </w:r>
          </w:p>
        </w:tc>
        <w:tc>
          <w:tcPr>
            <w:tcW w:w="1077" w:type="dxa"/>
            <w:tcBorders>
              <w:top w:val="nil"/>
              <w:left w:val="nil"/>
              <w:bottom w:val="nil"/>
              <w:right w:val="nil"/>
            </w:tcBorders>
          </w:tcPr>
          <w:p w14:paraId="4046BCB0"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1.48</w:t>
            </w:r>
          </w:p>
        </w:tc>
        <w:tc>
          <w:tcPr>
            <w:tcW w:w="1020" w:type="dxa"/>
            <w:tcBorders>
              <w:top w:val="nil"/>
              <w:left w:val="nil"/>
              <w:bottom w:val="nil"/>
              <w:right w:val="nil"/>
            </w:tcBorders>
          </w:tcPr>
          <w:p w14:paraId="74C173CA"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3.59</w:t>
            </w:r>
          </w:p>
        </w:tc>
        <w:tc>
          <w:tcPr>
            <w:tcW w:w="1134" w:type="dxa"/>
            <w:tcBorders>
              <w:top w:val="nil"/>
              <w:left w:val="nil"/>
              <w:bottom w:val="nil"/>
              <w:right w:val="nil"/>
            </w:tcBorders>
          </w:tcPr>
          <w:p w14:paraId="3C841401"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r>
      <w:tr w:rsidR="002C4D9C" w:rsidRPr="005D0BC8" w14:paraId="071B2B54" w14:textId="77777777" w:rsidTr="00AA2A6E">
        <w:tc>
          <w:tcPr>
            <w:tcW w:w="907" w:type="dxa"/>
            <w:tcBorders>
              <w:top w:val="nil"/>
              <w:left w:val="nil"/>
              <w:bottom w:val="nil"/>
              <w:right w:val="nil"/>
            </w:tcBorders>
          </w:tcPr>
          <w:p w14:paraId="4DF7DF90" w14:textId="77777777"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RD</w:t>
            </w:r>
          </w:p>
        </w:tc>
        <w:tc>
          <w:tcPr>
            <w:tcW w:w="1416" w:type="dxa"/>
            <w:tcBorders>
              <w:top w:val="nil"/>
              <w:left w:val="nil"/>
              <w:bottom w:val="nil"/>
              <w:right w:val="nil"/>
            </w:tcBorders>
          </w:tcPr>
          <w:p w14:paraId="39488263"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3.06</w:t>
            </w:r>
          </w:p>
        </w:tc>
        <w:tc>
          <w:tcPr>
            <w:tcW w:w="964" w:type="dxa"/>
            <w:tcBorders>
              <w:top w:val="nil"/>
              <w:left w:val="nil"/>
              <w:bottom w:val="nil"/>
              <w:right w:val="nil"/>
            </w:tcBorders>
          </w:tcPr>
          <w:p w14:paraId="2DBED919"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3.88</w:t>
            </w:r>
          </w:p>
        </w:tc>
        <w:tc>
          <w:tcPr>
            <w:tcW w:w="1020" w:type="dxa"/>
            <w:tcBorders>
              <w:top w:val="nil"/>
              <w:left w:val="nil"/>
              <w:bottom w:val="nil"/>
              <w:right w:val="nil"/>
            </w:tcBorders>
          </w:tcPr>
          <w:p w14:paraId="0D9B525A"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0.00</w:t>
            </w:r>
          </w:p>
        </w:tc>
        <w:tc>
          <w:tcPr>
            <w:tcW w:w="1020" w:type="dxa"/>
            <w:tcBorders>
              <w:top w:val="nil"/>
              <w:left w:val="nil"/>
              <w:bottom w:val="nil"/>
              <w:right w:val="nil"/>
            </w:tcBorders>
          </w:tcPr>
          <w:p w14:paraId="1AB2F800"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0.00</w:t>
            </w:r>
          </w:p>
        </w:tc>
        <w:tc>
          <w:tcPr>
            <w:tcW w:w="1134" w:type="dxa"/>
            <w:tcBorders>
              <w:top w:val="nil"/>
              <w:left w:val="nil"/>
              <w:bottom w:val="nil"/>
              <w:right w:val="nil"/>
            </w:tcBorders>
          </w:tcPr>
          <w:p w14:paraId="5EE0DF68"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0.00</w:t>
            </w:r>
          </w:p>
        </w:tc>
        <w:tc>
          <w:tcPr>
            <w:tcW w:w="1077" w:type="dxa"/>
            <w:tcBorders>
              <w:top w:val="nil"/>
              <w:left w:val="nil"/>
              <w:bottom w:val="nil"/>
              <w:right w:val="nil"/>
            </w:tcBorders>
          </w:tcPr>
          <w:p w14:paraId="73E77697"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7.40</w:t>
            </w:r>
          </w:p>
        </w:tc>
        <w:tc>
          <w:tcPr>
            <w:tcW w:w="1020" w:type="dxa"/>
            <w:tcBorders>
              <w:top w:val="nil"/>
              <w:left w:val="nil"/>
              <w:bottom w:val="nil"/>
              <w:right w:val="nil"/>
            </w:tcBorders>
          </w:tcPr>
          <w:p w14:paraId="11BD6895"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8.92</w:t>
            </w:r>
          </w:p>
        </w:tc>
        <w:tc>
          <w:tcPr>
            <w:tcW w:w="1134" w:type="dxa"/>
            <w:tcBorders>
              <w:top w:val="nil"/>
              <w:left w:val="nil"/>
              <w:bottom w:val="nil"/>
              <w:right w:val="nil"/>
            </w:tcBorders>
          </w:tcPr>
          <w:p w14:paraId="2A61DAFF"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r>
      <w:tr w:rsidR="002C4D9C" w:rsidRPr="005D0BC8" w14:paraId="0460EDFB" w14:textId="77777777" w:rsidTr="00AA2A6E">
        <w:tc>
          <w:tcPr>
            <w:tcW w:w="907" w:type="dxa"/>
            <w:tcBorders>
              <w:top w:val="nil"/>
              <w:left w:val="nil"/>
              <w:bottom w:val="nil"/>
              <w:right w:val="nil"/>
            </w:tcBorders>
          </w:tcPr>
          <w:p w14:paraId="3859DBF4" w14:textId="77777777"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MO</w:t>
            </w:r>
          </w:p>
        </w:tc>
        <w:tc>
          <w:tcPr>
            <w:tcW w:w="1416" w:type="dxa"/>
            <w:tcBorders>
              <w:top w:val="nil"/>
              <w:left w:val="nil"/>
              <w:bottom w:val="nil"/>
              <w:right w:val="nil"/>
            </w:tcBorders>
          </w:tcPr>
          <w:p w14:paraId="6A580072"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6.08</w:t>
            </w:r>
          </w:p>
        </w:tc>
        <w:tc>
          <w:tcPr>
            <w:tcW w:w="964" w:type="dxa"/>
            <w:tcBorders>
              <w:top w:val="nil"/>
              <w:left w:val="nil"/>
              <w:bottom w:val="nil"/>
              <w:right w:val="nil"/>
            </w:tcBorders>
          </w:tcPr>
          <w:p w14:paraId="4D160954"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0.89</w:t>
            </w:r>
          </w:p>
        </w:tc>
        <w:tc>
          <w:tcPr>
            <w:tcW w:w="1020" w:type="dxa"/>
            <w:tcBorders>
              <w:top w:val="nil"/>
              <w:left w:val="nil"/>
              <w:bottom w:val="nil"/>
              <w:right w:val="nil"/>
            </w:tcBorders>
          </w:tcPr>
          <w:p w14:paraId="6170B547"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0.00</w:t>
            </w:r>
          </w:p>
        </w:tc>
        <w:tc>
          <w:tcPr>
            <w:tcW w:w="1020" w:type="dxa"/>
            <w:tcBorders>
              <w:top w:val="nil"/>
              <w:left w:val="nil"/>
              <w:bottom w:val="nil"/>
              <w:right w:val="nil"/>
            </w:tcBorders>
          </w:tcPr>
          <w:p w14:paraId="3BE755DC"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5.57</w:t>
            </w:r>
          </w:p>
        </w:tc>
        <w:tc>
          <w:tcPr>
            <w:tcW w:w="1134" w:type="dxa"/>
            <w:tcBorders>
              <w:top w:val="nil"/>
              <w:left w:val="nil"/>
              <w:bottom w:val="nil"/>
              <w:right w:val="nil"/>
            </w:tcBorders>
          </w:tcPr>
          <w:p w14:paraId="34D5B66F"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6.02</w:t>
            </w:r>
          </w:p>
        </w:tc>
        <w:tc>
          <w:tcPr>
            <w:tcW w:w="1077" w:type="dxa"/>
            <w:tcBorders>
              <w:top w:val="nil"/>
              <w:left w:val="nil"/>
              <w:bottom w:val="nil"/>
              <w:right w:val="nil"/>
            </w:tcBorders>
          </w:tcPr>
          <w:p w14:paraId="05C48E2E"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6.49</w:t>
            </w:r>
          </w:p>
        </w:tc>
        <w:tc>
          <w:tcPr>
            <w:tcW w:w="1020" w:type="dxa"/>
            <w:tcBorders>
              <w:top w:val="nil"/>
              <w:left w:val="nil"/>
              <w:bottom w:val="nil"/>
              <w:right w:val="nil"/>
            </w:tcBorders>
          </w:tcPr>
          <w:p w14:paraId="608F239F"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7.93</w:t>
            </w:r>
          </w:p>
        </w:tc>
        <w:tc>
          <w:tcPr>
            <w:tcW w:w="1134" w:type="dxa"/>
            <w:tcBorders>
              <w:top w:val="nil"/>
              <w:left w:val="nil"/>
              <w:bottom w:val="nil"/>
              <w:right w:val="nil"/>
            </w:tcBorders>
          </w:tcPr>
          <w:p w14:paraId="6E566B57"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r>
      <w:tr w:rsidR="002C4D9C" w:rsidRPr="005D0BC8" w14:paraId="6A1E4229" w14:textId="77777777" w:rsidTr="00AA2A6E">
        <w:tc>
          <w:tcPr>
            <w:tcW w:w="907" w:type="dxa"/>
            <w:tcBorders>
              <w:top w:val="nil"/>
              <w:left w:val="nil"/>
              <w:bottom w:val="nil"/>
              <w:right w:val="nil"/>
            </w:tcBorders>
          </w:tcPr>
          <w:p w14:paraId="159675F3" w14:textId="77777777"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IO</w:t>
            </w:r>
          </w:p>
        </w:tc>
        <w:tc>
          <w:tcPr>
            <w:tcW w:w="1416" w:type="dxa"/>
            <w:tcBorders>
              <w:top w:val="nil"/>
              <w:left w:val="nil"/>
              <w:bottom w:val="nil"/>
              <w:right w:val="nil"/>
            </w:tcBorders>
          </w:tcPr>
          <w:p w14:paraId="4837B4DB"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7.75</w:t>
            </w:r>
          </w:p>
        </w:tc>
        <w:tc>
          <w:tcPr>
            <w:tcW w:w="964" w:type="dxa"/>
            <w:tcBorders>
              <w:top w:val="nil"/>
              <w:left w:val="nil"/>
              <w:bottom w:val="nil"/>
              <w:right w:val="nil"/>
            </w:tcBorders>
          </w:tcPr>
          <w:p w14:paraId="1C221DA3"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2.30</w:t>
            </w:r>
          </w:p>
        </w:tc>
        <w:tc>
          <w:tcPr>
            <w:tcW w:w="1020" w:type="dxa"/>
            <w:tcBorders>
              <w:top w:val="nil"/>
              <w:left w:val="nil"/>
              <w:bottom w:val="nil"/>
              <w:right w:val="nil"/>
            </w:tcBorders>
          </w:tcPr>
          <w:p w14:paraId="63D7B527"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0.00</w:t>
            </w:r>
          </w:p>
        </w:tc>
        <w:tc>
          <w:tcPr>
            <w:tcW w:w="1020" w:type="dxa"/>
            <w:tcBorders>
              <w:top w:val="nil"/>
              <w:left w:val="nil"/>
              <w:bottom w:val="nil"/>
              <w:right w:val="nil"/>
            </w:tcBorders>
          </w:tcPr>
          <w:p w14:paraId="654D892F"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7.90</w:t>
            </w:r>
          </w:p>
        </w:tc>
        <w:tc>
          <w:tcPr>
            <w:tcW w:w="1134" w:type="dxa"/>
            <w:tcBorders>
              <w:top w:val="nil"/>
              <w:left w:val="nil"/>
              <w:bottom w:val="nil"/>
              <w:right w:val="nil"/>
            </w:tcBorders>
          </w:tcPr>
          <w:p w14:paraId="6A94BF1E"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8.31</w:t>
            </w:r>
          </w:p>
        </w:tc>
        <w:tc>
          <w:tcPr>
            <w:tcW w:w="1077" w:type="dxa"/>
            <w:tcBorders>
              <w:top w:val="nil"/>
              <w:left w:val="nil"/>
              <w:bottom w:val="nil"/>
              <w:right w:val="nil"/>
            </w:tcBorders>
          </w:tcPr>
          <w:p w14:paraId="6774C314"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8.71</w:t>
            </w:r>
          </w:p>
        </w:tc>
        <w:tc>
          <w:tcPr>
            <w:tcW w:w="1020" w:type="dxa"/>
            <w:tcBorders>
              <w:top w:val="nil"/>
              <w:left w:val="nil"/>
              <w:bottom w:val="nil"/>
              <w:right w:val="nil"/>
            </w:tcBorders>
          </w:tcPr>
          <w:p w14:paraId="056CC6A9"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9.27</w:t>
            </w:r>
          </w:p>
        </w:tc>
        <w:tc>
          <w:tcPr>
            <w:tcW w:w="1134" w:type="dxa"/>
            <w:tcBorders>
              <w:top w:val="nil"/>
              <w:left w:val="nil"/>
              <w:bottom w:val="nil"/>
              <w:right w:val="nil"/>
            </w:tcBorders>
          </w:tcPr>
          <w:p w14:paraId="390E068E"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r>
      <w:tr w:rsidR="002C4D9C" w:rsidRPr="005D0BC8" w14:paraId="21ADCB75" w14:textId="77777777" w:rsidTr="00AA2A6E">
        <w:tc>
          <w:tcPr>
            <w:tcW w:w="907" w:type="dxa"/>
            <w:tcBorders>
              <w:top w:val="nil"/>
              <w:left w:val="nil"/>
              <w:bottom w:val="nil"/>
              <w:right w:val="nil"/>
            </w:tcBorders>
          </w:tcPr>
          <w:p w14:paraId="25DD1129" w14:textId="2A88C56E"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NE</w:t>
            </w:r>
          </w:p>
        </w:tc>
        <w:tc>
          <w:tcPr>
            <w:tcW w:w="1416" w:type="dxa"/>
            <w:tcBorders>
              <w:top w:val="nil"/>
              <w:left w:val="nil"/>
              <w:bottom w:val="nil"/>
              <w:right w:val="nil"/>
            </w:tcBorders>
          </w:tcPr>
          <w:p w14:paraId="2CE82BCF"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7.18</w:t>
            </w:r>
          </w:p>
        </w:tc>
        <w:tc>
          <w:tcPr>
            <w:tcW w:w="964" w:type="dxa"/>
            <w:tcBorders>
              <w:top w:val="nil"/>
              <w:left w:val="nil"/>
              <w:bottom w:val="nil"/>
              <w:right w:val="nil"/>
            </w:tcBorders>
          </w:tcPr>
          <w:p w14:paraId="61E57CD6"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2.33</w:t>
            </w:r>
          </w:p>
        </w:tc>
        <w:tc>
          <w:tcPr>
            <w:tcW w:w="1020" w:type="dxa"/>
            <w:tcBorders>
              <w:top w:val="nil"/>
              <w:left w:val="nil"/>
              <w:bottom w:val="nil"/>
              <w:right w:val="nil"/>
            </w:tcBorders>
          </w:tcPr>
          <w:p w14:paraId="3BF31960"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0.00</w:t>
            </w:r>
          </w:p>
        </w:tc>
        <w:tc>
          <w:tcPr>
            <w:tcW w:w="1020" w:type="dxa"/>
            <w:tcBorders>
              <w:top w:val="nil"/>
              <w:left w:val="nil"/>
              <w:bottom w:val="nil"/>
              <w:right w:val="nil"/>
            </w:tcBorders>
          </w:tcPr>
          <w:p w14:paraId="78214679"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5.00</w:t>
            </w:r>
          </w:p>
        </w:tc>
        <w:tc>
          <w:tcPr>
            <w:tcW w:w="1134" w:type="dxa"/>
            <w:tcBorders>
              <w:top w:val="nil"/>
              <w:left w:val="nil"/>
              <w:bottom w:val="nil"/>
              <w:right w:val="nil"/>
            </w:tcBorders>
          </w:tcPr>
          <w:p w14:paraId="2F997E8D"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7.00</w:t>
            </w:r>
          </w:p>
        </w:tc>
        <w:tc>
          <w:tcPr>
            <w:tcW w:w="1077" w:type="dxa"/>
            <w:tcBorders>
              <w:top w:val="nil"/>
              <w:left w:val="nil"/>
              <w:bottom w:val="nil"/>
              <w:right w:val="nil"/>
            </w:tcBorders>
          </w:tcPr>
          <w:p w14:paraId="2E98C4F6"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9.00</w:t>
            </w:r>
          </w:p>
        </w:tc>
        <w:tc>
          <w:tcPr>
            <w:tcW w:w="1020" w:type="dxa"/>
            <w:tcBorders>
              <w:top w:val="nil"/>
              <w:left w:val="nil"/>
              <w:bottom w:val="nil"/>
              <w:right w:val="nil"/>
            </w:tcBorders>
          </w:tcPr>
          <w:p w14:paraId="35C8CDC3"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12.00</w:t>
            </w:r>
          </w:p>
        </w:tc>
        <w:tc>
          <w:tcPr>
            <w:tcW w:w="1134" w:type="dxa"/>
            <w:tcBorders>
              <w:top w:val="nil"/>
              <w:left w:val="nil"/>
              <w:bottom w:val="nil"/>
              <w:right w:val="nil"/>
            </w:tcBorders>
          </w:tcPr>
          <w:p w14:paraId="738A74BF"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r>
      <w:tr w:rsidR="002C4D9C" w:rsidRPr="005D0BC8" w14:paraId="44486607" w14:textId="77777777" w:rsidTr="00AA2A6E">
        <w:tc>
          <w:tcPr>
            <w:tcW w:w="907" w:type="dxa"/>
            <w:tcBorders>
              <w:top w:val="nil"/>
              <w:left w:val="nil"/>
              <w:bottom w:val="nil"/>
              <w:right w:val="nil"/>
            </w:tcBorders>
          </w:tcPr>
          <w:p w14:paraId="23631BF3" w14:textId="133A1941"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BS</w:t>
            </w:r>
          </w:p>
        </w:tc>
        <w:tc>
          <w:tcPr>
            <w:tcW w:w="1416" w:type="dxa"/>
            <w:tcBorders>
              <w:top w:val="nil"/>
              <w:left w:val="nil"/>
              <w:bottom w:val="nil"/>
              <w:right w:val="nil"/>
            </w:tcBorders>
          </w:tcPr>
          <w:p w14:paraId="2C3407F4"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10.89</w:t>
            </w:r>
          </w:p>
        </w:tc>
        <w:tc>
          <w:tcPr>
            <w:tcW w:w="964" w:type="dxa"/>
            <w:tcBorders>
              <w:top w:val="nil"/>
              <w:left w:val="nil"/>
              <w:bottom w:val="nil"/>
              <w:right w:val="nil"/>
            </w:tcBorders>
          </w:tcPr>
          <w:p w14:paraId="6321EAD7"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2.61</w:t>
            </w:r>
          </w:p>
        </w:tc>
        <w:tc>
          <w:tcPr>
            <w:tcW w:w="1020" w:type="dxa"/>
            <w:tcBorders>
              <w:top w:val="nil"/>
              <w:left w:val="nil"/>
              <w:bottom w:val="nil"/>
              <w:right w:val="nil"/>
            </w:tcBorders>
          </w:tcPr>
          <w:p w14:paraId="273B13B9"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5.00</w:t>
            </w:r>
          </w:p>
        </w:tc>
        <w:tc>
          <w:tcPr>
            <w:tcW w:w="1020" w:type="dxa"/>
            <w:tcBorders>
              <w:top w:val="nil"/>
              <w:left w:val="nil"/>
              <w:bottom w:val="nil"/>
              <w:right w:val="nil"/>
            </w:tcBorders>
          </w:tcPr>
          <w:p w14:paraId="20705CFA"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9.00</w:t>
            </w:r>
          </w:p>
        </w:tc>
        <w:tc>
          <w:tcPr>
            <w:tcW w:w="1134" w:type="dxa"/>
            <w:tcBorders>
              <w:top w:val="nil"/>
              <w:left w:val="nil"/>
              <w:bottom w:val="nil"/>
              <w:right w:val="nil"/>
            </w:tcBorders>
          </w:tcPr>
          <w:p w14:paraId="11ABA236"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11.00</w:t>
            </w:r>
          </w:p>
        </w:tc>
        <w:tc>
          <w:tcPr>
            <w:tcW w:w="1077" w:type="dxa"/>
            <w:tcBorders>
              <w:top w:val="nil"/>
              <w:left w:val="nil"/>
              <w:bottom w:val="nil"/>
              <w:right w:val="nil"/>
            </w:tcBorders>
          </w:tcPr>
          <w:p w14:paraId="007ABEB9"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12.00</w:t>
            </w:r>
          </w:p>
        </w:tc>
        <w:tc>
          <w:tcPr>
            <w:tcW w:w="1020" w:type="dxa"/>
            <w:tcBorders>
              <w:top w:val="nil"/>
              <w:left w:val="nil"/>
              <w:bottom w:val="nil"/>
              <w:right w:val="nil"/>
            </w:tcBorders>
          </w:tcPr>
          <w:p w14:paraId="7FF36F28"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16.00</w:t>
            </w:r>
          </w:p>
        </w:tc>
        <w:tc>
          <w:tcPr>
            <w:tcW w:w="1134" w:type="dxa"/>
            <w:tcBorders>
              <w:top w:val="nil"/>
              <w:left w:val="nil"/>
              <w:bottom w:val="nil"/>
              <w:right w:val="nil"/>
            </w:tcBorders>
          </w:tcPr>
          <w:p w14:paraId="38FC5B54"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r>
      <w:tr w:rsidR="002C4D9C" w:rsidRPr="005D0BC8" w14:paraId="750F17BC" w14:textId="77777777" w:rsidTr="00AA2A6E">
        <w:tc>
          <w:tcPr>
            <w:tcW w:w="907" w:type="dxa"/>
            <w:tcBorders>
              <w:top w:val="nil"/>
              <w:left w:val="nil"/>
              <w:bottom w:val="nil"/>
              <w:right w:val="nil"/>
            </w:tcBorders>
          </w:tcPr>
          <w:p w14:paraId="287F0372" w14:textId="77777777"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AGE</w:t>
            </w:r>
          </w:p>
        </w:tc>
        <w:tc>
          <w:tcPr>
            <w:tcW w:w="1416" w:type="dxa"/>
            <w:tcBorders>
              <w:top w:val="nil"/>
              <w:left w:val="nil"/>
              <w:bottom w:val="nil"/>
              <w:right w:val="nil"/>
            </w:tcBorders>
          </w:tcPr>
          <w:p w14:paraId="2BB3EB48"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56.64</w:t>
            </w:r>
          </w:p>
        </w:tc>
        <w:tc>
          <w:tcPr>
            <w:tcW w:w="964" w:type="dxa"/>
            <w:tcBorders>
              <w:top w:val="nil"/>
              <w:left w:val="nil"/>
              <w:bottom w:val="nil"/>
              <w:right w:val="nil"/>
            </w:tcBorders>
          </w:tcPr>
          <w:p w14:paraId="3055EBD8"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2.91</w:t>
            </w:r>
          </w:p>
        </w:tc>
        <w:tc>
          <w:tcPr>
            <w:tcW w:w="1020" w:type="dxa"/>
            <w:tcBorders>
              <w:top w:val="nil"/>
              <w:left w:val="nil"/>
              <w:bottom w:val="nil"/>
              <w:right w:val="nil"/>
            </w:tcBorders>
          </w:tcPr>
          <w:p w14:paraId="6B458A45"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46.50</w:t>
            </w:r>
          </w:p>
        </w:tc>
        <w:tc>
          <w:tcPr>
            <w:tcW w:w="1020" w:type="dxa"/>
            <w:tcBorders>
              <w:top w:val="nil"/>
              <w:left w:val="nil"/>
              <w:bottom w:val="nil"/>
              <w:right w:val="nil"/>
            </w:tcBorders>
          </w:tcPr>
          <w:p w14:paraId="65D659DF"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54.77</w:t>
            </w:r>
          </w:p>
        </w:tc>
        <w:tc>
          <w:tcPr>
            <w:tcW w:w="1134" w:type="dxa"/>
            <w:tcBorders>
              <w:top w:val="nil"/>
              <w:left w:val="nil"/>
              <w:bottom w:val="nil"/>
              <w:right w:val="nil"/>
            </w:tcBorders>
          </w:tcPr>
          <w:p w14:paraId="6B42B3EC"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57.00</w:t>
            </w:r>
          </w:p>
        </w:tc>
        <w:tc>
          <w:tcPr>
            <w:tcW w:w="1077" w:type="dxa"/>
            <w:tcBorders>
              <w:top w:val="nil"/>
              <w:left w:val="nil"/>
              <w:bottom w:val="nil"/>
              <w:right w:val="nil"/>
            </w:tcBorders>
          </w:tcPr>
          <w:p w14:paraId="78FD64DC"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58.70</w:t>
            </w:r>
          </w:p>
        </w:tc>
        <w:tc>
          <w:tcPr>
            <w:tcW w:w="1020" w:type="dxa"/>
            <w:tcBorders>
              <w:top w:val="nil"/>
              <w:left w:val="nil"/>
              <w:bottom w:val="nil"/>
              <w:right w:val="nil"/>
            </w:tcBorders>
          </w:tcPr>
          <w:p w14:paraId="2C133D24"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60.80</w:t>
            </w:r>
          </w:p>
        </w:tc>
        <w:tc>
          <w:tcPr>
            <w:tcW w:w="1134" w:type="dxa"/>
            <w:tcBorders>
              <w:top w:val="nil"/>
              <w:left w:val="nil"/>
              <w:bottom w:val="nil"/>
              <w:right w:val="nil"/>
            </w:tcBorders>
          </w:tcPr>
          <w:p w14:paraId="791D533C"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r>
      <w:tr w:rsidR="002C4D9C" w:rsidRPr="005D0BC8" w14:paraId="7D8F4C5E" w14:textId="77777777" w:rsidTr="00AA2A6E">
        <w:tc>
          <w:tcPr>
            <w:tcW w:w="907" w:type="dxa"/>
            <w:tcBorders>
              <w:top w:val="nil"/>
              <w:left w:val="nil"/>
              <w:bottom w:val="nil"/>
              <w:right w:val="nil"/>
            </w:tcBorders>
          </w:tcPr>
          <w:p w14:paraId="5F0E79B6" w14:textId="77777777"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TEN</w:t>
            </w:r>
          </w:p>
        </w:tc>
        <w:tc>
          <w:tcPr>
            <w:tcW w:w="1416" w:type="dxa"/>
            <w:tcBorders>
              <w:top w:val="nil"/>
              <w:left w:val="nil"/>
              <w:bottom w:val="nil"/>
              <w:right w:val="nil"/>
            </w:tcBorders>
          </w:tcPr>
          <w:p w14:paraId="4960230B"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5.32</w:t>
            </w:r>
          </w:p>
        </w:tc>
        <w:tc>
          <w:tcPr>
            <w:tcW w:w="964" w:type="dxa"/>
            <w:tcBorders>
              <w:top w:val="nil"/>
              <w:left w:val="nil"/>
              <w:bottom w:val="nil"/>
              <w:right w:val="nil"/>
            </w:tcBorders>
          </w:tcPr>
          <w:p w14:paraId="082D345E"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4.06</w:t>
            </w:r>
          </w:p>
        </w:tc>
        <w:tc>
          <w:tcPr>
            <w:tcW w:w="1020" w:type="dxa"/>
            <w:tcBorders>
              <w:top w:val="nil"/>
              <w:left w:val="nil"/>
              <w:bottom w:val="nil"/>
              <w:right w:val="nil"/>
            </w:tcBorders>
          </w:tcPr>
          <w:p w14:paraId="493EA5AE"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0.00</w:t>
            </w:r>
          </w:p>
        </w:tc>
        <w:tc>
          <w:tcPr>
            <w:tcW w:w="1020" w:type="dxa"/>
            <w:tcBorders>
              <w:top w:val="nil"/>
              <w:left w:val="nil"/>
              <w:bottom w:val="nil"/>
              <w:right w:val="nil"/>
            </w:tcBorders>
          </w:tcPr>
          <w:p w14:paraId="0366F282"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2.58</w:t>
            </w:r>
          </w:p>
        </w:tc>
        <w:tc>
          <w:tcPr>
            <w:tcW w:w="1134" w:type="dxa"/>
            <w:tcBorders>
              <w:top w:val="nil"/>
              <w:left w:val="nil"/>
              <w:bottom w:val="nil"/>
              <w:right w:val="nil"/>
            </w:tcBorders>
          </w:tcPr>
          <w:p w14:paraId="1F722717"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4.17</w:t>
            </w:r>
          </w:p>
        </w:tc>
        <w:tc>
          <w:tcPr>
            <w:tcW w:w="1077" w:type="dxa"/>
            <w:tcBorders>
              <w:top w:val="nil"/>
              <w:left w:val="nil"/>
              <w:bottom w:val="nil"/>
              <w:right w:val="nil"/>
            </w:tcBorders>
          </w:tcPr>
          <w:p w14:paraId="79526A3B"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7.07</w:t>
            </w:r>
          </w:p>
        </w:tc>
        <w:tc>
          <w:tcPr>
            <w:tcW w:w="1020" w:type="dxa"/>
            <w:tcBorders>
              <w:top w:val="nil"/>
              <w:left w:val="nil"/>
              <w:bottom w:val="nil"/>
              <w:right w:val="nil"/>
            </w:tcBorders>
          </w:tcPr>
          <w:p w14:paraId="69C24135"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13.54</w:t>
            </w:r>
          </w:p>
        </w:tc>
        <w:tc>
          <w:tcPr>
            <w:tcW w:w="1134" w:type="dxa"/>
            <w:tcBorders>
              <w:top w:val="nil"/>
              <w:left w:val="nil"/>
              <w:bottom w:val="nil"/>
              <w:right w:val="nil"/>
            </w:tcBorders>
          </w:tcPr>
          <w:p w14:paraId="5C4C7E1F"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r>
      <w:tr w:rsidR="002C4D9C" w:rsidRPr="005D0BC8" w14:paraId="364F9CE5" w14:textId="77777777" w:rsidTr="00AA2A6E">
        <w:tc>
          <w:tcPr>
            <w:tcW w:w="907" w:type="dxa"/>
            <w:tcBorders>
              <w:top w:val="nil"/>
              <w:left w:val="nil"/>
              <w:bottom w:val="single" w:sz="4" w:space="0" w:color="auto"/>
              <w:right w:val="nil"/>
            </w:tcBorders>
          </w:tcPr>
          <w:p w14:paraId="7D719B92" w14:textId="77777777"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GDR</w:t>
            </w:r>
          </w:p>
        </w:tc>
        <w:tc>
          <w:tcPr>
            <w:tcW w:w="1416" w:type="dxa"/>
            <w:tcBorders>
              <w:top w:val="nil"/>
              <w:left w:val="nil"/>
              <w:bottom w:val="single" w:sz="4" w:space="0" w:color="auto"/>
              <w:right w:val="nil"/>
            </w:tcBorders>
          </w:tcPr>
          <w:p w14:paraId="0A6A1FC3"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1.43</w:t>
            </w:r>
          </w:p>
        </w:tc>
        <w:tc>
          <w:tcPr>
            <w:tcW w:w="964" w:type="dxa"/>
            <w:tcBorders>
              <w:top w:val="nil"/>
              <w:left w:val="nil"/>
              <w:bottom w:val="single" w:sz="4" w:space="0" w:color="auto"/>
              <w:right w:val="nil"/>
            </w:tcBorders>
          </w:tcPr>
          <w:p w14:paraId="245128B9"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0.99</w:t>
            </w:r>
          </w:p>
        </w:tc>
        <w:tc>
          <w:tcPr>
            <w:tcW w:w="1020" w:type="dxa"/>
            <w:tcBorders>
              <w:top w:val="nil"/>
              <w:left w:val="nil"/>
              <w:bottom w:val="single" w:sz="4" w:space="0" w:color="auto"/>
              <w:right w:val="nil"/>
            </w:tcBorders>
          </w:tcPr>
          <w:p w14:paraId="5894137A"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0.00</w:t>
            </w:r>
          </w:p>
        </w:tc>
        <w:tc>
          <w:tcPr>
            <w:tcW w:w="1020" w:type="dxa"/>
            <w:tcBorders>
              <w:top w:val="nil"/>
              <w:left w:val="nil"/>
              <w:bottom w:val="single" w:sz="4" w:space="0" w:color="auto"/>
              <w:right w:val="nil"/>
            </w:tcBorders>
          </w:tcPr>
          <w:p w14:paraId="43BC1A18"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1.00</w:t>
            </w:r>
          </w:p>
        </w:tc>
        <w:tc>
          <w:tcPr>
            <w:tcW w:w="1134" w:type="dxa"/>
            <w:tcBorders>
              <w:top w:val="nil"/>
              <w:left w:val="nil"/>
              <w:bottom w:val="single" w:sz="4" w:space="0" w:color="auto"/>
              <w:right w:val="nil"/>
            </w:tcBorders>
          </w:tcPr>
          <w:p w14:paraId="2241DE57"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1.00</w:t>
            </w:r>
          </w:p>
        </w:tc>
        <w:tc>
          <w:tcPr>
            <w:tcW w:w="1077" w:type="dxa"/>
            <w:tcBorders>
              <w:top w:val="nil"/>
              <w:left w:val="nil"/>
              <w:bottom w:val="single" w:sz="4" w:space="0" w:color="auto"/>
              <w:right w:val="nil"/>
            </w:tcBorders>
          </w:tcPr>
          <w:p w14:paraId="53FB7E5B"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2.00</w:t>
            </w:r>
          </w:p>
        </w:tc>
        <w:tc>
          <w:tcPr>
            <w:tcW w:w="1020" w:type="dxa"/>
            <w:tcBorders>
              <w:top w:val="nil"/>
              <w:left w:val="nil"/>
              <w:bottom w:val="single" w:sz="4" w:space="0" w:color="auto"/>
              <w:right w:val="nil"/>
            </w:tcBorders>
          </w:tcPr>
          <w:p w14:paraId="722B3F39"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3.00</w:t>
            </w:r>
          </w:p>
        </w:tc>
        <w:tc>
          <w:tcPr>
            <w:tcW w:w="1134" w:type="dxa"/>
            <w:tcBorders>
              <w:top w:val="nil"/>
              <w:left w:val="nil"/>
              <w:bottom w:val="single" w:sz="4" w:space="0" w:color="auto"/>
              <w:right w:val="nil"/>
            </w:tcBorders>
          </w:tcPr>
          <w:p w14:paraId="00256991"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r>
      <w:tr w:rsidR="002C4D9C" w:rsidRPr="005D0BC8" w14:paraId="19DC36D1" w14:textId="77777777" w:rsidTr="00AA2A6E">
        <w:tc>
          <w:tcPr>
            <w:tcW w:w="907" w:type="dxa"/>
            <w:tcBorders>
              <w:top w:val="nil"/>
              <w:left w:val="nil"/>
              <w:bottom w:val="single" w:sz="4" w:space="0" w:color="auto"/>
              <w:right w:val="nil"/>
            </w:tcBorders>
          </w:tcPr>
          <w:p w14:paraId="2742C008" w14:textId="77777777" w:rsidR="002C4D9C" w:rsidRPr="005D0BC8" w:rsidRDefault="002C4D9C" w:rsidP="00AA2A6E">
            <w:pPr>
              <w:widowControl w:val="0"/>
              <w:autoSpaceDE w:val="0"/>
              <w:autoSpaceDN w:val="0"/>
              <w:adjustRightInd w:val="0"/>
              <w:spacing w:after="0" w:line="240" w:lineRule="auto"/>
              <w:rPr>
                <w:rFonts w:ascii="Times New Roman" w:hAnsi="Times New Roman" w:cs="Times New Roman"/>
                <w:sz w:val="20"/>
                <w:szCs w:val="20"/>
                <w:lang w:val="en-US"/>
              </w:rPr>
            </w:pPr>
            <w:r w:rsidRPr="005D0BC8">
              <w:rPr>
                <w:rFonts w:ascii="Times New Roman" w:hAnsi="Times New Roman" w:cs="Times New Roman"/>
                <w:sz w:val="20"/>
                <w:szCs w:val="20"/>
                <w:lang w:val="en-US"/>
              </w:rPr>
              <w:t>N</w:t>
            </w:r>
          </w:p>
        </w:tc>
        <w:tc>
          <w:tcPr>
            <w:tcW w:w="1416" w:type="dxa"/>
            <w:tcBorders>
              <w:top w:val="nil"/>
              <w:left w:val="nil"/>
              <w:bottom w:val="single" w:sz="4" w:space="0" w:color="auto"/>
              <w:right w:val="nil"/>
            </w:tcBorders>
          </w:tcPr>
          <w:p w14:paraId="46CDB5AB"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D0BC8">
              <w:rPr>
                <w:rFonts w:ascii="Times New Roman" w:hAnsi="Times New Roman" w:cs="Times New Roman"/>
                <w:sz w:val="20"/>
                <w:szCs w:val="20"/>
                <w:lang w:val="en-US"/>
              </w:rPr>
              <w:t>575</w:t>
            </w:r>
          </w:p>
        </w:tc>
        <w:tc>
          <w:tcPr>
            <w:tcW w:w="964" w:type="dxa"/>
            <w:tcBorders>
              <w:top w:val="nil"/>
              <w:left w:val="nil"/>
              <w:bottom w:val="single" w:sz="4" w:space="0" w:color="auto"/>
              <w:right w:val="nil"/>
            </w:tcBorders>
          </w:tcPr>
          <w:p w14:paraId="5CBF34E4"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20" w:type="dxa"/>
            <w:tcBorders>
              <w:top w:val="nil"/>
              <w:left w:val="nil"/>
              <w:bottom w:val="single" w:sz="4" w:space="0" w:color="auto"/>
              <w:right w:val="nil"/>
            </w:tcBorders>
          </w:tcPr>
          <w:p w14:paraId="2E5CEB84"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20" w:type="dxa"/>
            <w:tcBorders>
              <w:top w:val="nil"/>
              <w:left w:val="nil"/>
              <w:bottom w:val="single" w:sz="4" w:space="0" w:color="auto"/>
              <w:right w:val="nil"/>
            </w:tcBorders>
          </w:tcPr>
          <w:p w14:paraId="3DC3F4E1"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nil"/>
              <w:left w:val="nil"/>
              <w:bottom w:val="single" w:sz="4" w:space="0" w:color="auto"/>
              <w:right w:val="nil"/>
            </w:tcBorders>
          </w:tcPr>
          <w:p w14:paraId="219631FC"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77" w:type="dxa"/>
            <w:tcBorders>
              <w:top w:val="nil"/>
              <w:left w:val="nil"/>
              <w:bottom w:val="single" w:sz="4" w:space="0" w:color="auto"/>
              <w:right w:val="nil"/>
            </w:tcBorders>
          </w:tcPr>
          <w:p w14:paraId="1A0846A6"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20" w:type="dxa"/>
            <w:tcBorders>
              <w:top w:val="nil"/>
              <w:left w:val="nil"/>
              <w:bottom w:val="single" w:sz="4" w:space="0" w:color="auto"/>
              <w:right w:val="nil"/>
            </w:tcBorders>
          </w:tcPr>
          <w:p w14:paraId="4A8B0753"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nil"/>
              <w:left w:val="nil"/>
              <w:bottom w:val="single" w:sz="4" w:space="0" w:color="auto"/>
              <w:right w:val="nil"/>
            </w:tcBorders>
          </w:tcPr>
          <w:p w14:paraId="52A4DDC2" w14:textId="77777777" w:rsidR="002C4D9C" w:rsidRPr="005D0BC8" w:rsidRDefault="002C4D9C" w:rsidP="00AA2A6E">
            <w:pPr>
              <w:widowControl w:val="0"/>
              <w:autoSpaceDE w:val="0"/>
              <w:autoSpaceDN w:val="0"/>
              <w:adjustRightInd w:val="0"/>
              <w:spacing w:after="0" w:line="240" w:lineRule="auto"/>
              <w:jc w:val="center"/>
              <w:rPr>
                <w:rFonts w:ascii="Times New Roman" w:hAnsi="Times New Roman" w:cs="Times New Roman"/>
                <w:sz w:val="20"/>
                <w:szCs w:val="20"/>
                <w:lang w:val="en-US"/>
              </w:rPr>
            </w:pPr>
          </w:p>
        </w:tc>
      </w:tr>
    </w:tbl>
    <w:p w14:paraId="14E2998C" w14:textId="46EF4A5D" w:rsidR="00364E95" w:rsidRDefault="003D4BF9" w:rsidP="003D4BF9">
      <w:pPr>
        <w:widowControl w:val="0"/>
        <w:autoSpaceDE w:val="0"/>
        <w:autoSpaceDN w:val="0"/>
        <w:adjustRightInd w:val="0"/>
        <w:jc w:val="both"/>
        <w:rPr>
          <w:rFonts w:ascii="Times New Roman" w:hAnsi="Times New Roman"/>
          <w:sz w:val="18"/>
          <w:szCs w:val="18"/>
        </w:rPr>
      </w:pPr>
      <w:r w:rsidRPr="007E7774">
        <w:rPr>
          <w:rFonts w:ascii="Times New Roman" w:hAnsi="Times New Roman"/>
          <w:sz w:val="18"/>
          <w:szCs w:val="18"/>
        </w:rPr>
        <w:t>The table presents the summary statistics of all the variables used in our analysis. Variable definitions are provided in Table 1</w:t>
      </w:r>
    </w:p>
    <w:p w14:paraId="6504AC39" w14:textId="797AE576" w:rsidR="003D4BF9" w:rsidRDefault="003D4BF9" w:rsidP="003D4BF9">
      <w:pPr>
        <w:widowControl w:val="0"/>
        <w:autoSpaceDE w:val="0"/>
        <w:autoSpaceDN w:val="0"/>
        <w:adjustRightInd w:val="0"/>
        <w:jc w:val="both"/>
        <w:rPr>
          <w:rFonts w:ascii="Times New Roman" w:hAnsi="Times New Roman"/>
          <w:sz w:val="18"/>
          <w:szCs w:val="18"/>
        </w:rPr>
      </w:pPr>
    </w:p>
    <w:p w14:paraId="7AC1D055" w14:textId="738A2B34" w:rsidR="003D4BF9" w:rsidRDefault="003D4BF9" w:rsidP="003D4BF9">
      <w:pPr>
        <w:widowControl w:val="0"/>
        <w:autoSpaceDE w:val="0"/>
        <w:autoSpaceDN w:val="0"/>
        <w:adjustRightInd w:val="0"/>
        <w:jc w:val="both"/>
        <w:rPr>
          <w:rFonts w:ascii="Times New Roman" w:hAnsi="Times New Roman"/>
          <w:sz w:val="18"/>
          <w:szCs w:val="18"/>
        </w:rPr>
      </w:pPr>
    </w:p>
    <w:p w14:paraId="16A869F2" w14:textId="55F52CB9" w:rsidR="003D4BF9" w:rsidRDefault="003D4BF9" w:rsidP="003D4BF9">
      <w:pPr>
        <w:widowControl w:val="0"/>
        <w:autoSpaceDE w:val="0"/>
        <w:autoSpaceDN w:val="0"/>
        <w:adjustRightInd w:val="0"/>
        <w:jc w:val="both"/>
        <w:rPr>
          <w:rFonts w:ascii="Times New Roman" w:hAnsi="Times New Roman"/>
          <w:sz w:val="18"/>
          <w:szCs w:val="18"/>
        </w:rPr>
      </w:pPr>
    </w:p>
    <w:p w14:paraId="39C19DCF" w14:textId="420D5F85" w:rsidR="003D4BF9" w:rsidRDefault="003D4BF9" w:rsidP="003D4BF9">
      <w:pPr>
        <w:widowControl w:val="0"/>
        <w:autoSpaceDE w:val="0"/>
        <w:autoSpaceDN w:val="0"/>
        <w:adjustRightInd w:val="0"/>
        <w:jc w:val="both"/>
        <w:rPr>
          <w:rFonts w:ascii="Times New Roman" w:hAnsi="Times New Roman"/>
          <w:sz w:val="18"/>
          <w:szCs w:val="18"/>
        </w:rPr>
      </w:pPr>
    </w:p>
    <w:p w14:paraId="16163CEC" w14:textId="6E2BE7C6" w:rsidR="00CD6B65" w:rsidRDefault="00CD6B65" w:rsidP="003D4BF9">
      <w:pPr>
        <w:widowControl w:val="0"/>
        <w:autoSpaceDE w:val="0"/>
        <w:autoSpaceDN w:val="0"/>
        <w:adjustRightInd w:val="0"/>
        <w:jc w:val="both"/>
        <w:rPr>
          <w:rFonts w:ascii="Times New Roman" w:hAnsi="Times New Roman"/>
          <w:sz w:val="18"/>
          <w:szCs w:val="18"/>
        </w:rPr>
      </w:pPr>
    </w:p>
    <w:p w14:paraId="2567800E" w14:textId="0EA86CEF" w:rsidR="00CD6B65" w:rsidRDefault="00CD6B65" w:rsidP="003D4BF9">
      <w:pPr>
        <w:widowControl w:val="0"/>
        <w:autoSpaceDE w:val="0"/>
        <w:autoSpaceDN w:val="0"/>
        <w:adjustRightInd w:val="0"/>
        <w:jc w:val="both"/>
        <w:rPr>
          <w:rFonts w:ascii="Times New Roman" w:hAnsi="Times New Roman"/>
          <w:sz w:val="18"/>
          <w:szCs w:val="18"/>
        </w:rPr>
      </w:pPr>
    </w:p>
    <w:p w14:paraId="6E67CA1D" w14:textId="1EC1AAB5" w:rsidR="00CD6B65" w:rsidRDefault="00CD6B65" w:rsidP="003D4BF9">
      <w:pPr>
        <w:widowControl w:val="0"/>
        <w:autoSpaceDE w:val="0"/>
        <w:autoSpaceDN w:val="0"/>
        <w:adjustRightInd w:val="0"/>
        <w:jc w:val="both"/>
        <w:rPr>
          <w:rFonts w:ascii="Times New Roman" w:hAnsi="Times New Roman"/>
          <w:sz w:val="18"/>
          <w:szCs w:val="18"/>
        </w:rPr>
      </w:pPr>
    </w:p>
    <w:p w14:paraId="06BE9216" w14:textId="57F70F89" w:rsidR="00CD6B65" w:rsidRDefault="00CD6B65" w:rsidP="003D4BF9">
      <w:pPr>
        <w:widowControl w:val="0"/>
        <w:autoSpaceDE w:val="0"/>
        <w:autoSpaceDN w:val="0"/>
        <w:adjustRightInd w:val="0"/>
        <w:jc w:val="both"/>
        <w:rPr>
          <w:rFonts w:ascii="Times New Roman" w:hAnsi="Times New Roman"/>
          <w:sz w:val="18"/>
          <w:szCs w:val="18"/>
        </w:rPr>
      </w:pPr>
    </w:p>
    <w:p w14:paraId="3C1BE7CA" w14:textId="1598153D" w:rsidR="00CD6B65" w:rsidRDefault="00CD6B65" w:rsidP="003D4BF9">
      <w:pPr>
        <w:widowControl w:val="0"/>
        <w:autoSpaceDE w:val="0"/>
        <w:autoSpaceDN w:val="0"/>
        <w:adjustRightInd w:val="0"/>
        <w:jc w:val="both"/>
        <w:rPr>
          <w:rFonts w:ascii="Times New Roman" w:hAnsi="Times New Roman"/>
          <w:sz w:val="18"/>
          <w:szCs w:val="18"/>
        </w:rPr>
      </w:pPr>
    </w:p>
    <w:p w14:paraId="06738B5F" w14:textId="19B6768F" w:rsidR="00CD6B65" w:rsidRDefault="00CD6B65" w:rsidP="003D4BF9">
      <w:pPr>
        <w:widowControl w:val="0"/>
        <w:autoSpaceDE w:val="0"/>
        <w:autoSpaceDN w:val="0"/>
        <w:adjustRightInd w:val="0"/>
        <w:jc w:val="both"/>
        <w:rPr>
          <w:rFonts w:ascii="Times New Roman" w:hAnsi="Times New Roman"/>
          <w:sz w:val="18"/>
          <w:szCs w:val="18"/>
        </w:rPr>
      </w:pPr>
    </w:p>
    <w:p w14:paraId="07EF0486" w14:textId="778D4179" w:rsidR="00CD6B65" w:rsidRDefault="00CD6B65" w:rsidP="003D4BF9">
      <w:pPr>
        <w:widowControl w:val="0"/>
        <w:autoSpaceDE w:val="0"/>
        <w:autoSpaceDN w:val="0"/>
        <w:adjustRightInd w:val="0"/>
        <w:jc w:val="both"/>
        <w:rPr>
          <w:rFonts w:ascii="Times New Roman" w:hAnsi="Times New Roman"/>
          <w:sz w:val="18"/>
          <w:szCs w:val="18"/>
        </w:rPr>
      </w:pPr>
    </w:p>
    <w:p w14:paraId="0115B306" w14:textId="3881AE98" w:rsidR="00CD6B65" w:rsidRDefault="00CD6B65" w:rsidP="003D4BF9">
      <w:pPr>
        <w:widowControl w:val="0"/>
        <w:autoSpaceDE w:val="0"/>
        <w:autoSpaceDN w:val="0"/>
        <w:adjustRightInd w:val="0"/>
        <w:jc w:val="both"/>
        <w:rPr>
          <w:rFonts w:ascii="Times New Roman" w:hAnsi="Times New Roman"/>
          <w:sz w:val="18"/>
          <w:szCs w:val="18"/>
        </w:rPr>
      </w:pPr>
    </w:p>
    <w:p w14:paraId="6213C6A6" w14:textId="2BB8B3E9" w:rsidR="00CD6B65" w:rsidRDefault="00CD6B65" w:rsidP="003D4BF9">
      <w:pPr>
        <w:widowControl w:val="0"/>
        <w:autoSpaceDE w:val="0"/>
        <w:autoSpaceDN w:val="0"/>
        <w:adjustRightInd w:val="0"/>
        <w:jc w:val="both"/>
        <w:rPr>
          <w:rFonts w:ascii="Times New Roman" w:hAnsi="Times New Roman"/>
          <w:sz w:val="18"/>
          <w:szCs w:val="18"/>
        </w:rPr>
      </w:pPr>
    </w:p>
    <w:p w14:paraId="67DAB0CF" w14:textId="693851E8" w:rsidR="00CD6B65" w:rsidRDefault="00CD6B65" w:rsidP="003D4BF9">
      <w:pPr>
        <w:widowControl w:val="0"/>
        <w:autoSpaceDE w:val="0"/>
        <w:autoSpaceDN w:val="0"/>
        <w:adjustRightInd w:val="0"/>
        <w:jc w:val="both"/>
        <w:rPr>
          <w:rFonts w:ascii="Times New Roman" w:hAnsi="Times New Roman"/>
          <w:sz w:val="18"/>
          <w:szCs w:val="18"/>
        </w:rPr>
      </w:pPr>
    </w:p>
    <w:p w14:paraId="30AB2BB7" w14:textId="31B8DDAE" w:rsidR="000B1951" w:rsidRDefault="000B1951" w:rsidP="003D4BF9">
      <w:pPr>
        <w:widowControl w:val="0"/>
        <w:autoSpaceDE w:val="0"/>
        <w:autoSpaceDN w:val="0"/>
        <w:adjustRightInd w:val="0"/>
        <w:jc w:val="both"/>
        <w:rPr>
          <w:rFonts w:ascii="Times New Roman" w:hAnsi="Times New Roman"/>
          <w:sz w:val="18"/>
          <w:szCs w:val="18"/>
        </w:rPr>
      </w:pPr>
    </w:p>
    <w:p w14:paraId="1C1D19A8" w14:textId="236DF369" w:rsidR="000B1951" w:rsidRDefault="000B1951" w:rsidP="003D4BF9">
      <w:pPr>
        <w:widowControl w:val="0"/>
        <w:autoSpaceDE w:val="0"/>
        <w:autoSpaceDN w:val="0"/>
        <w:adjustRightInd w:val="0"/>
        <w:jc w:val="both"/>
        <w:rPr>
          <w:rFonts w:ascii="Times New Roman" w:hAnsi="Times New Roman"/>
          <w:sz w:val="18"/>
          <w:szCs w:val="18"/>
        </w:rPr>
      </w:pPr>
    </w:p>
    <w:p w14:paraId="4C1FD185" w14:textId="7BB5B501" w:rsidR="000B1951" w:rsidRDefault="000B1951" w:rsidP="003D4BF9">
      <w:pPr>
        <w:widowControl w:val="0"/>
        <w:autoSpaceDE w:val="0"/>
        <w:autoSpaceDN w:val="0"/>
        <w:adjustRightInd w:val="0"/>
        <w:jc w:val="both"/>
        <w:rPr>
          <w:rFonts w:ascii="Times New Roman" w:hAnsi="Times New Roman"/>
          <w:sz w:val="18"/>
          <w:szCs w:val="18"/>
        </w:rPr>
      </w:pPr>
    </w:p>
    <w:p w14:paraId="04EDD177" w14:textId="32897D80" w:rsidR="000B1951" w:rsidRDefault="000B1951" w:rsidP="003D4BF9">
      <w:pPr>
        <w:widowControl w:val="0"/>
        <w:autoSpaceDE w:val="0"/>
        <w:autoSpaceDN w:val="0"/>
        <w:adjustRightInd w:val="0"/>
        <w:jc w:val="both"/>
        <w:rPr>
          <w:rFonts w:ascii="Times New Roman" w:hAnsi="Times New Roman"/>
          <w:sz w:val="18"/>
          <w:szCs w:val="18"/>
        </w:rPr>
      </w:pPr>
    </w:p>
    <w:p w14:paraId="5FA064F9" w14:textId="77777777" w:rsidR="000B1951" w:rsidRDefault="000B1951" w:rsidP="003D4BF9">
      <w:pPr>
        <w:widowControl w:val="0"/>
        <w:autoSpaceDE w:val="0"/>
        <w:autoSpaceDN w:val="0"/>
        <w:adjustRightInd w:val="0"/>
        <w:jc w:val="both"/>
        <w:rPr>
          <w:rFonts w:ascii="Times New Roman" w:hAnsi="Times New Roman"/>
          <w:sz w:val="18"/>
          <w:szCs w:val="18"/>
        </w:rPr>
      </w:pPr>
    </w:p>
    <w:p w14:paraId="22419CB7" w14:textId="77777777" w:rsidR="003D25A1" w:rsidRDefault="003D25A1" w:rsidP="003D4BF9">
      <w:pPr>
        <w:widowControl w:val="0"/>
        <w:autoSpaceDE w:val="0"/>
        <w:autoSpaceDN w:val="0"/>
        <w:adjustRightInd w:val="0"/>
        <w:jc w:val="both"/>
        <w:rPr>
          <w:rFonts w:ascii="Times New Roman" w:hAnsi="Times New Roman"/>
          <w:sz w:val="18"/>
          <w:szCs w:val="18"/>
        </w:rPr>
        <w:sectPr w:rsidR="003D25A1">
          <w:pgSz w:w="11906" w:h="16838"/>
          <w:pgMar w:top="1440" w:right="1440" w:bottom="1440" w:left="1440" w:header="708" w:footer="708" w:gutter="0"/>
          <w:cols w:space="708"/>
          <w:docGrid w:linePitch="360"/>
        </w:sectPr>
      </w:pPr>
    </w:p>
    <w:p w14:paraId="4C719C28" w14:textId="5FBE4A9F" w:rsidR="00CD6B65" w:rsidRDefault="00CD6B65" w:rsidP="003D4BF9">
      <w:pPr>
        <w:widowControl w:val="0"/>
        <w:autoSpaceDE w:val="0"/>
        <w:autoSpaceDN w:val="0"/>
        <w:adjustRightInd w:val="0"/>
        <w:jc w:val="both"/>
        <w:rPr>
          <w:rFonts w:ascii="Times New Roman" w:hAnsi="Times New Roman"/>
          <w:sz w:val="18"/>
          <w:szCs w:val="18"/>
        </w:rPr>
      </w:pPr>
    </w:p>
    <w:p w14:paraId="07A7D393" w14:textId="4C6C5C1C" w:rsidR="00CD6B65" w:rsidRDefault="00CD6B65" w:rsidP="003D4BF9">
      <w:pPr>
        <w:widowControl w:val="0"/>
        <w:autoSpaceDE w:val="0"/>
        <w:autoSpaceDN w:val="0"/>
        <w:adjustRightInd w:val="0"/>
        <w:jc w:val="both"/>
        <w:rPr>
          <w:rFonts w:ascii="Times New Roman" w:hAnsi="Times New Roman"/>
          <w:sz w:val="18"/>
          <w:szCs w:val="18"/>
        </w:rPr>
      </w:pPr>
    </w:p>
    <w:p w14:paraId="7416705E" w14:textId="1BE1A9F5" w:rsidR="00CD6B65" w:rsidRDefault="00CD6B65" w:rsidP="003D4BF9">
      <w:pPr>
        <w:widowControl w:val="0"/>
        <w:autoSpaceDE w:val="0"/>
        <w:autoSpaceDN w:val="0"/>
        <w:adjustRightInd w:val="0"/>
        <w:jc w:val="both"/>
        <w:rPr>
          <w:rFonts w:ascii="Times New Roman" w:hAnsi="Times New Roman"/>
          <w:sz w:val="18"/>
          <w:szCs w:val="18"/>
        </w:rPr>
      </w:pPr>
    </w:p>
    <w:p w14:paraId="678D35C1" w14:textId="2F541EC8" w:rsidR="003D4BF9" w:rsidRDefault="003D4BF9" w:rsidP="003D4BF9">
      <w:pPr>
        <w:widowControl w:val="0"/>
        <w:autoSpaceDE w:val="0"/>
        <w:autoSpaceDN w:val="0"/>
        <w:adjustRightInd w:val="0"/>
        <w:jc w:val="both"/>
        <w:rPr>
          <w:rFonts w:ascii="Times New Roman" w:hAnsi="Times New Roman"/>
          <w:sz w:val="18"/>
          <w:szCs w:val="18"/>
        </w:rPr>
      </w:pPr>
    </w:p>
    <w:p w14:paraId="37C7BCA0" w14:textId="463635D4" w:rsidR="003D4BF9" w:rsidRPr="00CF5C8E" w:rsidRDefault="003D4BF9" w:rsidP="003D4BF9">
      <w:pPr>
        <w:widowControl w:val="0"/>
        <w:autoSpaceDE w:val="0"/>
        <w:autoSpaceDN w:val="0"/>
        <w:adjustRightInd w:val="0"/>
        <w:rPr>
          <w:rFonts w:ascii="Times New Roman" w:hAnsi="Times New Roman"/>
          <w:b/>
          <w:bCs/>
          <w:sz w:val="24"/>
          <w:szCs w:val="24"/>
        </w:rPr>
      </w:pPr>
      <w:r w:rsidRPr="00CF5C8E">
        <w:rPr>
          <w:rFonts w:ascii="Times New Roman" w:hAnsi="Times New Roman"/>
          <w:b/>
          <w:bCs/>
          <w:sz w:val="24"/>
          <w:szCs w:val="24"/>
        </w:rPr>
        <w:t>Table 3: Correlation matrix</w:t>
      </w:r>
    </w:p>
    <w:tbl>
      <w:tblPr>
        <w:tblW w:w="10400" w:type="dxa"/>
        <w:tblLook w:val="0000" w:firstRow="0" w:lastRow="0" w:firstColumn="0" w:lastColumn="0" w:noHBand="0" w:noVBand="0"/>
      </w:tblPr>
      <w:tblGrid>
        <w:gridCol w:w="554"/>
        <w:gridCol w:w="600"/>
        <w:gridCol w:w="600"/>
        <w:gridCol w:w="600"/>
        <w:gridCol w:w="600"/>
        <w:gridCol w:w="600"/>
        <w:gridCol w:w="600"/>
        <w:gridCol w:w="600"/>
        <w:gridCol w:w="550"/>
        <w:gridCol w:w="600"/>
        <w:gridCol w:w="600"/>
        <w:gridCol w:w="600"/>
        <w:gridCol w:w="550"/>
        <w:gridCol w:w="600"/>
        <w:gridCol w:w="550"/>
        <w:gridCol w:w="550"/>
        <w:gridCol w:w="550"/>
        <w:gridCol w:w="496"/>
      </w:tblGrid>
      <w:tr w:rsidR="000416A2" w:rsidRPr="000416A2" w14:paraId="40AE43AC" w14:textId="77777777" w:rsidTr="00AA2A6E">
        <w:trPr>
          <w:trHeight w:val="397"/>
        </w:trPr>
        <w:tc>
          <w:tcPr>
            <w:tcW w:w="554" w:type="dxa"/>
            <w:tcBorders>
              <w:top w:val="single" w:sz="4" w:space="0" w:color="auto"/>
              <w:left w:val="nil"/>
              <w:bottom w:val="nil"/>
              <w:right w:val="nil"/>
            </w:tcBorders>
          </w:tcPr>
          <w:p w14:paraId="22AFB31A"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bookmarkStart w:id="0" w:name="_Hlk101193394"/>
          </w:p>
        </w:tc>
        <w:tc>
          <w:tcPr>
            <w:tcW w:w="0" w:type="auto"/>
            <w:tcBorders>
              <w:top w:val="single" w:sz="4" w:space="0" w:color="auto"/>
              <w:left w:val="nil"/>
              <w:bottom w:val="nil"/>
              <w:right w:val="nil"/>
            </w:tcBorders>
          </w:tcPr>
          <w:p w14:paraId="4976A2FE"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6757CD1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2E644EB0"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592B938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77C7507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346809A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16472CB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438AB17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3AC7AF7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19A29A9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0E11FF4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637A3D5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639160C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5B3A37B0"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637737C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6FA382C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6EDD73B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540AF41B" w14:textId="77777777" w:rsidTr="00AA2A6E">
        <w:trPr>
          <w:trHeight w:val="397"/>
        </w:trPr>
        <w:tc>
          <w:tcPr>
            <w:tcW w:w="554" w:type="dxa"/>
            <w:tcBorders>
              <w:top w:val="nil"/>
              <w:left w:val="nil"/>
              <w:bottom w:val="nil"/>
              <w:right w:val="nil"/>
            </w:tcBorders>
          </w:tcPr>
          <w:p w14:paraId="7866FCDD"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p>
        </w:tc>
        <w:tc>
          <w:tcPr>
            <w:tcW w:w="0" w:type="auto"/>
            <w:tcBorders>
              <w:top w:val="nil"/>
              <w:left w:val="nil"/>
              <w:bottom w:val="nil"/>
              <w:right w:val="nil"/>
            </w:tcBorders>
          </w:tcPr>
          <w:p w14:paraId="21FFB34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w:t>
            </w:r>
          </w:p>
        </w:tc>
        <w:tc>
          <w:tcPr>
            <w:tcW w:w="0" w:type="auto"/>
            <w:tcBorders>
              <w:top w:val="nil"/>
              <w:left w:val="nil"/>
              <w:bottom w:val="nil"/>
              <w:right w:val="nil"/>
            </w:tcBorders>
          </w:tcPr>
          <w:p w14:paraId="698C9FF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2</w:t>
            </w:r>
          </w:p>
        </w:tc>
        <w:tc>
          <w:tcPr>
            <w:tcW w:w="0" w:type="auto"/>
            <w:tcBorders>
              <w:top w:val="nil"/>
              <w:left w:val="nil"/>
              <w:bottom w:val="nil"/>
              <w:right w:val="nil"/>
            </w:tcBorders>
          </w:tcPr>
          <w:p w14:paraId="52E1173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3</w:t>
            </w:r>
          </w:p>
        </w:tc>
        <w:tc>
          <w:tcPr>
            <w:tcW w:w="0" w:type="auto"/>
            <w:tcBorders>
              <w:top w:val="nil"/>
              <w:left w:val="nil"/>
              <w:bottom w:val="nil"/>
              <w:right w:val="nil"/>
            </w:tcBorders>
          </w:tcPr>
          <w:p w14:paraId="2044DFC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4</w:t>
            </w:r>
          </w:p>
        </w:tc>
        <w:tc>
          <w:tcPr>
            <w:tcW w:w="0" w:type="auto"/>
            <w:tcBorders>
              <w:top w:val="nil"/>
              <w:left w:val="nil"/>
              <w:bottom w:val="nil"/>
              <w:right w:val="nil"/>
            </w:tcBorders>
          </w:tcPr>
          <w:p w14:paraId="0D4937E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5</w:t>
            </w:r>
          </w:p>
        </w:tc>
        <w:tc>
          <w:tcPr>
            <w:tcW w:w="0" w:type="auto"/>
            <w:tcBorders>
              <w:top w:val="nil"/>
              <w:left w:val="nil"/>
              <w:bottom w:val="nil"/>
              <w:right w:val="nil"/>
            </w:tcBorders>
          </w:tcPr>
          <w:p w14:paraId="4CF32AC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6</w:t>
            </w:r>
          </w:p>
        </w:tc>
        <w:tc>
          <w:tcPr>
            <w:tcW w:w="0" w:type="auto"/>
            <w:tcBorders>
              <w:top w:val="nil"/>
              <w:left w:val="nil"/>
              <w:bottom w:val="nil"/>
              <w:right w:val="nil"/>
            </w:tcBorders>
          </w:tcPr>
          <w:p w14:paraId="27BD108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6</w:t>
            </w:r>
          </w:p>
        </w:tc>
        <w:tc>
          <w:tcPr>
            <w:tcW w:w="0" w:type="auto"/>
            <w:tcBorders>
              <w:top w:val="nil"/>
              <w:left w:val="nil"/>
              <w:bottom w:val="nil"/>
              <w:right w:val="nil"/>
            </w:tcBorders>
          </w:tcPr>
          <w:p w14:paraId="1B2FC4A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7</w:t>
            </w:r>
          </w:p>
        </w:tc>
        <w:tc>
          <w:tcPr>
            <w:tcW w:w="0" w:type="auto"/>
            <w:tcBorders>
              <w:top w:val="nil"/>
              <w:left w:val="nil"/>
              <w:bottom w:val="nil"/>
              <w:right w:val="nil"/>
            </w:tcBorders>
          </w:tcPr>
          <w:p w14:paraId="12987B6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8</w:t>
            </w:r>
          </w:p>
        </w:tc>
        <w:tc>
          <w:tcPr>
            <w:tcW w:w="0" w:type="auto"/>
            <w:tcBorders>
              <w:top w:val="nil"/>
              <w:left w:val="nil"/>
              <w:bottom w:val="nil"/>
              <w:right w:val="nil"/>
            </w:tcBorders>
          </w:tcPr>
          <w:p w14:paraId="7EC23F5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9</w:t>
            </w:r>
          </w:p>
        </w:tc>
        <w:tc>
          <w:tcPr>
            <w:tcW w:w="0" w:type="auto"/>
            <w:tcBorders>
              <w:top w:val="nil"/>
              <w:left w:val="nil"/>
              <w:bottom w:val="nil"/>
              <w:right w:val="nil"/>
            </w:tcBorders>
          </w:tcPr>
          <w:p w14:paraId="7D048CD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w:t>
            </w:r>
          </w:p>
        </w:tc>
        <w:tc>
          <w:tcPr>
            <w:tcW w:w="0" w:type="auto"/>
            <w:tcBorders>
              <w:top w:val="nil"/>
              <w:left w:val="nil"/>
              <w:bottom w:val="nil"/>
              <w:right w:val="nil"/>
            </w:tcBorders>
          </w:tcPr>
          <w:p w14:paraId="329B58B0"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11</w:t>
            </w:r>
          </w:p>
        </w:tc>
        <w:tc>
          <w:tcPr>
            <w:tcW w:w="0" w:type="auto"/>
            <w:tcBorders>
              <w:top w:val="nil"/>
              <w:left w:val="nil"/>
              <w:bottom w:val="nil"/>
              <w:right w:val="nil"/>
            </w:tcBorders>
          </w:tcPr>
          <w:p w14:paraId="0CA6304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12</w:t>
            </w:r>
          </w:p>
        </w:tc>
        <w:tc>
          <w:tcPr>
            <w:tcW w:w="0" w:type="auto"/>
            <w:tcBorders>
              <w:top w:val="nil"/>
              <w:left w:val="nil"/>
              <w:bottom w:val="nil"/>
              <w:right w:val="nil"/>
            </w:tcBorders>
          </w:tcPr>
          <w:p w14:paraId="5E96F38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13</w:t>
            </w:r>
          </w:p>
        </w:tc>
        <w:tc>
          <w:tcPr>
            <w:tcW w:w="0" w:type="auto"/>
            <w:tcBorders>
              <w:top w:val="nil"/>
              <w:left w:val="nil"/>
              <w:bottom w:val="nil"/>
              <w:right w:val="nil"/>
            </w:tcBorders>
          </w:tcPr>
          <w:p w14:paraId="600A474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14</w:t>
            </w:r>
          </w:p>
        </w:tc>
        <w:tc>
          <w:tcPr>
            <w:tcW w:w="0" w:type="auto"/>
            <w:tcBorders>
              <w:top w:val="nil"/>
              <w:left w:val="nil"/>
              <w:bottom w:val="nil"/>
              <w:right w:val="nil"/>
            </w:tcBorders>
          </w:tcPr>
          <w:p w14:paraId="055E686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15</w:t>
            </w:r>
          </w:p>
        </w:tc>
        <w:tc>
          <w:tcPr>
            <w:tcW w:w="0" w:type="auto"/>
            <w:tcBorders>
              <w:top w:val="nil"/>
              <w:left w:val="nil"/>
              <w:bottom w:val="nil"/>
              <w:right w:val="nil"/>
            </w:tcBorders>
          </w:tcPr>
          <w:p w14:paraId="11D92FC9"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16</w:t>
            </w:r>
          </w:p>
        </w:tc>
      </w:tr>
      <w:tr w:rsidR="000416A2" w:rsidRPr="000416A2" w14:paraId="65B0B07D" w14:textId="77777777" w:rsidTr="00AA2A6E">
        <w:trPr>
          <w:trHeight w:val="397"/>
        </w:trPr>
        <w:tc>
          <w:tcPr>
            <w:tcW w:w="554" w:type="dxa"/>
            <w:tcBorders>
              <w:top w:val="single" w:sz="4" w:space="0" w:color="auto"/>
              <w:left w:val="nil"/>
              <w:bottom w:val="nil"/>
              <w:right w:val="nil"/>
            </w:tcBorders>
          </w:tcPr>
          <w:p w14:paraId="43439197"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r w:rsidRPr="000416A2">
              <w:rPr>
                <w:rFonts w:ascii="Times New Roman" w:hAnsi="Times New Roman" w:cs="Times New Roman"/>
                <w:sz w:val="16"/>
                <w:szCs w:val="16"/>
                <w:lang w:val="en-US"/>
              </w:rPr>
              <w:t>ROA</w:t>
            </w:r>
          </w:p>
        </w:tc>
        <w:tc>
          <w:tcPr>
            <w:tcW w:w="0" w:type="auto"/>
            <w:tcBorders>
              <w:top w:val="single" w:sz="4" w:space="0" w:color="auto"/>
              <w:left w:val="nil"/>
              <w:bottom w:val="nil"/>
              <w:right w:val="nil"/>
            </w:tcBorders>
          </w:tcPr>
          <w:p w14:paraId="1235294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c>
          <w:tcPr>
            <w:tcW w:w="0" w:type="auto"/>
            <w:tcBorders>
              <w:top w:val="single" w:sz="4" w:space="0" w:color="auto"/>
              <w:left w:val="nil"/>
              <w:bottom w:val="nil"/>
              <w:right w:val="nil"/>
            </w:tcBorders>
          </w:tcPr>
          <w:p w14:paraId="1C7D069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0373D15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0D32A65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6B23FFC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5F17E9D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33724BF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42D86C4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03BE2F0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321E7CC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56A5AD5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2CF7D4A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3AA5A950"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005D471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157C2B5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5796C1F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single" w:sz="4" w:space="0" w:color="auto"/>
              <w:left w:val="nil"/>
              <w:bottom w:val="nil"/>
              <w:right w:val="nil"/>
            </w:tcBorders>
          </w:tcPr>
          <w:p w14:paraId="4D9B9BB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7C58C28B" w14:textId="77777777" w:rsidTr="00AA2A6E">
        <w:trPr>
          <w:trHeight w:val="397"/>
        </w:trPr>
        <w:tc>
          <w:tcPr>
            <w:tcW w:w="554" w:type="dxa"/>
            <w:tcBorders>
              <w:top w:val="nil"/>
              <w:left w:val="nil"/>
              <w:bottom w:val="nil"/>
              <w:right w:val="nil"/>
            </w:tcBorders>
          </w:tcPr>
          <w:p w14:paraId="466F876C"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r w:rsidRPr="000416A2">
              <w:rPr>
                <w:rFonts w:ascii="Times New Roman" w:hAnsi="Times New Roman" w:cs="Times New Roman"/>
                <w:sz w:val="16"/>
                <w:szCs w:val="16"/>
                <w:lang w:val="en-US"/>
              </w:rPr>
              <w:t>TQ</w:t>
            </w:r>
          </w:p>
        </w:tc>
        <w:tc>
          <w:tcPr>
            <w:tcW w:w="0" w:type="auto"/>
            <w:tcBorders>
              <w:top w:val="nil"/>
              <w:left w:val="nil"/>
              <w:bottom w:val="nil"/>
              <w:right w:val="nil"/>
            </w:tcBorders>
          </w:tcPr>
          <w:p w14:paraId="3FAB162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0.59</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217E6AF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c>
          <w:tcPr>
            <w:tcW w:w="0" w:type="auto"/>
            <w:tcBorders>
              <w:top w:val="nil"/>
              <w:left w:val="nil"/>
              <w:bottom w:val="nil"/>
              <w:right w:val="nil"/>
            </w:tcBorders>
          </w:tcPr>
          <w:p w14:paraId="09D9EBB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08353DA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7D8AE58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5494CFF9"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6BFB729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2867598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1FE362A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714C2769"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1190CE5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7B47FE4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13F29F2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5DD00E8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11C9505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731B0B0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6F827F4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4C7A7AE7" w14:textId="77777777" w:rsidTr="00AA2A6E">
        <w:trPr>
          <w:trHeight w:val="397"/>
        </w:trPr>
        <w:tc>
          <w:tcPr>
            <w:tcW w:w="554" w:type="dxa"/>
            <w:tcBorders>
              <w:top w:val="nil"/>
              <w:left w:val="nil"/>
              <w:bottom w:val="nil"/>
              <w:right w:val="nil"/>
            </w:tcBorders>
          </w:tcPr>
          <w:p w14:paraId="742C37EB"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r w:rsidRPr="000416A2">
              <w:rPr>
                <w:rFonts w:ascii="Times New Roman" w:hAnsi="Times New Roman" w:cs="Times New Roman"/>
                <w:sz w:val="16"/>
                <w:szCs w:val="16"/>
                <w:lang w:val="en-US"/>
              </w:rPr>
              <w:t>TVP</w:t>
            </w:r>
          </w:p>
        </w:tc>
        <w:tc>
          <w:tcPr>
            <w:tcW w:w="0" w:type="auto"/>
            <w:tcBorders>
              <w:top w:val="nil"/>
              <w:left w:val="nil"/>
              <w:bottom w:val="nil"/>
              <w:right w:val="nil"/>
            </w:tcBorders>
          </w:tcPr>
          <w:p w14:paraId="5F6A221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0.03</w:t>
            </w:r>
          </w:p>
        </w:tc>
        <w:tc>
          <w:tcPr>
            <w:tcW w:w="0" w:type="auto"/>
            <w:tcBorders>
              <w:top w:val="nil"/>
              <w:left w:val="nil"/>
              <w:bottom w:val="nil"/>
              <w:right w:val="nil"/>
            </w:tcBorders>
          </w:tcPr>
          <w:p w14:paraId="05AA9F9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0.03</w:t>
            </w:r>
          </w:p>
        </w:tc>
        <w:tc>
          <w:tcPr>
            <w:tcW w:w="0" w:type="auto"/>
            <w:tcBorders>
              <w:top w:val="nil"/>
              <w:left w:val="nil"/>
              <w:bottom w:val="nil"/>
              <w:right w:val="nil"/>
            </w:tcBorders>
          </w:tcPr>
          <w:p w14:paraId="7DB9A93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c>
          <w:tcPr>
            <w:tcW w:w="0" w:type="auto"/>
            <w:tcBorders>
              <w:top w:val="nil"/>
              <w:left w:val="nil"/>
              <w:bottom w:val="nil"/>
              <w:right w:val="nil"/>
            </w:tcBorders>
          </w:tcPr>
          <w:p w14:paraId="569D8DC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7553F8C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317CF2E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217FF36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4AA25B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E76A3A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3870BE9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584BA16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687BFFB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780E607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5A9732D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7585F66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2F4AFC9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6AC96D7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3C0572E0" w14:textId="77777777" w:rsidTr="00AA2A6E">
        <w:trPr>
          <w:trHeight w:val="397"/>
        </w:trPr>
        <w:tc>
          <w:tcPr>
            <w:tcW w:w="554" w:type="dxa"/>
            <w:tcBorders>
              <w:top w:val="nil"/>
              <w:left w:val="nil"/>
              <w:bottom w:val="nil"/>
              <w:right w:val="nil"/>
            </w:tcBorders>
          </w:tcPr>
          <w:p w14:paraId="11C9BAC6" w14:textId="59E342C8" w:rsidR="000416A2" w:rsidRPr="000416A2" w:rsidRDefault="00713BF8" w:rsidP="000416A2">
            <w:pPr>
              <w:widowControl w:val="0"/>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TFP</w:t>
            </w:r>
          </w:p>
        </w:tc>
        <w:tc>
          <w:tcPr>
            <w:tcW w:w="0" w:type="auto"/>
            <w:tcBorders>
              <w:top w:val="nil"/>
              <w:left w:val="nil"/>
              <w:bottom w:val="nil"/>
              <w:right w:val="nil"/>
            </w:tcBorders>
          </w:tcPr>
          <w:p w14:paraId="030F030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-0.20</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71F3760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-0.23</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240513D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0.39</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71D6E95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c>
          <w:tcPr>
            <w:tcW w:w="0" w:type="auto"/>
            <w:tcBorders>
              <w:top w:val="nil"/>
              <w:left w:val="nil"/>
              <w:bottom w:val="nil"/>
              <w:right w:val="nil"/>
            </w:tcBorders>
          </w:tcPr>
          <w:p w14:paraId="5CC3487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AC0A3C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5B57BDE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501CC14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7A3068E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2E35867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56754D2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6D1D2ED9"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139B33B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41AE6B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5710E28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3DCF20C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E29FE1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6071F18F" w14:textId="77777777" w:rsidTr="00AA2A6E">
        <w:trPr>
          <w:trHeight w:val="397"/>
        </w:trPr>
        <w:tc>
          <w:tcPr>
            <w:tcW w:w="554" w:type="dxa"/>
            <w:tcBorders>
              <w:top w:val="nil"/>
              <w:left w:val="nil"/>
              <w:bottom w:val="nil"/>
              <w:right w:val="nil"/>
            </w:tcBorders>
          </w:tcPr>
          <w:p w14:paraId="3814CFE5"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r w:rsidRPr="000416A2">
              <w:rPr>
                <w:rFonts w:ascii="Times New Roman" w:hAnsi="Times New Roman" w:cs="Times New Roman"/>
                <w:sz w:val="16"/>
                <w:szCs w:val="16"/>
                <w:lang w:val="en-US"/>
              </w:rPr>
              <w:t>SZ</w:t>
            </w:r>
          </w:p>
        </w:tc>
        <w:tc>
          <w:tcPr>
            <w:tcW w:w="0" w:type="auto"/>
            <w:tcBorders>
              <w:top w:val="nil"/>
              <w:left w:val="nil"/>
              <w:bottom w:val="nil"/>
              <w:right w:val="nil"/>
            </w:tcBorders>
          </w:tcPr>
          <w:p w14:paraId="117859D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-0.37</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511B31D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-0.47</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1B531F4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0.40</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5EE3C66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0.55</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633F2E90"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c>
          <w:tcPr>
            <w:tcW w:w="0" w:type="auto"/>
            <w:tcBorders>
              <w:top w:val="nil"/>
              <w:left w:val="nil"/>
              <w:bottom w:val="nil"/>
              <w:right w:val="nil"/>
            </w:tcBorders>
          </w:tcPr>
          <w:p w14:paraId="09EA3FA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7A98AE60"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E66885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E8A62C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2DFC43F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1C7FBC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3012B8B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5946146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7088D8C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CF0463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38C1BD2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7B82B54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756BDB93" w14:textId="77777777" w:rsidTr="00AA2A6E">
        <w:trPr>
          <w:trHeight w:val="397"/>
        </w:trPr>
        <w:tc>
          <w:tcPr>
            <w:tcW w:w="554" w:type="dxa"/>
            <w:tcBorders>
              <w:top w:val="nil"/>
              <w:left w:val="nil"/>
              <w:bottom w:val="nil"/>
              <w:right w:val="nil"/>
            </w:tcBorders>
          </w:tcPr>
          <w:p w14:paraId="0E4CE9C6"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r w:rsidRPr="000416A2">
              <w:rPr>
                <w:rFonts w:ascii="Times New Roman" w:hAnsi="Times New Roman" w:cs="Times New Roman"/>
                <w:sz w:val="16"/>
                <w:szCs w:val="16"/>
                <w:lang w:val="en-US"/>
              </w:rPr>
              <w:t>SUB</w:t>
            </w:r>
          </w:p>
        </w:tc>
        <w:tc>
          <w:tcPr>
            <w:tcW w:w="0" w:type="auto"/>
            <w:tcBorders>
              <w:top w:val="nil"/>
              <w:left w:val="nil"/>
              <w:bottom w:val="nil"/>
              <w:right w:val="nil"/>
            </w:tcBorders>
          </w:tcPr>
          <w:p w14:paraId="37B0F6D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-0.21</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1AFA92D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-0.20</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19E0EC5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0.15</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64D6DCE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0.20</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21E679D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0.57</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21DC1B39"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c>
          <w:tcPr>
            <w:tcW w:w="0" w:type="auto"/>
            <w:tcBorders>
              <w:top w:val="nil"/>
              <w:left w:val="nil"/>
              <w:bottom w:val="nil"/>
              <w:right w:val="nil"/>
            </w:tcBorders>
          </w:tcPr>
          <w:p w14:paraId="140D1A7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55BC5ED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368FD06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63BA96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79DEE36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76C5EFF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22935D40"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0A6D329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1A3AE2F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6021C6D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0AD701C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6FA705A9" w14:textId="77777777" w:rsidTr="00AA2A6E">
        <w:trPr>
          <w:trHeight w:val="397"/>
        </w:trPr>
        <w:tc>
          <w:tcPr>
            <w:tcW w:w="554" w:type="dxa"/>
            <w:tcBorders>
              <w:top w:val="nil"/>
              <w:left w:val="nil"/>
              <w:bottom w:val="nil"/>
              <w:right w:val="nil"/>
            </w:tcBorders>
          </w:tcPr>
          <w:p w14:paraId="45D37DA7"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r w:rsidRPr="000416A2">
              <w:rPr>
                <w:rFonts w:ascii="Times New Roman" w:hAnsi="Times New Roman" w:cs="Times New Roman"/>
                <w:sz w:val="16"/>
                <w:szCs w:val="16"/>
                <w:lang w:val="en-US"/>
              </w:rPr>
              <w:t>DE</w:t>
            </w:r>
          </w:p>
        </w:tc>
        <w:tc>
          <w:tcPr>
            <w:tcW w:w="0" w:type="auto"/>
            <w:tcBorders>
              <w:top w:val="nil"/>
              <w:left w:val="nil"/>
              <w:bottom w:val="nil"/>
              <w:right w:val="nil"/>
            </w:tcBorders>
          </w:tcPr>
          <w:p w14:paraId="5D88553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-0.32</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52393DB9"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-0.40</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7901C4E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0.12</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53EB1AC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0.21</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7D6EDD6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0.39</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21303FC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0.10</w:t>
            </w:r>
          </w:p>
        </w:tc>
        <w:tc>
          <w:tcPr>
            <w:tcW w:w="0" w:type="auto"/>
            <w:tcBorders>
              <w:top w:val="nil"/>
              <w:left w:val="nil"/>
              <w:bottom w:val="nil"/>
              <w:right w:val="nil"/>
            </w:tcBorders>
          </w:tcPr>
          <w:p w14:paraId="530AEE2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c>
          <w:tcPr>
            <w:tcW w:w="0" w:type="auto"/>
            <w:tcBorders>
              <w:top w:val="nil"/>
              <w:left w:val="nil"/>
              <w:bottom w:val="nil"/>
              <w:right w:val="nil"/>
            </w:tcBorders>
          </w:tcPr>
          <w:p w14:paraId="656072D0"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0218B6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61EEA3B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1B0BC2D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2D3F0C7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66CD56C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6E877A5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5E6E531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975BB2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49A547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23578066" w14:textId="77777777" w:rsidTr="00AA2A6E">
        <w:trPr>
          <w:trHeight w:val="397"/>
        </w:trPr>
        <w:tc>
          <w:tcPr>
            <w:tcW w:w="554" w:type="dxa"/>
            <w:tcBorders>
              <w:top w:val="nil"/>
              <w:left w:val="nil"/>
              <w:bottom w:val="nil"/>
              <w:right w:val="nil"/>
            </w:tcBorders>
          </w:tcPr>
          <w:p w14:paraId="75911994"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r w:rsidRPr="000416A2">
              <w:rPr>
                <w:rFonts w:ascii="Times New Roman" w:hAnsi="Times New Roman" w:cs="Times New Roman"/>
                <w:sz w:val="16"/>
                <w:szCs w:val="16"/>
                <w:lang w:val="en-US"/>
              </w:rPr>
              <w:t>GR</w:t>
            </w:r>
          </w:p>
        </w:tc>
        <w:tc>
          <w:tcPr>
            <w:tcW w:w="0" w:type="auto"/>
            <w:tcBorders>
              <w:top w:val="nil"/>
              <w:left w:val="nil"/>
              <w:bottom w:val="nil"/>
              <w:right w:val="nil"/>
            </w:tcBorders>
          </w:tcPr>
          <w:p w14:paraId="5A8F464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-0.05</w:t>
            </w:r>
          </w:p>
        </w:tc>
        <w:tc>
          <w:tcPr>
            <w:tcW w:w="0" w:type="auto"/>
            <w:tcBorders>
              <w:top w:val="nil"/>
              <w:left w:val="nil"/>
              <w:bottom w:val="nil"/>
              <w:right w:val="nil"/>
            </w:tcBorders>
          </w:tcPr>
          <w:p w14:paraId="4587702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0.06</w:t>
            </w:r>
          </w:p>
        </w:tc>
        <w:tc>
          <w:tcPr>
            <w:tcW w:w="0" w:type="auto"/>
            <w:tcBorders>
              <w:top w:val="nil"/>
              <w:left w:val="nil"/>
              <w:bottom w:val="nil"/>
              <w:right w:val="nil"/>
            </w:tcBorders>
          </w:tcPr>
          <w:p w14:paraId="77E64CA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-0.06</w:t>
            </w:r>
          </w:p>
        </w:tc>
        <w:tc>
          <w:tcPr>
            <w:tcW w:w="0" w:type="auto"/>
            <w:tcBorders>
              <w:top w:val="nil"/>
              <w:left w:val="nil"/>
              <w:bottom w:val="nil"/>
              <w:right w:val="nil"/>
            </w:tcBorders>
          </w:tcPr>
          <w:p w14:paraId="59177D4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-0.05</w:t>
            </w:r>
          </w:p>
        </w:tc>
        <w:tc>
          <w:tcPr>
            <w:tcW w:w="0" w:type="auto"/>
            <w:tcBorders>
              <w:top w:val="nil"/>
              <w:left w:val="nil"/>
              <w:bottom w:val="nil"/>
              <w:right w:val="nil"/>
            </w:tcBorders>
          </w:tcPr>
          <w:p w14:paraId="752D17A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-0.10</w:t>
            </w:r>
          </w:p>
        </w:tc>
        <w:tc>
          <w:tcPr>
            <w:tcW w:w="0" w:type="auto"/>
            <w:tcBorders>
              <w:top w:val="nil"/>
              <w:left w:val="nil"/>
              <w:bottom w:val="nil"/>
              <w:right w:val="nil"/>
            </w:tcBorders>
          </w:tcPr>
          <w:p w14:paraId="5DF24BB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-0.05</w:t>
            </w:r>
          </w:p>
        </w:tc>
        <w:tc>
          <w:tcPr>
            <w:tcW w:w="0" w:type="auto"/>
            <w:tcBorders>
              <w:top w:val="nil"/>
              <w:left w:val="nil"/>
              <w:bottom w:val="nil"/>
              <w:right w:val="nil"/>
            </w:tcBorders>
          </w:tcPr>
          <w:p w14:paraId="334FC60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0.01</w:t>
            </w:r>
          </w:p>
        </w:tc>
        <w:tc>
          <w:tcPr>
            <w:tcW w:w="0" w:type="auto"/>
            <w:tcBorders>
              <w:top w:val="nil"/>
              <w:left w:val="nil"/>
              <w:bottom w:val="nil"/>
              <w:right w:val="nil"/>
            </w:tcBorders>
          </w:tcPr>
          <w:p w14:paraId="166DFCB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c>
          <w:tcPr>
            <w:tcW w:w="0" w:type="auto"/>
            <w:tcBorders>
              <w:top w:val="nil"/>
              <w:left w:val="nil"/>
              <w:bottom w:val="nil"/>
              <w:right w:val="nil"/>
            </w:tcBorders>
          </w:tcPr>
          <w:p w14:paraId="148525C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5307956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64FB037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0CC0691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C8C32B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398208B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C945E5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72F3387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77CA34C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78136AED" w14:textId="77777777" w:rsidTr="00AA2A6E">
        <w:trPr>
          <w:trHeight w:val="397"/>
        </w:trPr>
        <w:tc>
          <w:tcPr>
            <w:tcW w:w="554" w:type="dxa"/>
            <w:tcBorders>
              <w:top w:val="nil"/>
              <w:left w:val="nil"/>
              <w:bottom w:val="nil"/>
              <w:right w:val="nil"/>
            </w:tcBorders>
          </w:tcPr>
          <w:p w14:paraId="6EE59541"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r w:rsidRPr="000416A2">
              <w:rPr>
                <w:rFonts w:ascii="Times New Roman" w:hAnsi="Times New Roman" w:cs="Times New Roman"/>
                <w:sz w:val="16"/>
                <w:szCs w:val="16"/>
                <w:lang w:val="en-US"/>
              </w:rPr>
              <w:t>LQ</w:t>
            </w:r>
          </w:p>
        </w:tc>
        <w:tc>
          <w:tcPr>
            <w:tcW w:w="0" w:type="auto"/>
            <w:tcBorders>
              <w:top w:val="nil"/>
              <w:left w:val="nil"/>
              <w:bottom w:val="nil"/>
              <w:right w:val="nil"/>
            </w:tcBorders>
          </w:tcPr>
          <w:p w14:paraId="789BD46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0.19</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0D303B9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0.23</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0E6A4D3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-0.17</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1F22315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-0.20</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7DCCC7E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-0.30</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341EB4B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-0.16</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19071C8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-0.39</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40DF522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0.02</w:t>
            </w:r>
          </w:p>
        </w:tc>
        <w:tc>
          <w:tcPr>
            <w:tcW w:w="0" w:type="auto"/>
            <w:tcBorders>
              <w:top w:val="nil"/>
              <w:left w:val="nil"/>
              <w:bottom w:val="nil"/>
              <w:right w:val="nil"/>
            </w:tcBorders>
          </w:tcPr>
          <w:p w14:paraId="525F381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c>
          <w:tcPr>
            <w:tcW w:w="0" w:type="auto"/>
            <w:tcBorders>
              <w:top w:val="nil"/>
              <w:left w:val="nil"/>
              <w:bottom w:val="nil"/>
              <w:right w:val="nil"/>
            </w:tcBorders>
          </w:tcPr>
          <w:p w14:paraId="29F8DF9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BA5A38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2C7E5FE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0733260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5046719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3981B88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08FFB3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6EA62CD9"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3A661912" w14:textId="77777777" w:rsidTr="00AA2A6E">
        <w:trPr>
          <w:trHeight w:val="397"/>
        </w:trPr>
        <w:tc>
          <w:tcPr>
            <w:tcW w:w="554" w:type="dxa"/>
            <w:tcBorders>
              <w:top w:val="nil"/>
              <w:left w:val="nil"/>
              <w:bottom w:val="nil"/>
              <w:right w:val="nil"/>
            </w:tcBorders>
          </w:tcPr>
          <w:p w14:paraId="1BFA0E18"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r w:rsidRPr="000416A2">
              <w:rPr>
                <w:rFonts w:ascii="Times New Roman" w:hAnsi="Times New Roman" w:cs="Times New Roman"/>
                <w:sz w:val="16"/>
                <w:szCs w:val="16"/>
                <w:lang w:val="en-US"/>
              </w:rPr>
              <w:t>RD</w:t>
            </w:r>
          </w:p>
        </w:tc>
        <w:tc>
          <w:tcPr>
            <w:tcW w:w="0" w:type="auto"/>
            <w:tcBorders>
              <w:top w:val="nil"/>
              <w:left w:val="nil"/>
              <w:bottom w:val="nil"/>
              <w:right w:val="nil"/>
            </w:tcBorders>
          </w:tcPr>
          <w:p w14:paraId="62FB7C4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0.06</w:t>
            </w:r>
          </w:p>
        </w:tc>
        <w:tc>
          <w:tcPr>
            <w:tcW w:w="0" w:type="auto"/>
            <w:tcBorders>
              <w:top w:val="nil"/>
              <w:left w:val="nil"/>
              <w:bottom w:val="nil"/>
              <w:right w:val="nil"/>
            </w:tcBorders>
          </w:tcPr>
          <w:p w14:paraId="64DB3CD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-0.02</w:t>
            </w:r>
          </w:p>
        </w:tc>
        <w:tc>
          <w:tcPr>
            <w:tcW w:w="0" w:type="auto"/>
            <w:tcBorders>
              <w:top w:val="nil"/>
              <w:left w:val="nil"/>
              <w:bottom w:val="nil"/>
              <w:right w:val="nil"/>
            </w:tcBorders>
          </w:tcPr>
          <w:p w14:paraId="49B9821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0.19</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6CC03D2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0.17</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25F65BE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0.07</w:t>
            </w:r>
          </w:p>
        </w:tc>
        <w:tc>
          <w:tcPr>
            <w:tcW w:w="0" w:type="auto"/>
            <w:tcBorders>
              <w:top w:val="nil"/>
              <w:left w:val="nil"/>
              <w:bottom w:val="nil"/>
              <w:right w:val="nil"/>
            </w:tcBorders>
          </w:tcPr>
          <w:p w14:paraId="773188C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-0.18</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425A54C0"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0.02</w:t>
            </w:r>
          </w:p>
        </w:tc>
        <w:tc>
          <w:tcPr>
            <w:tcW w:w="0" w:type="auto"/>
            <w:tcBorders>
              <w:top w:val="nil"/>
              <w:left w:val="nil"/>
              <w:bottom w:val="nil"/>
              <w:right w:val="nil"/>
            </w:tcBorders>
          </w:tcPr>
          <w:p w14:paraId="1E7224C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-0.09</w:t>
            </w:r>
          </w:p>
        </w:tc>
        <w:tc>
          <w:tcPr>
            <w:tcW w:w="0" w:type="auto"/>
            <w:tcBorders>
              <w:top w:val="nil"/>
              <w:left w:val="nil"/>
              <w:bottom w:val="nil"/>
              <w:right w:val="nil"/>
            </w:tcBorders>
          </w:tcPr>
          <w:p w14:paraId="1BFA277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-0.02</w:t>
            </w:r>
          </w:p>
        </w:tc>
        <w:tc>
          <w:tcPr>
            <w:tcW w:w="0" w:type="auto"/>
            <w:tcBorders>
              <w:top w:val="nil"/>
              <w:left w:val="nil"/>
              <w:bottom w:val="nil"/>
              <w:right w:val="nil"/>
            </w:tcBorders>
          </w:tcPr>
          <w:p w14:paraId="66C897A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c>
          <w:tcPr>
            <w:tcW w:w="0" w:type="auto"/>
            <w:tcBorders>
              <w:top w:val="nil"/>
              <w:left w:val="nil"/>
              <w:bottom w:val="nil"/>
              <w:right w:val="nil"/>
            </w:tcBorders>
          </w:tcPr>
          <w:p w14:paraId="386FE8C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384293E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6D2FFA4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64A2347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3DC380A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102ACB0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54BB8EE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225A57D4" w14:textId="77777777" w:rsidTr="00AA2A6E">
        <w:trPr>
          <w:trHeight w:val="397"/>
        </w:trPr>
        <w:tc>
          <w:tcPr>
            <w:tcW w:w="554" w:type="dxa"/>
            <w:tcBorders>
              <w:top w:val="nil"/>
              <w:left w:val="nil"/>
              <w:bottom w:val="nil"/>
              <w:right w:val="nil"/>
            </w:tcBorders>
          </w:tcPr>
          <w:p w14:paraId="79DCA99E"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r w:rsidRPr="000416A2">
              <w:rPr>
                <w:rFonts w:ascii="Times New Roman" w:hAnsi="Times New Roman" w:cs="Times New Roman"/>
                <w:sz w:val="16"/>
                <w:szCs w:val="16"/>
                <w:lang w:val="en-US"/>
              </w:rPr>
              <w:t>MO</w:t>
            </w:r>
          </w:p>
        </w:tc>
        <w:tc>
          <w:tcPr>
            <w:tcW w:w="0" w:type="auto"/>
            <w:tcBorders>
              <w:top w:val="nil"/>
              <w:left w:val="nil"/>
              <w:bottom w:val="nil"/>
              <w:right w:val="nil"/>
            </w:tcBorders>
          </w:tcPr>
          <w:p w14:paraId="216409B0"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0.16</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15D45F0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0.18</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0F4DA0C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-0.10</w:t>
            </w:r>
          </w:p>
        </w:tc>
        <w:tc>
          <w:tcPr>
            <w:tcW w:w="0" w:type="auto"/>
            <w:tcBorders>
              <w:top w:val="nil"/>
              <w:left w:val="nil"/>
              <w:bottom w:val="nil"/>
              <w:right w:val="nil"/>
            </w:tcBorders>
          </w:tcPr>
          <w:p w14:paraId="301EA07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-0.03</w:t>
            </w:r>
          </w:p>
        </w:tc>
        <w:tc>
          <w:tcPr>
            <w:tcW w:w="0" w:type="auto"/>
            <w:tcBorders>
              <w:top w:val="nil"/>
              <w:left w:val="nil"/>
              <w:bottom w:val="nil"/>
              <w:right w:val="nil"/>
            </w:tcBorders>
          </w:tcPr>
          <w:p w14:paraId="21FF578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-0.04</w:t>
            </w:r>
          </w:p>
        </w:tc>
        <w:tc>
          <w:tcPr>
            <w:tcW w:w="0" w:type="auto"/>
            <w:tcBorders>
              <w:top w:val="nil"/>
              <w:left w:val="nil"/>
              <w:bottom w:val="nil"/>
              <w:right w:val="nil"/>
            </w:tcBorders>
          </w:tcPr>
          <w:p w14:paraId="5BCD2BB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0.13</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6912A6E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-0.31</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0B99D83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0.03</w:t>
            </w:r>
          </w:p>
        </w:tc>
        <w:tc>
          <w:tcPr>
            <w:tcW w:w="0" w:type="auto"/>
            <w:tcBorders>
              <w:top w:val="nil"/>
              <w:left w:val="nil"/>
              <w:bottom w:val="nil"/>
              <w:right w:val="nil"/>
            </w:tcBorders>
          </w:tcPr>
          <w:p w14:paraId="2807955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0.15</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45F8CD4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-0.21</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74E8BA4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c>
          <w:tcPr>
            <w:tcW w:w="0" w:type="auto"/>
            <w:tcBorders>
              <w:top w:val="nil"/>
              <w:left w:val="nil"/>
              <w:bottom w:val="nil"/>
              <w:right w:val="nil"/>
            </w:tcBorders>
          </w:tcPr>
          <w:p w14:paraId="1F3EC4D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612CCA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5A427E0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43EAD94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239EF5E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244C68B9"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356011EA" w14:textId="77777777" w:rsidTr="00AA2A6E">
        <w:trPr>
          <w:trHeight w:val="397"/>
        </w:trPr>
        <w:tc>
          <w:tcPr>
            <w:tcW w:w="554" w:type="dxa"/>
            <w:tcBorders>
              <w:top w:val="nil"/>
              <w:left w:val="nil"/>
              <w:bottom w:val="nil"/>
              <w:right w:val="nil"/>
            </w:tcBorders>
          </w:tcPr>
          <w:p w14:paraId="7EE81297"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r w:rsidRPr="000416A2">
              <w:rPr>
                <w:rFonts w:ascii="Times New Roman" w:hAnsi="Times New Roman" w:cs="Times New Roman"/>
                <w:sz w:val="16"/>
                <w:szCs w:val="16"/>
                <w:lang w:val="en-US"/>
              </w:rPr>
              <w:t>IO</w:t>
            </w:r>
          </w:p>
        </w:tc>
        <w:tc>
          <w:tcPr>
            <w:tcW w:w="0" w:type="auto"/>
            <w:tcBorders>
              <w:top w:val="nil"/>
              <w:left w:val="nil"/>
              <w:bottom w:val="nil"/>
              <w:right w:val="nil"/>
            </w:tcBorders>
          </w:tcPr>
          <w:p w14:paraId="281E1C00"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-0.05</w:t>
            </w:r>
          </w:p>
        </w:tc>
        <w:tc>
          <w:tcPr>
            <w:tcW w:w="0" w:type="auto"/>
            <w:tcBorders>
              <w:top w:val="nil"/>
              <w:left w:val="nil"/>
              <w:bottom w:val="nil"/>
              <w:right w:val="nil"/>
            </w:tcBorders>
          </w:tcPr>
          <w:p w14:paraId="2624EA4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-0.02</w:t>
            </w:r>
          </w:p>
        </w:tc>
        <w:tc>
          <w:tcPr>
            <w:tcW w:w="0" w:type="auto"/>
            <w:tcBorders>
              <w:top w:val="nil"/>
              <w:left w:val="nil"/>
              <w:bottom w:val="nil"/>
              <w:right w:val="nil"/>
            </w:tcBorders>
          </w:tcPr>
          <w:p w14:paraId="713C0A5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0.03</w:t>
            </w:r>
          </w:p>
        </w:tc>
        <w:tc>
          <w:tcPr>
            <w:tcW w:w="0" w:type="auto"/>
            <w:tcBorders>
              <w:top w:val="nil"/>
              <w:left w:val="nil"/>
              <w:bottom w:val="nil"/>
              <w:right w:val="nil"/>
            </w:tcBorders>
          </w:tcPr>
          <w:p w14:paraId="2766A5E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0.05</w:t>
            </w:r>
          </w:p>
        </w:tc>
        <w:tc>
          <w:tcPr>
            <w:tcW w:w="0" w:type="auto"/>
            <w:tcBorders>
              <w:top w:val="nil"/>
              <w:left w:val="nil"/>
              <w:bottom w:val="nil"/>
              <w:right w:val="nil"/>
            </w:tcBorders>
          </w:tcPr>
          <w:p w14:paraId="27F8064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0.13</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7114DC4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0.10</w:t>
            </w:r>
          </w:p>
        </w:tc>
        <w:tc>
          <w:tcPr>
            <w:tcW w:w="0" w:type="auto"/>
            <w:tcBorders>
              <w:top w:val="nil"/>
              <w:left w:val="nil"/>
              <w:bottom w:val="nil"/>
              <w:right w:val="nil"/>
            </w:tcBorders>
          </w:tcPr>
          <w:p w14:paraId="48547D5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-0.11</w:t>
            </w:r>
          </w:p>
        </w:tc>
        <w:tc>
          <w:tcPr>
            <w:tcW w:w="0" w:type="auto"/>
            <w:tcBorders>
              <w:top w:val="nil"/>
              <w:left w:val="nil"/>
              <w:bottom w:val="nil"/>
              <w:right w:val="nil"/>
            </w:tcBorders>
          </w:tcPr>
          <w:p w14:paraId="6C5A61A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0.03</w:t>
            </w:r>
          </w:p>
        </w:tc>
        <w:tc>
          <w:tcPr>
            <w:tcW w:w="0" w:type="auto"/>
            <w:tcBorders>
              <w:top w:val="nil"/>
              <w:left w:val="nil"/>
              <w:bottom w:val="nil"/>
              <w:right w:val="nil"/>
            </w:tcBorders>
          </w:tcPr>
          <w:p w14:paraId="6262249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0.08</w:t>
            </w:r>
          </w:p>
        </w:tc>
        <w:tc>
          <w:tcPr>
            <w:tcW w:w="0" w:type="auto"/>
            <w:tcBorders>
              <w:top w:val="nil"/>
              <w:left w:val="nil"/>
              <w:bottom w:val="nil"/>
              <w:right w:val="nil"/>
            </w:tcBorders>
          </w:tcPr>
          <w:p w14:paraId="6A222FF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0.03</w:t>
            </w:r>
          </w:p>
        </w:tc>
        <w:tc>
          <w:tcPr>
            <w:tcW w:w="0" w:type="auto"/>
            <w:tcBorders>
              <w:top w:val="nil"/>
              <w:left w:val="nil"/>
              <w:bottom w:val="nil"/>
              <w:right w:val="nil"/>
            </w:tcBorders>
          </w:tcPr>
          <w:p w14:paraId="3C97B7C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0.04</w:t>
            </w:r>
          </w:p>
        </w:tc>
        <w:tc>
          <w:tcPr>
            <w:tcW w:w="0" w:type="auto"/>
            <w:tcBorders>
              <w:top w:val="nil"/>
              <w:left w:val="nil"/>
              <w:bottom w:val="nil"/>
              <w:right w:val="nil"/>
            </w:tcBorders>
          </w:tcPr>
          <w:p w14:paraId="23732AD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c>
          <w:tcPr>
            <w:tcW w:w="0" w:type="auto"/>
            <w:tcBorders>
              <w:top w:val="nil"/>
              <w:left w:val="nil"/>
              <w:bottom w:val="nil"/>
              <w:right w:val="nil"/>
            </w:tcBorders>
          </w:tcPr>
          <w:p w14:paraId="143F14C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530D099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36366E0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6128D46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7669013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4ABBBE14" w14:textId="77777777" w:rsidTr="00AA2A6E">
        <w:trPr>
          <w:trHeight w:val="397"/>
        </w:trPr>
        <w:tc>
          <w:tcPr>
            <w:tcW w:w="554" w:type="dxa"/>
            <w:tcBorders>
              <w:top w:val="nil"/>
              <w:left w:val="nil"/>
              <w:bottom w:val="nil"/>
              <w:right w:val="nil"/>
            </w:tcBorders>
          </w:tcPr>
          <w:p w14:paraId="419C18BF" w14:textId="5C0AD9FC"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r w:rsidRPr="000416A2">
              <w:rPr>
                <w:rFonts w:ascii="Times New Roman" w:hAnsi="Times New Roman" w:cs="Times New Roman"/>
                <w:sz w:val="16"/>
                <w:szCs w:val="16"/>
                <w:lang w:val="en-US"/>
              </w:rPr>
              <w:t>NE</w:t>
            </w:r>
          </w:p>
        </w:tc>
        <w:tc>
          <w:tcPr>
            <w:tcW w:w="0" w:type="auto"/>
            <w:tcBorders>
              <w:top w:val="nil"/>
              <w:left w:val="nil"/>
              <w:bottom w:val="nil"/>
              <w:right w:val="nil"/>
            </w:tcBorders>
          </w:tcPr>
          <w:p w14:paraId="1C6E2FF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-0.19</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4A3271F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-0.17</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0C49FD4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0.43</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0D862E4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0.50</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6FAA87C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0.66</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7C27AE4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0.32</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1956345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0.18</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1B23816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-0.10</w:t>
            </w:r>
          </w:p>
        </w:tc>
        <w:tc>
          <w:tcPr>
            <w:tcW w:w="0" w:type="auto"/>
            <w:tcBorders>
              <w:top w:val="nil"/>
              <w:left w:val="nil"/>
              <w:bottom w:val="nil"/>
              <w:right w:val="nil"/>
            </w:tcBorders>
          </w:tcPr>
          <w:p w14:paraId="3C28B11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-0.18</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001EF40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0.24</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3E83C81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-0.13</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60A0129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0.14</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77F70DB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c>
          <w:tcPr>
            <w:tcW w:w="0" w:type="auto"/>
            <w:tcBorders>
              <w:top w:val="nil"/>
              <w:left w:val="nil"/>
              <w:bottom w:val="nil"/>
              <w:right w:val="nil"/>
            </w:tcBorders>
          </w:tcPr>
          <w:p w14:paraId="5BD608E9"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3D20ADF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29BF602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2DD7CC0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56F8B572" w14:textId="77777777" w:rsidTr="00AA2A6E">
        <w:trPr>
          <w:trHeight w:val="397"/>
        </w:trPr>
        <w:tc>
          <w:tcPr>
            <w:tcW w:w="554" w:type="dxa"/>
            <w:tcBorders>
              <w:top w:val="nil"/>
              <w:left w:val="nil"/>
              <w:bottom w:val="nil"/>
              <w:right w:val="nil"/>
            </w:tcBorders>
          </w:tcPr>
          <w:p w14:paraId="1F77D750" w14:textId="36E78C02"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r w:rsidRPr="000416A2">
              <w:rPr>
                <w:rFonts w:ascii="Times New Roman" w:hAnsi="Times New Roman" w:cs="Times New Roman"/>
                <w:sz w:val="16"/>
                <w:szCs w:val="16"/>
                <w:lang w:val="en-US"/>
              </w:rPr>
              <w:t>BS</w:t>
            </w:r>
          </w:p>
        </w:tc>
        <w:tc>
          <w:tcPr>
            <w:tcW w:w="0" w:type="auto"/>
            <w:tcBorders>
              <w:top w:val="nil"/>
              <w:left w:val="nil"/>
              <w:bottom w:val="nil"/>
              <w:right w:val="nil"/>
            </w:tcBorders>
          </w:tcPr>
          <w:p w14:paraId="538BEDE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-0.24</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3A33A37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-0.24</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6A121A0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0.40</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537DD25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0.60</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1CFC26B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0.66</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1066B1D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0.37</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4EC08F9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0.23</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4C52816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-0.08</w:t>
            </w:r>
          </w:p>
        </w:tc>
        <w:tc>
          <w:tcPr>
            <w:tcW w:w="0" w:type="auto"/>
            <w:tcBorders>
              <w:top w:val="nil"/>
              <w:left w:val="nil"/>
              <w:bottom w:val="nil"/>
              <w:right w:val="nil"/>
            </w:tcBorders>
          </w:tcPr>
          <w:p w14:paraId="143C3B6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-0.29</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65C0454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0.17</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1C2E5A4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-0.04</w:t>
            </w:r>
          </w:p>
        </w:tc>
        <w:tc>
          <w:tcPr>
            <w:tcW w:w="0" w:type="auto"/>
            <w:tcBorders>
              <w:top w:val="nil"/>
              <w:left w:val="nil"/>
              <w:bottom w:val="nil"/>
              <w:right w:val="nil"/>
            </w:tcBorders>
          </w:tcPr>
          <w:p w14:paraId="394968E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0.09</w:t>
            </w:r>
          </w:p>
        </w:tc>
        <w:tc>
          <w:tcPr>
            <w:tcW w:w="0" w:type="auto"/>
            <w:tcBorders>
              <w:top w:val="nil"/>
              <w:left w:val="nil"/>
              <w:bottom w:val="nil"/>
              <w:right w:val="nil"/>
            </w:tcBorders>
          </w:tcPr>
          <w:p w14:paraId="504B027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0.79</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68AB970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c>
          <w:tcPr>
            <w:tcW w:w="0" w:type="auto"/>
            <w:tcBorders>
              <w:top w:val="nil"/>
              <w:left w:val="nil"/>
              <w:bottom w:val="nil"/>
              <w:right w:val="nil"/>
            </w:tcBorders>
          </w:tcPr>
          <w:p w14:paraId="19CDE00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0A184962"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60C3EA19"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3DE63869" w14:textId="77777777" w:rsidTr="00AA2A6E">
        <w:trPr>
          <w:trHeight w:val="397"/>
        </w:trPr>
        <w:tc>
          <w:tcPr>
            <w:tcW w:w="554" w:type="dxa"/>
            <w:tcBorders>
              <w:top w:val="nil"/>
              <w:left w:val="nil"/>
              <w:bottom w:val="nil"/>
              <w:right w:val="nil"/>
            </w:tcBorders>
          </w:tcPr>
          <w:p w14:paraId="1E55B3A1"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r w:rsidRPr="000416A2">
              <w:rPr>
                <w:rFonts w:ascii="Times New Roman" w:hAnsi="Times New Roman" w:cs="Times New Roman"/>
                <w:sz w:val="16"/>
                <w:szCs w:val="16"/>
                <w:lang w:val="en-US"/>
              </w:rPr>
              <w:t>AGE</w:t>
            </w:r>
          </w:p>
        </w:tc>
        <w:tc>
          <w:tcPr>
            <w:tcW w:w="0" w:type="auto"/>
            <w:tcBorders>
              <w:top w:val="nil"/>
              <w:left w:val="nil"/>
              <w:bottom w:val="nil"/>
              <w:right w:val="nil"/>
            </w:tcBorders>
          </w:tcPr>
          <w:p w14:paraId="58D8D97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0.01</w:t>
            </w:r>
          </w:p>
        </w:tc>
        <w:tc>
          <w:tcPr>
            <w:tcW w:w="0" w:type="auto"/>
            <w:tcBorders>
              <w:top w:val="nil"/>
              <w:left w:val="nil"/>
              <w:bottom w:val="nil"/>
              <w:right w:val="nil"/>
            </w:tcBorders>
          </w:tcPr>
          <w:p w14:paraId="121B89F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-0.09</w:t>
            </w:r>
          </w:p>
        </w:tc>
        <w:tc>
          <w:tcPr>
            <w:tcW w:w="0" w:type="auto"/>
            <w:tcBorders>
              <w:top w:val="nil"/>
              <w:left w:val="nil"/>
              <w:bottom w:val="nil"/>
              <w:right w:val="nil"/>
            </w:tcBorders>
          </w:tcPr>
          <w:p w14:paraId="45898DF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0.20</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4919365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0.16</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67479FF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0.31</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41D0D58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0.22</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039D174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0.09</w:t>
            </w:r>
          </w:p>
        </w:tc>
        <w:tc>
          <w:tcPr>
            <w:tcW w:w="0" w:type="auto"/>
            <w:tcBorders>
              <w:top w:val="nil"/>
              <w:left w:val="nil"/>
              <w:bottom w:val="nil"/>
              <w:right w:val="nil"/>
            </w:tcBorders>
          </w:tcPr>
          <w:p w14:paraId="3C92DA3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-0.07</w:t>
            </w:r>
          </w:p>
        </w:tc>
        <w:tc>
          <w:tcPr>
            <w:tcW w:w="0" w:type="auto"/>
            <w:tcBorders>
              <w:top w:val="nil"/>
              <w:left w:val="nil"/>
              <w:bottom w:val="nil"/>
              <w:right w:val="nil"/>
            </w:tcBorders>
          </w:tcPr>
          <w:p w14:paraId="68C9EDC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0.05</w:t>
            </w:r>
          </w:p>
        </w:tc>
        <w:tc>
          <w:tcPr>
            <w:tcW w:w="0" w:type="auto"/>
            <w:tcBorders>
              <w:top w:val="nil"/>
              <w:left w:val="nil"/>
              <w:bottom w:val="nil"/>
              <w:right w:val="nil"/>
            </w:tcBorders>
          </w:tcPr>
          <w:p w14:paraId="25B4EDC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0.27</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29129B0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-0.06</w:t>
            </w:r>
          </w:p>
        </w:tc>
        <w:tc>
          <w:tcPr>
            <w:tcW w:w="0" w:type="auto"/>
            <w:tcBorders>
              <w:top w:val="nil"/>
              <w:left w:val="nil"/>
              <w:bottom w:val="nil"/>
              <w:right w:val="nil"/>
            </w:tcBorders>
          </w:tcPr>
          <w:p w14:paraId="49D203B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0.09</w:t>
            </w:r>
          </w:p>
        </w:tc>
        <w:tc>
          <w:tcPr>
            <w:tcW w:w="0" w:type="auto"/>
            <w:tcBorders>
              <w:top w:val="nil"/>
              <w:left w:val="nil"/>
              <w:bottom w:val="nil"/>
              <w:right w:val="nil"/>
            </w:tcBorders>
          </w:tcPr>
          <w:p w14:paraId="18E4F80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0.38</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230B9350"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0.27</w:t>
            </w:r>
            <w:r w:rsidRPr="000416A2">
              <w:rPr>
                <w:rFonts w:ascii="Times New Roman" w:hAnsi="Times New Roman" w:cs="Times New Roman"/>
                <w:sz w:val="16"/>
                <w:szCs w:val="16"/>
                <w:vertAlign w:val="superscript"/>
                <w:lang w:val="en-US"/>
              </w:rPr>
              <w:t>*</w:t>
            </w:r>
          </w:p>
        </w:tc>
        <w:tc>
          <w:tcPr>
            <w:tcW w:w="0" w:type="auto"/>
            <w:tcBorders>
              <w:top w:val="nil"/>
              <w:left w:val="nil"/>
              <w:bottom w:val="nil"/>
              <w:right w:val="nil"/>
            </w:tcBorders>
          </w:tcPr>
          <w:p w14:paraId="0E1F201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c>
          <w:tcPr>
            <w:tcW w:w="0" w:type="auto"/>
            <w:tcBorders>
              <w:top w:val="nil"/>
              <w:left w:val="nil"/>
              <w:bottom w:val="nil"/>
              <w:right w:val="nil"/>
            </w:tcBorders>
          </w:tcPr>
          <w:p w14:paraId="5B1E8C0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0" w:type="auto"/>
            <w:tcBorders>
              <w:top w:val="nil"/>
              <w:left w:val="nil"/>
              <w:bottom w:val="nil"/>
              <w:right w:val="nil"/>
            </w:tcBorders>
          </w:tcPr>
          <w:p w14:paraId="3DF011C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1719E303" w14:textId="77777777" w:rsidTr="003D4BF9">
        <w:trPr>
          <w:trHeight w:val="397"/>
        </w:trPr>
        <w:tc>
          <w:tcPr>
            <w:tcW w:w="554" w:type="dxa"/>
            <w:tcBorders>
              <w:top w:val="nil"/>
              <w:left w:val="nil"/>
              <w:right w:val="nil"/>
            </w:tcBorders>
          </w:tcPr>
          <w:p w14:paraId="440EF46D"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r w:rsidRPr="000416A2">
              <w:rPr>
                <w:rFonts w:ascii="Times New Roman" w:hAnsi="Times New Roman" w:cs="Times New Roman"/>
                <w:sz w:val="16"/>
                <w:szCs w:val="16"/>
                <w:lang w:val="en-US"/>
              </w:rPr>
              <w:t>TEN</w:t>
            </w:r>
          </w:p>
        </w:tc>
        <w:tc>
          <w:tcPr>
            <w:tcW w:w="0" w:type="auto"/>
            <w:tcBorders>
              <w:top w:val="nil"/>
              <w:left w:val="nil"/>
              <w:right w:val="nil"/>
            </w:tcBorders>
          </w:tcPr>
          <w:p w14:paraId="0CC3E31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0.10</w:t>
            </w:r>
          </w:p>
        </w:tc>
        <w:tc>
          <w:tcPr>
            <w:tcW w:w="0" w:type="auto"/>
            <w:tcBorders>
              <w:top w:val="nil"/>
              <w:left w:val="nil"/>
              <w:right w:val="nil"/>
            </w:tcBorders>
          </w:tcPr>
          <w:p w14:paraId="51EC0654"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0.18</w:t>
            </w:r>
            <w:r w:rsidRPr="000416A2">
              <w:rPr>
                <w:rFonts w:ascii="Times New Roman" w:hAnsi="Times New Roman" w:cs="Times New Roman"/>
                <w:sz w:val="16"/>
                <w:szCs w:val="16"/>
                <w:vertAlign w:val="superscript"/>
                <w:lang w:val="en-US"/>
              </w:rPr>
              <w:t>*</w:t>
            </w:r>
          </w:p>
        </w:tc>
        <w:tc>
          <w:tcPr>
            <w:tcW w:w="0" w:type="auto"/>
            <w:tcBorders>
              <w:top w:val="nil"/>
              <w:left w:val="nil"/>
              <w:right w:val="nil"/>
            </w:tcBorders>
          </w:tcPr>
          <w:p w14:paraId="66BBB2F5"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-0.09</w:t>
            </w:r>
          </w:p>
        </w:tc>
        <w:tc>
          <w:tcPr>
            <w:tcW w:w="0" w:type="auto"/>
            <w:tcBorders>
              <w:top w:val="nil"/>
              <w:left w:val="nil"/>
              <w:right w:val="nil"/>
            </w:tcBorders>
          </w:tcPr>
          <w:p w14:paraId="49CD572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0.02</w:t>
            </w:r>
          </w:p>
        </w:tc>
        <w:tc>
          <w:tcPr>
            <w:tcW w:w="0" w:type="auto"/>
            <w:tcBorders>
              <w:top w:val="nil"/>
              <w:left w:val="nil"/>
              <w:right w:val="nil"/>
            </w:tcBorders>
          </w:tcPr>
          <w:p w14:paraId="6595D14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-0.25</w:t>
            </w:r>
            <w:r w:rsidRPr="000416A2">
              <w:rPr>
                <w:rFonts w:ascii="Times New Roman" w:hAnsi="Times New Roman" w:cs="Times New Roman"/>
                <w:sz w:val="16"/>
                <w:szCs w:val="16"/>
                <w:vertAlign w:val="superscript"/>
                <w:lang w:val="en-US"/>
              </w:rPr>
              <w:t>*</w:t>
            </w:r>
          </w:p>
        </w:tc>
        <w:tc>
          <w:tcPr>
            <w:tcW w:w="0" w:type="auto"/>
            <w:tcBorders>
              <w:top w:val="nil"/>
              <w:left w:val="nil"/>
              <w:right w:val="nil"/>
            </w:tcBorders>
          </w:tcPr>
          <w:p w14:paraId="3F89932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-0.03</w:t>
            </w:r>
          </w:p>
        </w:tc>
        <w:tc>
          <w:tcPr>
            <w:tcW w:w="0" w:type="auto"/>
            <w:tcBorders>
              <w:top w:val="nil"/>
              <w:left w:val="nil"/>
              <w:right w:val="nil"/>
            </w:tcBorders>
          </w:tcPr>
          <w:p w14:paraId="1BDE8E7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-0.15</w:t>
            </w:r>
            <w:r w:rsidRPr="000416A2">
              <w:rPr>
                <w:rFonts w:ascii="Times New Roman" w:hAnsi="Times New Roman" w:cs="Times New Roman"/>
                <w:sz w:val="16"/>
                <w:szCs w:val="16"/>
                <w:vertAlign w:val="superscript"/>
                <w:lang w:val="en-US"/>
              </w:rPr>
              <w:t>*</w:t>
            </w:r>
          </w:p>
        </w:tc>
        <w:tc>
          <w:tcPr>
            <w:tcW w:w="0" w:type="auto"/>
            <w:tcBorders>
              <w:top w:val="nil"/>
              <w:left w:val="nil"/>
              <w:right w:val="nil"/>
            </w:tcBorders>
          </w:tcPr>
          <w:p w14:paraId="440C4286"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0.07</w:t>
            </w:r>
          </w:p>
        </w:tc>
        <w:tc>
          <w:tcPr>
            <w:tcW w:w="0" w:type="auto"/>
            <w:tcBorders>
              <w:top w:val="nil"/>
              <w:left w:val="nil"/>
              <w:right w:val="nil"/>
            </w:tcBorders>
          </w:tcPr>
          <w:p w14:paraId="2560D99C"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0.02</w:t>
            </w:r>
          </w:p>
        </w:tc>
        <w:tc>
          <w:tcPr>
            <w:tcW w:w="0" w:type="auto"/>
            <w:tcBorders>
              <w:top w:val="nil"/>
              <w:left w:val="nil"/>
              <w:right w:val="nil"/>
            </w:tcBorders>
          </w:tcPr>
          <w:p w14:paraId="0F8901B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-0.05</w:t>
            </w:r>
          </w:p>
        </w:tc>
        <w:tc>
          <w:tcPr>
            <w:tcW w:w="0" w:type="auto"/>
            <w:tcBorders>
              <w:top w:val="nil"/>
              <w:left w:val="nil"/>
              <w:right w:val="nil"/>
            </w:tcBorders>
          </w:tcPr>
          <w:p w14:paraId="1613FE0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0.32</w:t>
            </w:r>
            <w:r w:rsidRPr="000416A2">
              <w:rPr>
                <w:rFonts w:ascii="Times New Roman" w:hAnsi="Times New Roman" w:cs="Times New Roman"/>
                <w:sz w:val="16"/>
                <w:szCs w:val="16"/>
                <w:vertAlign w:val="superscript"/>
                <w:lang w:val="en-US"/>
              </w:rPr>
              <w:t>*</w:t>
            </w:r>
          </w:p>
        </w:tc>
        <w:tc>
          <w:tcPr>
            <w:tcW w:w="0" w:type="auto"/>
            <w:tcBorders>
              <w:top w:val="nil"/>
              <w:left w:val="nil"/>
              <w:right w:val="nil"/>
            </w:tcBorders>
          </w:tcPr>
          <w:p w14:paraId="180655D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0.03</w:t>
            </w:r>
          </w:p>
        </w:tc>
        <w:tc>
          <w:tcPr>
            <w:tcW w:w="0" w:type="auto"/>
            <w:tcBorders>
              <w:top w:val="nil"/>
              <w:left w:val="nil"/>
              <w:right w:val="nil"/>
            </w:tcBorders>
          </w:tcPr>
          <w:p w14:paraId="46183BDA"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-0.12</w:t>
            </w:r>
            <w:r w:rsidRPr="000416A2">
              <w:rPr>
                <w:rFonts w:ascii="Times New Roman" w:hAnsi="Times New Roman" w:cs="Times New Roman"/>
                <w:sz w:val="16"/>
                <w:szCs w:val="16"/>
                <w:vertAlign w:val="superscript"/>
                <w:lang w:val="en-US"/>
              </w:rPr>
              <w:t>*</w:t>
            </w:r>
          </w:p>
        </w:tc>
        <w:tc>
          <w:tcPr>
            <w:tcW w:w="0" w:type="auto"/>
            <w:tcBorders>
              <w:top w:val="nil"/>
              <w:left w:val="nil"/>
              <w:right w:val="nil"/>
            </w:tcBorders>
          </w:tcPr>
          <w:p w14:paraId="2ABCE1C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-0.04</w:t>
            </w:r>
          </w:p>
        </w:tc>
        <w:tc>
          <w:tcPr>
            <w:tcW w:w="0" w:type="auto"/>
            <w:tcBorders>
              <w:top w:val="nil"/>
              <w:left w:val="nil"/>
              <w:right w:val="nil"/>
            </w:tcBorders>
          </w:tcPr>
          <w:p w14:paraId="2B2D6E80"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-0.04</w:t>
            </w:r>
          </w:p>
        </w:tc>
        <w:tc>
          <w:tcPr>
            <w:tcW w:w="0" w:type="auto"/>
            <w:tcBorders>
              <w:top w:val="nil"/>
              <w:left w:val="nil"/>
              <w:right w:val="nil"/>
            </w:tcBorders>
          </w:tcPr>
          <w:p w14:paraId="08F4DF9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c>
          <w:tcPr>
            <w:tcW w:w="0" w:type="auto"/>
            <w:tcBorders>
              <w:top w:val="nil"/>
              <w:left w:val="nil"/>
              <w:right w:val="nil"/>
            </w:tcBorders>
          </w:tcPr>
          <w:p w14:paraId="3533964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p>
        </w:tc>
      </w:tr>
      <w:tr w:rsidR="000416A2" w:rsidRPr="000416A2" w14:paraId="3D35CA72" w14:textId="77777777" w:rsidTr="003D4BF9">
        <w:trPr>
          <w:trHeight w:val="397"/>
        </w:trPr>
        <w:tc>
          <w:tcPr>
            <w:tcW w:w="554" w:type="dxa"/>
            <w:tcBorders>
              <w:top w:val="nil"/>
              <w:left w:val="nil"/>
              <w:bottom w:val="single" w:sz="4" w:space="0" w:color="auto"/>
              <w:right w:val="nil"/>
            </w:tcBorders>
          </w:tcPr>
          <w:p w14:paraId="5726B82A" w14:textId="77777777" w:rsidR="000416A2" w:rsidRPr="000416A2" w:rsidRDefault="000416A2" w:rsidP="000416A2">
            <w:pPr>
              <w:widowControl w:val="0"/>
              <w:autoSpaceDE w:val="0"/>
              <w:autoSpaceDN w:val="0"/>
              <w:adjustRightInd w:val="0"/>
              <w:spacing w:after="0" w:line="240" w:lineRule="auto"/>
              <w:rPr>
                <w:rFonts w:ascii="Times New Roman" w:hAnsi="Times New Roman" w:cs="Times New Roman"/>
                <w:sz w:val="16"/>
                <w:szCs w:val="16"/>
                <w:lang w:val="en-US"/>
              </w:rPr>
            </w:pPr>
            <w:r w:rsidRPr="000416A2">
              <w:rPr>
                <w:rFonts w:ascii="Times New Roman" w:hAnsi="Times New Roman" w:cs="Times New Roman"/>
                <w:sz w:val="16"/>
                <w:szCs w:val="16"/>
                <w:lang w:val="en-US"/>
              </w:rPr>
              <w:t>GDR</w:t>
            </w:r>
          </w:p>
        </w:tc>
        <w:tc>
          <w:tcPr>
            <w:tcW w:w="0" w:type="auto"/>
            <w:tcBorders>
              <w:top w:val="nil"/>
              <w:left w:val="nil"/>
              <w:bottom w:val="single" w:sz="4" w:space="0" w:color="auto"/>
              <w:right w:val="nil"/>
            </w:tcBorders>
          </w:tcPr>
          <w:p w14:paraId="0374077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-0.07</w:t>
            </w:r>
          </w:p>
        </w:tc>
        <w:tc>
          <w:tcPr>
            <w:tcW w:w="0" w:type="auto"/>
            <w:tcBorders>
              <w:top w:val="nil"/>
              <w:left w:val="nil"/>
              <w:bottom w:val="single" w:sz="4" w:space="0" w:color="auto"/>
              <w:right w:val="nil"/>
            </w:tcBorders>
          </w:tcPr>
          <w:p w14:paraId="154E27E9"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-0.05</w:t>
            </w:r>
          </w:p>
        </w:tc>
        <w:tc>
          <w:tcPr>
            <w:tcW w:w="0" w:type="auto"/>
            <w:tcBorders>
              <w:top w:val="nil"/>
              <w:left w:val="nil"/>
              <w:bottom w:val="single" w:sz="4" w:space="0" w:color="auto"/>
              <w:right w:val="nil"/>
            </w:tcBorders>
          </w:tcPr>
          <w:p w14:paraId="725DCF69"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0.24</w:t>
            </w:r>
            <w:r w:rsidRPr="000416A2">
              <w:rPr>
                <w:rFonts w:ascii="Times New Roman" w:hAnsi="Times New Roman" w:cs="Times New Roman"/>
                <w:sz w:val="16"/>
                <w:szCs w:val="16"/>
                <w:vertAlign w:val="superscript"/>
                <w:lang w:val="en-US"/>
              </w:rPr>
              <w:t>*</w:t>
            </w:r>
          </w:p>
        </w:tc>
        <w:tc>
          <w:tcPr>
            <w:tcW w:w="0" w:type="auto"/>
            <w:tcBorders>
              <w:top w:val="nil"/>
              <w:left w:val="nil"/>
              <w:bottom w:val="single" w:sz="4" w:space="0" w:color="auto"/>
              <w:right w:val="nil"/>
            </w:tcBorders>
          </w:tcPr>
          <w:p w14:paraId="13EAF113"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0.34</w:t>
            </w:r>
            <w:r w:rsidRPr="000416A2">
              <w:rPr>
                <w:rFonts w:ascii="Times New Roman" w:hAnsi="Times New Roman" w:cs="Times New Roman"/>
                <w:sz w:val="16"/>
                <w:szCs w:val="16"/>
                <w:vertAlign w:val="superscript"/>
                <w:lang w:val="en-US"/>
              </w:rPr>
              <w:t>*</w:t>
            </w:r>
          </w:p>
        </w:tc>
        <w:tc>
          <w:tcPr>
            <w:tcW w:w="0" w:type="auto"/>
            <w:tcBorders>
              <w:top w:val="nil"/>
              <w:left w:val="nil"/>
              <w:bottom w:val="single" w:sz="4" w:space="0" w:color="auto"/>
              <w:right w:val="nil"/>
            </w:tcBorders>
          </w:tcPr>
          <w:p w14:paraId="372F182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0.36</w:t>
            </w:r>
            <w:r w:rsidRPr="000416A2">
              <w:rPr>
                <w:rFonts w:ascii="Times New Roman" w:hAnsi="Times New Roman" w:cs="Times New Roman"/>
                <w:sz w:val="16"/>
                <w:szCs w:val="16"/>
                <w:vertAlign w:val="superscript"/>
                <w:lang w:val="en-US"/>
              </w:rPr>
              <w:t>*</w:t>
            </w:r>
          </w:p>
        </w:tc>
        <w:tc>
          <w:tcPr>
            <w:tcW w:w="0" w:type="auto"/>
            <w:tcBorders>
              <w:top w:val="nil"/>
              <w:left w:val="nil"/>
              <w:bottom w:val="single" w:sz="4" w:space="0" w:color="auto"/>
              <w:right w:val="nil"/>
            </w:tcBorders>
          </w:tcPr>
          <w:p w14:paraId="24BF71F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0.14</w:t>
            </w:r>
            <w:r w:rsidRPr="000416A2">
              <w:rPr>
                <w:rFonts w:ascii="Times New Roman" w:hAnsi="Times New Roman" w:cs="Times New Roman"/>
                <w:sz w:val="16"/>
                <w:szCs w:val="16"/>
                <w:vertAlign w:val="superscript"/>
                <w:lang w:val="en-US"/>
              </w:rPr>
              <w:t>*</w:t>
            </w:r>
          </w:p>
        </w:tc>
        <w:tc>
          <w:tcPr>
            <w:tcW w:w="0" w:type="auto"/>
            <w:tcBorders>
              <w:top w:val="nil"/>
              <w:left w:val="nil"/>
              <w:bottom w:val="single" w:sz="4" w:space="0" w:color="auto"/>
              <w:right w:val="nil"/>
            </w:tcBorders>
          </w:tcPr>
          <w:p w14:paraId="5F8478C8"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0.19</w:t>
            </w:r>
            <w:r w:rsidRPr="000416A2">
              <w:rPr>
                <w:rFonts w:ascii="Times New Roman" w:hAnsi="Times New Roman" w:cs="Times New Roman"/>
                <w:sz w:val="16"/>
                <w:szCs w:val="16"/>
                <w:vertAlign w:val="superscript"/>
                <w:lang w:val="en-US"/>
              </w:rPr>
              <w:t>*</w:t>
            </w:r>
          </w:p>
        </w:tc>
        <w:tc>
          <w:tcPr>
            <w:tcW w:w="0" w:type="auto"/>
            <w:tcBorders>
              <w:top w:val="nil"/>
              <w:left w:val="nil"/>
              <w:bottom w:val="single" w:sz="4" w:space="0" w:color="auto"/>
              <w:right w:val="nil"/>
            </w:tcBorders>
          </w:tcPr>
          <w:p w14:paraId="781A7F3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-0.08</w:t>
            </w:r>
          </w:p>
        </w:tc>
        <w:tc>
          <w:tcPr>
            <w:tcW w:w="0" w:type="auto"/>
            <w:tcBorders>
              <w:top w:val="nil"/>
              <w:left w:val="nil"/>
              <w:bottom w:val="single" w:sz="4" w:space="0" w:color="auto"/>
              <w:right w:val="nil"/>
            </w:tcBorders>
          </w:tcPr>
          <w:p w14:paraId="2B9097F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-0.29</w:t>
            </w:r>
            <w:r w:rsidRPr="000416A2">
              <w:rPr>
                <w:rFonts w:ascii="Times New Roman" w:hAnsi="Times New Roman" w:cs="Times New Roman"/>
                <w:sz w:val="16"/>
                <w:szCs w:val="16"/>
                <w:vertAlign w:val="superscript"/>
                <w:lang w:val="en-US"/>
              </w:rPr>
              <w:t>*</w:t>
            </w:r>
          </w:p>
        </w:tc>
        <w:tc>
          <w:tcPr>
            <w:tcW w:w="0" w:type="auto"/>
            <w:tcBorders>
              <w:top w:val="nil"/>
              <w:left w:val="nil"/>
              <w:bottom w:val="single" w:sz="4" w:space="0" w:color="auto"/>
              <w:right w:val="nil"/>
            </w:tcBorders>
          </w:tcPr>
          <w:p w14:paraId="65238160"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0.08</w:t>
            </w:r>
          </w:p>
        </w:tc>
        <w:tc>
          <w:tcPr>
            <w:tcW w:w="0" w:type="auto"/>
            <w:tcBorders>
              <w:top w:val="nil"/>
              <w:left w:val="nil"/>
              <w:bottom w:val="single" w:sz="4" w:space="0" w:color="auto"/>
              <w:right w:val="nil"/>
            </w:tcBorders>
          </w:tcPr>
          <w:p w14:paraId="1E27301F"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-0.06</w:t>
            </w:r>
          </w:p>
        </w:tc>
        <w:tc>
          <w:tcPr>
            <w:tcW w:w="0" w:type="auto"/>
            <w:tcBorders>
              <w:top w:val="nil"/>
              <w:left w:val="nil"/>
              <w:bottom w:val="single" w:sz="4" w:space="0" w:color="auto"/>
              <w:right w:val="nil"/>
            </w:tcBorders>
          </w:tcPr>
          <w:p w14:paraId="606DCC7B"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-0.03</w:t>
            </w:r>
          </w:p>
        </w:tc>
        <w:tc>
          <w:tcPr>
            <w:tcW w:w="0" w:type="auto"/>
            <w:tcBorders>
              <w:top w:val="nil"/>
              <w:left w:val="nil"/>
              <w:bottom w:val="single" w:sz="4" w:space="0" w:color="auto"/>
              <w:right w:val="nil"/>
            </w:tcBorders>
          </w:tcPr>
          <w:p w14:paraId="6F4A85DD"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0.44</w:t>
            </w:r>
            <w:r w:rsidRPr="000416A2">
              <w:rPr>
                <w:rFonts w:ascii="Times New Roman" w:hAnsi="Times New Roman" w:cs="Times New Roman"/>
                <w:sz w:val="16"/>
                <w:szCs w:val="16"/>
                <w:vertAlign w:val="superscript"/>
                <w:lang w:val="en-US"/>
              </w:rPr>
              <w:t>*</w:t>
            </w:r>
          </w:p>
        </w:tc>
        <w:tc>
          <w:tcPr>
            <w:tcW w:w="0" w:type="auto"/>
            <w:tcBorders>
              <w:top w:val="nil"/>
              <w:left w:val="nil"/>
              <w:bottom w:val="single" w:sz="4" w:space="0" w:color="auto"/>
              <w:right w:val="nil"/>
            </w:tcBorders>
          </w:tcPr>
          <w:p w14:paraId="18FE60CE"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0.43</w:t>
            </w:r>
            <w:r w:rsidRPr="000416A2">
              <w:rPr>
                <w:rFonts w:ascii="Times New Roman" w:hAnsi="Times New Roman" w:cs="Times New Roman"/>
                <w:sz w:val="16"/>
                <w:szCs w:val="16"/>
                <w:vertAlign w:val="superscript"/>
                <w:lang w:val="en-US"/>
              </w:rPr>
              <w:t>*</w:t>
            </w:r>
          </w:p>
        </w:tc>
        <w:tc>
          <w:tcPr>
            <w:tcW w:w="0" w:type="auto"/>
            <w:tcBorders>
              <w:top w:val="nil"/>
              <w:left w:val="nil"/>
              <w:bottom w:val="single" w:sz="4" w:space="0" w:color="auto"/>
              <w:right w:val="nil"/>
            </w:tcBorders>
          </w:tcPr>
          <w:p w14:paraId="71D4798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0.12</w:t>
            </w:r>
            <w:r w:rsidRPr="000416A2">
              <w:rPr>
                <w:rFonts w:ascii="Times New Roman" w:hAnsi="Times New Roman" w:cs="Times New Roman"/>
                <w:sz w:val="16"/>
                <w:szCs w:val="16"/>
                <w:vertAlign w:val="superscript"/>
                <w:lang w:val="en-US"/>
              </w:rPr>
              <w:t>*</w:t>
            </w:r>
          </w:p>
        </w:tc>
        <w:tc>
          <w:tcPr>
            <w:tcW w:w="0" w:type="auto"/>
            <w:tcBorders>
              <w:top w:val="nil"/>
              <w:left w:val="nil"/>
              <w:bottom w:val="single" w:sz="4" w:space="0" w:color="auto"/>
              <w:right w:val="nil"/>
            </w:tcBorders>
          </w:tcPr>
          <w:p w14:paraId="7F462C51"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-0.04</w:t>
            </w:r>
          </w:p>
        </w:tc>
        <w:tc>
          <w:tcPr>
            <w:tcW w:w="0" w:type="auto"/>
            <w:tcBorders>
              <w:top w:val="nil"/>
              <w:left w:val="nil"/>
              <w:bottom w:val="single" w:sz="4" w:space="0" w:color="auto"/>
              <w:right w:val="nil"/>
            </w:tcBorders>
          </w:tcPr>
          <w:p w14:paraId="421F1357" w14:textId="77777777" w:rsidR="000416A2" w:rsidRPr="000416A2" w:rsidRDefault="000416A2" w:rsidP="000416A2">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416A2">
              <w:rPr>
                <w:rFonts w:ascii="Times New Roman" w:hAnsi="Times New Roman" w:cs="Times New Roman"/>
                <w:sz w:val="16"/>
                <w:szCs w:val="16"/>
                <w:lang w:val="en-US"/>
              </w:rPr>
              <w:t>1.00</w:t>
            </w:r>
          </w:p>
        </w:tc>
      </w:tr>
    </w:tbl>
    <w:bookmarkEnd w:id="0"/>
    <w:p w14:paraId="2FC4F3D5" w14:textId="28B66879" w:rsidR="002C4D9C" w:rsidRPr="00723F15" w:rsidRDefault="00CD0CBC" w:rsidP="007C19C4">
      <w:pPr>
        <w:spacing w:line="360" w:lineRule="auto"/>
        <w:jc w:val="both"/>
        <w:rPr>
          <w:rFonts w:asciiTheme="majorBidi" w:hAnsiTheme="majorBidi" w:cstheme="majorBidi"/>
          <w:b/>
          <w:bCs/>
          <w:sz w:val="16"/>
          <w:szCs w:val="16"/>
        </w:rPr>
      </w:pPr>
      <w:r w:rsidRPr="007E7774">
        <w:rPr>
          <w:rFonts w:ascii="Times New Roman" w:hAnsi="Times New Roman"/>
          <w:sz w:val="16"/>
          <w:szCs w:val="16"/>
        </w:rPr>
        <w:t xml:space="preserve">The table provides the correlation coefficient between the variables. All variables are described in Table 1. * </w:t>
      </w:r>
      <w:proofErr w:type="gramStart"/>
      <w:r w:rsidRPr="007E7774">
        <w:rPr>
          <w:rFonts w:ascii="Times New Roman" w:hAnsi="Times New Roman"/>
          <w:sz w:val="16"/>
          <w:szCs w:val="16"/>
        </w:rPr>
        <w:t>indicates</w:t>
      </w:r>
      <w:proofErr w:type="gramEnd"/>
      <w:r w:rsidRPr="007E7774">
        <w:rPr>
          <w:rFonts w:ascii="Times New Roman" w:hAnsi="Times New Roman"/>
          <w:sz w:val="16"/>
          <w:szCs w:val="16"/>
        </w:rPr>
        <w:t xml:space="preserve"> significance at 1%                             </w:t>
      </w:r>
    </w:p>
    <w:p w14:paraId="36F1B1B0" w14:textId="713A7996" w:rsidR="0029761D" w:rsidRDefault="0029761D" w:rsidP="007C19C4">
      <w:pPr>
        <w:spacing w:line="360" w:lineRule="auto"/>
        <w:jc w:val="both"/>
        <w:rPr>
          <w:rFonts w:asciiTheme="majorBidi" w:hAnsiTheme="majorBidi" w:cstheme="majorBidi"/>
          <w:b/>
          <w:bCs/>
          <w:sz w:val="24"/>
          <w:szCs w:val="24"/>
        </w:rPr>
      </w:pPr>
    </w:p>
    <w:p w14:paraId="6B5768B9" w14:textId="13597D84" w:rsidR="0029761D" w:rsidRDefault="0029761D" w:rsidP="007C19C4">
      <w:pPr>
        <w:spacing w:line="360" w:lineRule="auto"/>
        <w:jc w:val="both"/>
        <w:rPr>
          <w:rFonts w:asciiTheme="majorBidi" w:hAnsiTheme="majorBidi" w:cstheme="majorBidi"/>
          <w:b/>
          <w:bCs/>
          <w:sz w:val="24"/>
          <w:szCs w:val="24"/>
        </w:rPr>
      </w:pPr>
    </w:p>
    <w:p w14:paraId="7C57EA25" w14:textId="77777777" w:rsidR="0029761D" w:rsidRDefault="0029761D" w:rsidP="007C19C4">
      <w:pPr>
        <w:spacing w:line="360" w:lineRule="auto"/>
        <w:jc w:val="both"/>
        <w:rPr>
          <w:rFonts w:asciiTheme="majorBidi" w:hAnsiTheme="majorBidi" w:cstheme="majorBidi"/>
          <w:b/>
          <w:bCs/>
          <w:sz w:val="24"/>
          <w:szCs w:val="24"/>
        </w:rPr>
      </w:pPr>
    </w:p>
    <w:p w14:paraId="05251890" w14:textId="7B2BFF09" w:rsidR="00390128" w:rsidRDefault="00390128" w:rsidP="007C19C4">
      <w:pPr>
        <w:spacing w:line="360" w:lineRule="auto"/>
        <w:jc w:val="both"/>
        <w:rPr>
          <w:rFonts w:asciiTheme="majorBidi" w:hAnsiTheme="majorBidi" w:cstheme="majorBidi"/>
          <w:b/>
          <w:bCs/>
          <w:sz w:val="24"/>
          <w:szCs w:val="24"/>
        </w:rPr>
      </w:pPr>
    </w:p>
    <w:p w14:paraId="61E3FB59" w14:textId="022E6193" w:rsidR="00390128" w:rsidRDefault="00390128" w:rsidP="007C19C4">
      <w:pPr>
        <w:spacing w:line="360" w:lineRule="auto"/>
        <w:jc w:val="both"/>
        <w:rPr>
          <w:rFonts w:asciiTheme="majorBidi" w:hAnsiTheme="majorBidi" w:cstheme="majorBidi"/>
          <w:b/>
          <w:bCs/>
          <w:sz w:val="24"/>
          <w:szCs w:val="24"/>
        </w:rPr>
      </w:pPr>
    </w:p>
    <w:p w14:paraId="4861E885" w14:textId="6F21FEEC" w:rsidR="00390128" w:rsidRDefault="00390128" w:rsidP="007C19C4">
      <w:pPr>
        <w:spacing w:line="360" w:lineRule="auto"/>
        <w:jc w:val="both"/>
        <w:rPr>
          <w:rFonts w:asciiTheme="majorBidi" w:hAnsiTheme="majorBidi" w:cstheme="majorBidi"/>
          <w:b/>
          <w:bCs/>
          <w:sz w:val="24"/>
          <w:szCs w:val="24"/>
        </w:rPr>
      </w:pPr>
    </w:p>
    <w:p w14:paraId="063D94F4" w14:textId="038819CE" w:rsidR="00390128" w:rsidRDefault="00390128" w:rsidP="007C19C4">
      <w:pPr>
        <w:spacing w:line="360" w:lineRule="auto"/>
        <w:jc w:val="both"/>
        <w:rPr>
          <w:rFonts w:asciiTheme="majorBidi" w:hAnsiTheme="majorBidi" w:cstheme="majorBidi"/>
          <w:b/>
          <w:bCs/>
          <w:sz w:val="24"/>
          <w:szCs w:val="24"/>
        </w:rPr>
      </w:pPr>
    </w:p>
    <w:p w14:paraId="3AFB8646" w14:textId="21EB0113" w:rsidR="003D25A1" w:rsidRDefault="003D25A1" w:rsidP="007C19C4">
      <w:pPr>
        <w:spacing w:line="360" w:lineRule="auto"/>
        <w:jc w:val="both"/>
        <w:rPr>
          <w:rFonts w:asciiTheme="majorBidi" w:hAnsiTheme="majorBidi" w:cstheme="majorBidi"/>
          <w:b/>
          <w:bCs/>
          <w:sz w:val="24"/>
          <w:szCs w:val="24"/>
        </w:rPr>
        <w:sectPr w:rsidR="003D25A1" w:rsidSect="003D25A1">
          <w:pgSz w:w="16838" w:h="11906" w:orient="landscape"/>
          <w:pgMar w:top="1440" w:right="1440" w:bottom="1440" w:left="1440" w:header="708" w:footer="708" w:gutter="0"/>
          <w:cols w:space="708"/>
          <w:docGrid w:linePitch="360"/>
        </w:sectPr>
      </w:pPr>
    </w:p>
    <w:p w14:paraId="1E5E9F66" w14:textId="4EB48728" w:rsidR="005342D0" w:rsidRDefault="005342D0" w:rsidP="007C19C4">
      <w:pPr>
        <w:spacing w:line="360" w:lineRule="auto"/>
        <w:jc w:val="both"/>
        <w:rPr>
          <w:rFonts w:asciiTheme="majorBidi" w:hAnsiTheme="majorBidi" w:cstheme="majorBidi"/>
          <w:b/>
          <w:bCs/>
          <w:sz w:val="24"/>
          <w:szCs w:val="24"/>
        </w:rPr>
      </w:pPr>
    </w:p>
    <w:p w14:paraId="2AF71988" w14:textId="2CB7B319" w:rsidR="001E0DEF" w:rsidRPr="00C75A24" w:rsidRDefault="001E0DEF" w:rsidP="007C19C4">
      <w:pPr>
        <w:spacing w:line="360" w:lineRule="auto"/>
        <w:jc w:val="both"/>
        <w:rPr>
          <w:rFonts w:asciiTheme="majorBidi" w:hAnsiTheme="majorBidi" w:cstheme="majorBidi"/>
          <w:b/>
          <w:bCs/>
          <w:sz w:val="24"/>
          <w:szCs w:val="24"/>
        </w:rPr>
      </w:pPr>
      <w:r w:rsidRPr="00C75A24">
        <w:rPr>
          <w:rFonts w:asciiTheme="majorBidi" w:hAnsiTheme="majorBidi" w:cstheme="majorBidi"/>
          <w:b/>
          <w:bCs/>
          <w:sz w:val="24"/>
          <w:szCs w:val="24"/>
        </w:rPr>
        <w:t>Table 4: Managerial bonus compensation and firm performance</w:t>
      </w:r>
    </w:p>
    <w:tbl>
      <w:tblPr>
        <w:tblW w:w="9265" w:type="dxa"/>
        <w:tblLayout w:type="fixed"/>
        <w:tblLook w:val="0000" w:firstRow="0" w:lastRow="0" w:firstColumn="0" w:lastColumn="0" w:noHBand="0" w:noVBand="0"/>
      </w:tblPr>
      <w:tblGrid>
        <w:gridCol w:w="1656"/>
        <w:gridCol w:w="1134"/>
        <w:gridCol w:w="1417"/>
        <w:gridCol w:w="923"/>
        <w:gridCol w:w="1350"/>
        <w:gridCol w:w="1260"/>
        <w:gridCol w:w="1525"/>
      </w:tblGrid>
      <w:tr w:rsidR="001E0DEF" w:rsidRPr="007C19C4" w14:paraId="00B1CF69" w14:textId="77777777" w:rsidTr="003D25A1">
        <w:trPr>
          <w:trHeight w:val="188"/>
        </w:trPr>
        <w:tc>
          <w:tcPr>
            <w:tcW w:w="1656" w:type="dxa"/>
            <w:tcBorders>
              <w:top w:val="single" w:sz="4" w:space="0" w:color="auto"/>
            </w:tcBorders>
          </w:tcPr>
          <w:p w14:paraId="649B363E" w14:textId="77777777" w:rsidR="001E0DEF" w:rsidRPr="007C19C4" w:rsidRDefault="001E0DEF" w:rsidP="005E39DE">
            <w:pPr>
              <w:widowControl w:val="0"/>
              <w:autoSpaceDE w:val="0"/>
              <w:autoSpaceDN w:val="0"/>
              <w:adjustRightInd w:val="0"/>
              <w:spacing w:after="0" w:line="276" w:lineRule="auto"/>
              <w:rPr>
                <w:rFonts w:asciiTheme="majorBidi" w:hAnsiTheme="majorBidi" w:cstheme="majorBidi"/>
                <w:b/>
                <w:bCs/>
                <w:sz w:val="20"/>
                <w:szCs w:val="20"/>
                <w:lang w:val="en-US"/>
              </w:rPr>
            </w:pPr>
          </w:p>
        </w:tc>
        <w:tc>
          <w:tcPr>
            <w:tcW w:w="1134" w:type="dxa"/>
            <w:tcBorders>
              <w:top w:val="single" w:sz="4" w:space="0" w:color="auto"/>
            </w:tcBorders>
          </w:tcPr>
          <w:p w14:paraId="317CDF70" w14:textId="676B1B45" w:rsidR="001E0DEF" w:rsidRPr="007C19C4"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w:t>
            </w:r>
            <w:r w:rsidR="00B30E5C">
              <w:rPr>
                <w:rFonts w:asciiTheme="majorBidi" w:hAnsiTheme="majorBidi" w:cstheme="majorBidi"/>
                <w:b/>
                <w:bCs/>
                <w:sz w:val="20"/>
                <w:szCs w:val="20"/>
                <w:lang w:val="en-US"/>
              </w:rPr>
              <w:t>OLS 1</w:t>
            </w:r>
            <w:r w:rsidRPr="007C19C4">
              <w:rPr>
                <w:rFonts w:asciiTheme="majorBidi" w:hAnsiTheme="majorBidi" w:cstheme="majorBidi"/>
                <w:b/>
                <w:bCs/>
                <w:sz w:val="20"/>
                <w:szCs w:val="20"/>
                <w:lang w:val="en-US"/>
              </w:rPr>
              <w:t>)</w:t>
            </w:r>
          </w:p>
        </w:tc>
        <w:tc>
          <w:tcPr>
            <w:tcW w:w="1417" w:type="dxa"/>
            <w:tcBorders>
              <w:top w:val="single" w:sz="4" w:space="0" w:color="auto"/>
            </w:tcBorders>
          </w:tcPr>
          <w:p w14:paraId="1E948948" w14:textId="0DBA005D" w:rsidR="001E0DEF" w:rsidRPr="007C19C4"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w:t>
            </w:r>
            <w:r w:rsidR="00B30E5C">
              <w:rPr>
                <w:rFonts w:asciiTheme="majorBidi" w:hAnsiTheme="majorBidi" w:cstheme="majorBidi"/>
                <w:b/>
                <w:bCs/>
                <w:sz w:val="20"/>
                <w:szCs w:val="20"/>
                <w:lang w:val="en-US"/>
              </w:rPr>
              <w:t>OLS</w:t>
            </w:r>
            <w:r w:rsidRPr="007C19C4">
              <w:rPr>
                <w:rFonts w:asciiTheme="majorBidi" w:hAnsiTheme="majorBidi" w:cstheme="majorBidi"/>
                <w:b/>
                <w:bCs/>
                <w:sz w:val="20"/>
                <w:szCs w:val="20"/>
                <w:lang w:val="en-US"/>
              </w:rPr>
              <w:t xml:space="preserve"> 2)</w:t>
            </w:r>
          </w:p>
        </w:tc>
        <w:tc>
          <w:tcPr>
            <w:tcW w:w="923" w:type="dxa"/>
            <w:tcBorders>
              <w:top w:val="single" w:sz="4" w:space="0" w:color="auto"/>
            </w:tcBorders>
          </w:tcPr>
          <w:p w14:paraId="43634E79" w14:textId="1743D0A0" w:rsidR="001E0DEF" w:rsidRPr="007C19C4"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w:t>
            </w:r>
            <w:r w:rsidR="00B30E5C">
              <w:rPr>
                <w:rFonts w:asciiTheme="majorBidi" w:hAnsiTheme="majorBidi" w:cstheme="majorBidi"/>
                <w:b/>
                <w:bCs/>
                <w:sz w:val="20"/>
                <w:szCs w:val="20"/>
                <w:lang w:val="en-US"/>
              </w:rPr>
              <w:t xml:space="preserve">FE </w:t>
            </w:r>
            <w:r w:rsidRPr="007C19C4">
              <w:rPr>
                <w:rFonts w:asciiTheme="majorBidi" w:hAnsiTheme="majorBidi" w:cstheme="majorBidi"/>
                <w:b/>
                <w:bCs/>
                <w:sz w:val="20"/>
                <w:szCs w:val="20"/>
                <w:lang w:val="en-US"/>
              </w:rPr>
              <w:t>3)</w:t>
            </w:r>
          </w:p>
        </w:tc>
        <w:tc>
          <w:tcPr>
            <w:tcW w:w="1350" w:type="dxa"/>
            <w:tcBorders>
              <w:top w:val="single" w:sz="4" w:space="0" w:color="auto"/>
            </w:tcBorders>
          </w:tcPr>
          <w:p w14:paraId="53C63E17" w14:textId="59154732" w:rsidR="001E0DEF" w:rsidRPr="007C19C4"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w:t>
            </w:r>
            <w:r w:rsidR="00B30E5C">
              <w:rPr>
                <w:rFonts w:asciiTheme="majorBidi" w:hAnsiTheme="majorBidi" w:cstheme="majorBidi"/>
                <w:b/>
                <w:bCs/>
                <w:sz w:val="20"/>
                <w:szCs w:val="20"/>
                <w:lang w:val="en-US"/>
              </w:rPr>
              <w:t>FE</w:t>
            </w:r>
            <w:r w:rsidRPr="007C19C4">
              <w:rPr>
                <w:rFonts w:asciiTheme="majorBidi" w:hAnsiTheme="majorBidi" w:cstheme="majorBidi"/>
                <w:b/>
                <w:bCs/>
                <w:sz w:val="20"/>
                <w:szCs w:val="20"/>
                <w:lang w:val="en-US"/>
              </w:rPr>
              <w:t xml:space="preserve"> 4)</w:t>
            </w:r>
          </w:p>
        </w:tc>
        <w:tc>
          <w:tcPr>
            <w:tcW w:w="1260" w:type="dxa"/>
            <w:tcBorders>
              <w:top w:val="single" w:sz="4" w:space="0" w:color="auto"/>
            </w:tcBorders>
          </w:tcPr>
          <w:p w14:paraId="7748D2CA" w14:textId="25EDBB88" w:rsidR="001E0DEF" w:rsidRPr="007C19C4"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w:t>
            </w:r>
            <w:r w:rsidR="00B30E5C">
              <w:rPr>
                <w:rFonts w:asciiTheme="majorBidi" w:hAnsiTheme="majorBidi" w:cstheme="majorBidi"/>
                <w:b/>
                <w:bCs/>
                <w:sz w:val="20"/>
                <w:szCs w:val="20"/>
                <w:lang w:val="en-US"/>
              </w:rPr>
              <w:t>OLS</w:t>
            </w:r>
            <w:r w:rsidRPr="007C19C4">
              <w:rPr>
                <w:rFonts w:asciiTheme="majorBidi" w:hAnsiTheme="majorBidi" w:cstheme="majorBidi"/>
                <w:b/>
                <w:bCs/>
                <w:sz w:val="20"/>
                <w:szCs w:val="20"/>
                <w:lang w:val="en-US"/>
              </w:rPr>
              <w:t xml:space="preserve"> 5)</w:t>
            </w:r>
          </w:p>
        </w:tc>
        <w:tc>
          <w:tcPr>
            <w:tcW w:w="1525" w:type="dxa"/>
            <w:tcBorders>
              <w:top w:val="single" w:sz="4" w:space="0" w:color="auto"/>
            </w:tcBorders>
          </w:tcPr>
          <w:p w14:paraId="3FCB98CD" w14:textId="4B87043D" w:rsidR="001E0DEF" w:rsidRPr="007C19C4"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w:t>
            </w:r>
            <w:r w:rsidR="00B30E5C">
              <w:rPr>
                <w:rFonts w:asciiTheme="majorBidi" w:hAnsiTheme="majorBidi" w:cstheme="majorBidi"/>
                <w:b/>
                <w:bCs/>
                <w:sz w:val="20"/>
                <w:szCs w:val="20"/>
                <w:lang w:val="en-US"/>
              </w:rPr>
              <w:t>FE</w:t>
            </w:r>
            <w:r w:rsidRPr="007C19C4">
              <w:rPr>
                <w:rFonts w:asciiTheme="majorBidi" w:hAnsiTheme="majorBidi" w:cstheme="majorBidi"/>
                <w:b/>
                <w:bCs/>
                <w:sz w:val="20"/>
                <w:szCs w:val="20"/>
                <w:lang w:val="en-US"/>
              </w:rPr>
              <w:t xml:space="preserve"> 6)</w:t>
            </w:r>
          </w:p>
        </w:tc>
      </w:tr>
      <w:tr w:rsidR="001E0DEF" w:rsidRPr="007C19C4" w14:paraId="2ACA5F0C" w14:textId="77777777" w:rsidTr="003D25A1">
        <w:tc>
          <w:tcPr>
            <w:tcW w:w="1656" w:type="dxa"/>
            <w:tcBorders>
              <w:bottom w:val="single" w:sz="4" w:space="0" w:color="auto"/>
            </w:tcBorders>
          </w:tcPr>
          <w:p w14:paraId="406EA7F1" w14:textId="77777777" w:rsidR="001E0DEF" w:rsidRPr="007C19C4" w:rsidRDefault="001E0DEF" w:rsidP="005E39DE">
            <w:pPr>
              <w:widowControl w:val="0"/>
              <w:autoSpaceDE w:val="0"/>
              <w:autoSpaceDN w:val="0"/>
              <w:adjustRightInd w:val="0"/>
              <w:spacing w:after="0" w:line="276" w:lineRule="auto"/>
              <w:rPr>
                <w:rFonts w:asciiTheme="majorBidi" w:hAnsiTheme="majorBidi" w:cstheme="majorBidi"/>
                <w:b/>
                <w:bCs/>
                <w:sz w:val="20"/>
                <w:szCs w:val="20"/>
                <w:lang w:val="en-US"/>
              </w:rPr>
            </w:pPr>
          </w:p>
        </w:tc>
        <w:tc>
          <w:tcPr>
            <w:tcW w:w="1134" w:type="dxa"/>
            <w:tcBorders>
              <w:bottom w:val="single" w:sz="4" w:space="0" w:color="auto"/>
            </w:tcBorders>
          </w:tcPr>
          <w:p w14:paraId="702D9640" w14:textId="77777777" w:rsidR="001E0DEF" w:rsidRPr="007C19C4"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ROA</w:t>
            </w:r>
          </w:p>
        </w:tc>
        <w:tc>
          <w:tcPr>
            <w:tcW w:w="1417" w:type="dxa"/>
            <w:tcBorders>
              <w:bottom w:val="single" w:sz="4" w:space="0" w:color="auto"/>
            </w:tcBorders>
          </w:tcPr>
          <w:p w14:paraId="1FEA086B" w14:textId="77777777" w:rsidR="001E0DEF" w:rsidRPr="007C19C4"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ROA</w:t>
            </w:r>
          </w:p>
        </w:tc>
        <w:tc>
          <w:tcPr>
            <w:tcW w:w="923" w:type="dxa"/>
            <w:tcBorders>
              <w:bottom w:val="single" w:sz="4" w:space="0" w:color="auto"/>
            </w:tcBorders>
          </w:tcPr>
          <w:p w14:paraId="7051AB63" w14:textId="77777777" w:rsidR="001E0DEF" w:rsidRPr="007C19C4"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ROA</w:t>
            </w:r>
          </w:p>
        </w:tc>
        <w:tc>
          <w:tcPr>
            <w:tcW w:w="1350" w:type="dxa"/>
            <w:tcBorders>
              <w:bottom w:val="single" w:sz="4" w:space="0" w:color="auto"/>
            </w:tcBorders>
          </w:tcPr>
          <w:p w14:paraId="0828EFDA" w14:textId="77777777" w:rsidR="001E0DEF" w:rsidRPr="007C19C4"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ROA</w:t>
            </w:r>
          </w:p>
        </w:tc>
        <w:tc>
          <w:tcPr>
            <w:tcW w:w="1260" w:type="dxa"/>
            <w:tcBorders>
              <w:bottom w:val="single" w:sz="4" w:space="0" w:color="auto"/>
            </w:tcBorders>
          </w:tcPr>
          <w:p w14:paraId="25862D7A" w14:textId="77777777" w:rsidR="001E0DEF" w:rsidRPr="007C19C4"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Tobin Q</w:t>
            </w:r>
          </w:p>
        </w:tc>
        <w:tc>
          <w:tcPr>
            <w:tcW w:w="1525" w:type="dxa"/>
            <w:tcBorders>
              <w:bottom w:val="single" w:sz="4" w:space="0" w:color="auto"/>
            </w:tcBorders>
          </w:tcPr>
          <w:p w14:paraId="278B6C66" w14:textId="77777777" w:rsidR="001E0DEF" w:rsidRPr="007C19C4"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Tobin Q</w:t>
            </w:r>
          </w:p>
        </w:tc>
      </w:tr>
      <w:tr w:rsidR="001E0DEF" w:rsidRPr="007C19C4" w14:paraId="0DFA24C8" w14:textId="77777777" w:rsidTr="003D25A1">
        <w:tc>
          <w:tcPr>
            <w:tcW w:w="1656" w:type="dxa"/>
            <w:tcBorders>
              <w:top w:val="single" w:sz="4" w:space="0" w:color="auto"/>
              <w:left w:val="nil"/>
              <w:bottom w:val="nil"/>
              <w:right w:val="nil"/>
            </w:tcBorders>
          </w:tcPr>
          <w:p w14:paraId="30AD089B"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r w:rsidRPr="007C19C4">
              <w:rPr>
                <w:rFonts w:asciiTheme="majorBidi" w:hAnsiTheme="majorBidi" w:cstheme="majorBidi"/>
                <w:b/>
                <w:bCs/>
                <w:sz w:val="20"/>
                <w:szCs w:val="20"/>
                <w:lang w:val="en-US"/>
              </w:rPr>
              <w:t>TVP</w:t>
            </w:r>
          </w:p>
        </w:tc>
        <w:tc>
          <w:tcPr>
            <w:tcW w:w="1134" w:type="dxa"/>
            <w:tcBorders>
              <w:top w:val="single" w:sz="4" w:space="0" w:color="auto"/>
              <w:left w:val="nil"/>
              <w:bottom w:val="nil"/>
              <w:right w:val="nil"/>
            </w:tcBorders>
          </w:tcPr>
          <w:p w14:paraId="792FF374"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0.512*</w:t>
            </w:r>
          </w:p>
        </w:tc>
        <w:tc>
          <w:tcPr>
            <w:tcW w:w="1417" w:type="dxa"/>
            <w:tcBorders>
              <w:top w:val="single" w:sz="4" w:space="0" w:color="auto"/>
              <w:left w:val="nil"/>
              <w:bottom w:val="nil"/>
              <w:right w:val="nil"/>
            </w:tcBorders>
          </w:tcPr>
          <w:p w14:paraId="3F9B9E7B"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1.751</w:t>
            </w:r>
            <w:r w:rsidRPr="007C19C4">
              <w:rPr>
                <w:rFonts w:asciiTheme="majorBidi" w:hAnsiTheme="majorBidi" w:cstheme="majorBidi"/>
                <w:sz w:val="20"/>
                <w:szCs w:val="20"/>
                <w:vertAlign w:val="superscript"/>
                <w:lang w:val="en-US"/>
              </w:rPr>
              <w:t>***</w:t>
            </w:r>
          </w:p>
        </w:tc>
        <w:tc>
          <w:tcPr>
            <w:tcW w:w="923" w:type="dxa"/>
            <w:tcBorders>
              <w:top w:val="single" w:sz="4" w:space="0" w:color="auto"/>
              <w:left w:val="nil"/>
              <w:bottom w:val="nil"/>
              <w:right w:val="nil"/>
            </w:tcBorders>
          </w:tcPr>
          <w:p w14:paraId="501B998B"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0.657</w:t>
            </w:r>
          </w:p>
        </w:tc>
        <w:tc>
          <w:tcPr>
            <w:tcW w:w="1350" w:type="dxa"/>
            <w:tcBorders>
              <w:top w:val="single" w:sz="4" w:space="0" w:color="auto"/>
              <w:left w:val="nil"/>
              <w:bottom w:val="nil"/>
              <w:right w:val="nil"/>
            </w:tcBorders>
          </w:tcPr>
          <w:p w14:paraId="4DDE4090"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0.801*</w:t>
            </w:r>
          </w:p>
        </w:tc>
        <w:tc>
          <w:tcPr>
            <w:tcW w:w="1260" w:type="dxa"/>
            <w:tcBorders>
              <w:top w:val="single" w:sz="4" w:space="0" w:color="auto"/>
              <w:left w:val="nil"/>
              <w:bottom w:val="nil"/>
              <w:right w:val="nil"/>
            </w:tcBorders>
          </w:tcPr>
          <w:p w14:paraId="625FB0B3"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0.209</w:t>
            </w:r>
            <w:r w:rsidRPr="007C19C4">
              <w:rPr>
                <w:rFonts w:asciiTheme="majorBidi" w:hAnsiTheme="majorBidi" w:cstheme="majorBidi"/>
                <w:sz w:val="20"/>
                <w:szCs w:val="20"/>
                <w:vertAlign w:val="superscript"/>
                <w:lang w:val="en-US"/>
              </w:rPr>
              <w:t>***</w:t>
            </w:r>
          </w:p>
        </w:tc>
        <w:tc>
          <w:tcPr>
            <w:tcW w:w="1525" w:type="dxa"/>
            <w:tcBorders>
              <w:top w:val="single" w:sz="4" w:space="0" w:color="auto"/>
              <w:left w:val="nil"/>
              <w:bottom w:val="nil"/>
              <w:right w:val="nil"/>
            </w:tcBorders>
          </w:tcPr>
          <w:p w14:paraId="0C0A9B72"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0.108</w:t>
            </w:r>
            <w:r w:rsidRPr="007C19C4">
              <w:rPr>
                <w:rFonts w:asciiTheme="majorBidi" w:hAnsiTheme="majorBidi" w:cstheme="majorBidi"/>
                <w:sz w:val="20"/>
                <w:szCs w:val="20"/>
                <w:vertAlign w:val="superscript"/>
                <w:lang w:val="en-US"/>
              </w:rPr>
              <w:t>***</w:t>
            </w:r>
          </w:p>
        </w:tc>
      </w:tr>
      <w:tr w:rsidR="001E0DEF" w:rsidRPr="007C19C4" w14:paraId="61B763D2" w14:textId="77777777" w:rsidTr="003D25A1">
        <w:tc>
          <w:tcPr>
            <w:tcW w:w="1656" w:type="dxa"/>
            <w:tcBorders>
              <w:top w:val="nil"/>
              <w:left w:val="nil"/>
              <w:bottom w:val="nil"/>
              <w:right w:val="nil"/>
            </w:tcBorders>
          </w:tcPr>
          <w:p w14:paraId="5061C141"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513FC81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(1.63)</w:t>
            </w:r>
          </w:p>
        </w:tc>
        <w:tc>
          <w:tcPr>
            <w:tcW w:w="1417" w:type="dxa"/>
            <w:tcBorders>
              <w:top w:val="nil"/>
              <w:left w:val="nil"/>
              <w:bottom w:val="nil"/>
              <w:right w:val="nil"/>
            </w:tcBorders>
          </w:tcPr>
          <w:p w14:paraId="16EBB5EF"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(5.10)</w:t>
            </w:r>
          </w:p>
        </w:tc>
        <w:tc>
          <w:tcPr>
            <w:tcW w:w="923" w:type="dxa"/>
            <w:tcBorders>
              <w:top w:val="nil"/>
              <w:left w:val="nil"/>
              <w:bottom w:val="nil"/>
              <w:right w:val="nil"/>
            </w:tcBorders>
          </w:tcPr>
          <w:p w14:paraId="6BAF3F4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(1.40)</w:t>
            </w:r>
          </w:p>
        </w:tc>
        <w:tc>
          <w:tcPr>
            <w:tcW w:w="1350" w:type="dxa"/>
            <w:tcBorders>
              <w:top w:val="nil"/>
              <w:left w:val="nil"/>
              <w:bottom w:val="nil"/>
              <w:right w:val="nil"/>
            </w:tcBorders>
          </w:tcPr>
          <w:p w14:paraId="3D1C76F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(1.71)</w:t>
            </w:r>
          </w:p>
        </w:tc>
        <w:tc>
          <w:tcPr>
            <w:tcW w:w="1260" w:type="dxa"/>
            <w:tcBorders>
              <w:top w:val="nil"/>
              <w:left w:val="nil"/>
              <w:bottom w:val="nil"/>
              <w:right w:val="nil"/>
            </w:tcBorders>
          </w:tcPr>
          <w:p w14:paraId="080DB83B"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(6.16)</w:t>
            </w:r>
          </w:p>
        </w:tc>
        <w:tc>
          <w:tcPr>
            <w:tcW w:w="1525" w:type="dxa"/>
            <w:tcBorders>
              <w:top w:val="nil"/>
              <w:left w:val="nil"/>
              <w:bottom w:val="nil"/>
              <w:right w:val="nil"/>
            </w:tcBorders>
          </w:tcPr>
          <w:p w14:paraId="11616DA1"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(2.98)</w:t>
            </w:r>
          </w:p>
        </w:tc>
      </w:tr>
      <w:tr w:rsidR="001E0DEF" w:rsidRPr="007C19C4" w14:paraId="54F0306E" w14:textId="77777777" w:rsidTr="003D25A1">
        <w:tc>
          <w:tcPr>
            <w:tcW w:w="1656" w:type="dxa"/>
            <w:tcBorders>
              <w:top w:val="nil"/>
              <w:left w:val="nil"/>
              <w:bottom w:val="nil"/>
              <w:right w:val="nil"/>
            </w:tcBorders>
          </w:tcPr>
          <w:p w14:paraId="537D612E"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0C05FF26"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417" w:type="dxa"/>
            <w:tcBorders>
              <w:top w:val="nil"/>
              <w:left w:val="nil"/>
              <w:bottom w:val="nil"/>
              <w:right w:val="nil"/>
            </w:tcBorders>
          </w:tcPr>
          <w:p w14:paraId="5D1A1BAF"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23" w:type="dxa"/>
            <w:tcBorders>
              <w:top w:val="nil"/>
              <w:left w:val="nil"/>
              <w:bottom w:val="nil"/>
              <w:right w:val="nil"/>
            </w:tcBorders>
          </w:tcPr>
          <w:p w14:paraId="4DA50255"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350" w:type="dxa"/>
            <w:tcBorders>
              <w:top w:val="nil"/>
              <w:left w:val="nil"/>
              <w:bottom w:val="nil"/>
              <w:right w:val="nil"/>
            </w:tcBorders>
          </w:tcPr>
          <w:p w14:paraId="4E575716"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260" w:type="dxa"/>
            <w:tcBorders>
              <w:top w:val="nil"/>
              <w:left w:val="nil"/>
              <w:bottom w:val="nil"/>
              <w:right w:val="nil"/>
            </w:tcBorders>
          </w:tcPr>
          <w:p w14:paraId="07B4C987"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525" w:type="dxa"/>
            <w:tcBorders>
              <w:top w:val="nil"/>
              <w:left w:val="nil"/>
              <w:bottom w:val="nil"/>
              <w:right w:val="nil"/>
            </w:tcBorders>
          </w:tcPr>
          <w:p w14:paraId="3DA3EE0D"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7C19C4" w14:paraId="1D8CE5EA" w14:textId="77777777" w:rsidTr="003D25A1">
        <w:tc>
          <w:tcPr>
            <w:tcW w:w="1656" w:type="dxa"/>
            <w:tcBorders>
              <w:top w:val="nil"/>
              <w:left w:val="nil"/>
              <w:bottom w:val="nil"/>
              <w:right w:val="nil"/>
            </w:tcBorders>
          </w:tcPr>
          <w:p w14:paraId="1D7EBF49"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TFP</w:t>
            </w:r>
          </w:p>
        </w:tc>
        <w:tc>
          <w:tcPr>
            <w:tcW w:w="1134" w:type="dxa"/>
            <w:tcBorders>
              <w:top w:val="nil"/>
              <w:left w:val="nil"/>
              <w:bottom w:val="nil"/>
              <w:right w:val="nil"/>
            </w:tcBorders>
          </w:tcPr>
          <w:p w14:paraId="227D0666"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316B3758"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-1.447</w:t>
            </w:r>
          </w:p>
        </w:tc>
        <w:tc>
          <w:tcPr>
            <w:tcW w:w="923" w:type="dxa"/>
            <w:tcBorders>
              <w:top w:val="nil"/>
              <w:left w:val="nil"/>
              <w:bottom w:val="nil"/>
              <w:right w:val="nil"/>
            </w:tcBorders>
          </w:tcPr>
          <w:p w14:paraId="7936FEF6"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4DE014F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-1.804</w:t>
            </w:r>
          </w:p>
        </w:tc>
        <w:tc>
          <w:tcPr>
            <w:tcW w:w="1260" w:type="dxa"/>
            <w:tcBorders>
              <w:top w:val="nil"/>
              <w:left w:val="nil"/>
              <w:bottom w:val="nil"/>
              <w:right w:val="nil"/>
            </w:tcBorders>
          </w:tcPr>
          <w:p w14:paraId="2890E2E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0.039</w:t>
            </w:r>
          </w:p>
        </w:tc>
        <w:tc>
          <w:tcPr>
            <w:tcW w:w="1525" w:type="dxa"/>
            <w:tcBorders>
              <w:top w:val="nil"/>
              <w:left w:val="nil"/>
              <w:bottom w:val="nil"/>
              <w:right w:val="nil"/>
            </w:tcBorders>
          </w:tcPr>
          <w:p w14:paraId="595E9BD3"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-0.184</w:t>
            </w:r>
          </w:p>
        </w:tc>
      </w:tr>
      <w:tr w:rsidR="001E0DEF" w:rsidRPr="007C19C4" w14:paraId="0F5563CB" w14:textId="77777777" w:rsidTr="003D25A1">
        <w:tc>
          <w:tcPr>
            <w:tcW w:w="1656" w:type="dxa"/>
            <w:tcBorders>
              <w:top w:val="nil"/>
              <w:left w:val="nil"/>
              <w:bottom w:val="nil"/>
              <w:right w:val="nil"/>
            </w:tcBorders>
          </w:tcPr>
          <w:p w14:paraId="415D09F0"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2953246A"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75A8C362"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(-0.92)</w:t>
            </w:r>
          </w:p>
        </w:tc>
        <w:tc>
          <w:tcPr>
            <w:tcW w:w="923" w:type="dxa"/>
            <w:tcBorders>
              <w:top w:val="nil"/>
              <w:left w:val="nil"/>
              <w:bottom w:val="nil"/>
              <w:right w:val="nil"/>
            </w:tcBorders>
          </w:tcPr>
          <w:p w14:paraId="665C6E60"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030348BF"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(-1.03)</w:t>
            </w:r>
          </w:p>
        </w:tc>
        <w:tc>
          <w:tcPr>
            <w:tcW w:w="1260" w:type="dxa"/>
            <w:tcBorders>
              <w:top w:val="nil"/>
              <w:left w:val="nil"/>
              <w:bottom w:val="nil"/>
              <w:right w:val="nil"/>
            </w:tcBorders>
          </w:tcPr>
          <w:p w14:paraId="300A8222"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(0.25)</w:t>
            </w:r>
          </w:p>
        </w:tc>
        <w:tc>
          <w:tcPr>
            <w:tcW w:w="1525" w:type="dxa"/>
            <w:tcBorders>
              <w:top w:val="nil"/>
              <w:left w:val="nil"/>
              <w:bottom w:val="nil"/>
              <w:right w:val="nil"/>
            </w:tcBorders>
          </w:tcPr>
          <w:p w14:paraId="1E2F156B"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(-1.35)</w:t>
            </w:r>
          </w:p>
        </w:tc>
      </w:tr>
      <w:tr w:rsidR="001E0DEF" w:rsidRPr="007C19C4" w14:paraId="03A3C404" w14:textId="77777777" w:rsidTr="003D25A1">
        <w:tc>
          <w:tcPr>
            <w:tcW w:w="1656" w:type="dxa"/>
            <w:tcBorders>
              <w:top w:val="nil"/>
              <w:left w:val="nil"/>
              <w:bottom w:val="nil"/>
              <w:right w:val="nil"/>
            </w:tcBorders>
          </w:tcPr>
          <w:p w14:paraId="59E225E1"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53D41F59"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417" w:type="dxa"/>
            <w:tcBorders>
              <w:top w:val="nil"/>
              <w:left w:val="nil"/>
              <w:bottom w:val="nil"/>
              <w:right w:val="nil"/>
            </w:tcBorders>
          </w:tcPr>
          <w:p w14:paraId="0BC387C8"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23" w:type="dxa"/>
            <w:tcBorders>
              <w:top w:val="nil"/>
              <w:left w:val="nil"/>
              <w:bottom w:val="nil"/>
              <w:right w:val="nil"/>
            </w:tcBorders>
          </w:tcPr>
          <w:p w14:paraId="673CAD17"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350" w:type="dxa"/>
            <w:tcBorders>
              <w:top w:val="nil"/>
              <w:left w:val="nil"/>
              <w:bottom w:val="nil"/>
              <w:right w:val="nil"/>
            </w:tcBorders>
          </w:tcPr>
          <w:p w14:paraId="1DC9365B"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260" w:type="dxa"/>
            <w:tcBorders>
              <w:top w:val="nil"/>
              <w:left w:val="nil"/>
              <w:bottom w:val="nil"/>
              <w:right w:val="nil"/>
            </w:tcBorders>
          </w:tcPr>
          <w:p w14:paraId="4B370338"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525" w:type="dxa"/>
            <w:tcBorders>
              <w:top w:val="nil"/>
              <w:left w:val="nil"/>
              <w:bottom w:val="nil"/>
              <w:right w:val="nil"/>
            </w:tcBorders>
          </w:tcPr>
          <w:p w14:paraId="18836419"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7C19C4" w14:paraId="03F3C73C" w14:textId="77777777" w:rsidTr="003D25A1">
        <w:tc>
          <w:tcPr>
            <w:tcW w:w="1656" w:type="dxa"/>
            <w:tcBorders>
              <w:top w:val="nil"/>
              <w:left w:val="nil"/>
              <w:bottom w:val="nil"/>
              <w:right w:val="nil"/>
            </w:tcBorders>
          </w:tcPr>
          <w:p w14:paraId="3CA37205"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SZ</w:t>
            </w:r>
          </w:p>
        </w:tc>
        <w:tc>
          <w:tcPr>
            <w:tcW w:w="1134" w:type="dxa"/>
            <w:tcBorders>
              <w:top w:val="nil"/>
              <w:left w:val="nil"/>
              <w:bottom w:val="nil"/>
              <w:right w:val="nil"/>
            </w:tcBorders>
          </w:tcPr>
          <w:p w14:paraId="6559F5D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473A2D80"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-3.739</w:t>
            </w:r>
            <w:r w:rsidRPr="007C19C4">
              <w:rPr>
                <w:rFonts w:asciiTheme="majorBidi" w:hAnsiTheme="majorBidi" w:cstheme="majorBidi"/>
                <w:sz w:val="20"/>
                <w:szCs w:val="20"/>
                <w:vertAlign w:val="superscript"/>
                <w:lang w:val="en-US"/>
              </w:rPr>
              <w:t>***</w:t>
            </w:r>
          </w:p>
        </w:tc>
        <w:tc>
          <w:tcPr>
            <w:tcW w:w="923" w:type="dxa"/>
            <w:tcBorders>
              <w:top w:val="nil"/>
              <w:left w:val="nil"/>
              <w:bottom w:val="nil"/>
              <w:right w:val="nil"/>
            </w:tcBorders>
          </w:tcPr>
          <w:p w14:paraId="1DF057E7"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2868E893"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-13.160</w:t>
            </w:r>
            <w:r w:rsidRPr="007C19C4">
              <w:rPr>
                <w:rFonts w:asciiTheme="majorBidi" w:hAnsiTheme="majorBidi" w:cstheme="majorBidi"/>
                <w:sz w:val="20"/>
                <w:szCs w:val="20"/>
                <w:vertAlign w:val="superscript"/>
                <w:lang w:val="en-US"/>
              </w:rPr>
              <w:t>***</w:t>
            </w:r>
          </w:p>
        </w:tc>
        <w:tc>
          <w:tcPr>
            <w:tcW w:w="1260" w:type="dxa"/>
            <w:tcBorders>
              <w:top w:val="nil"/>
              <w:left w:val="nil"/>
              <w:bottom w:val="nil"/>
              <w:right w:val="nil"/>
            </w:tcBorders>
          </w:tcPr>
          <w:p w14:paraId="5BAF16F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-0.871</w:t>
            </w:r>
            <w:r w:rsidRPr="007C19C4">
              <w:rPr>
                <w:rFonts w:asciiTheme="majorBidi" w:hAnsiTheme="majorBidi" w:cstheme="majorBidi"/>
                <w:sz w:val="20"/>
                <w:szCs w:val="20"/>
                <w:vertAlign w:val="superscript"/>
                <w:lang w:val="en-US"/>
              </w:rPr>
              <w:t>***</w:t>
            </w:r>
          </w:p>
        </w:tc>
        <w:tc>
          <w:tcPr>
            <w:tcW w:w="1525" w:type="dxa"/>
            <w:tcBorders>
              <w:top w:val="nil"/>
              <w:left w:val="nil"/>
              <w:bottom w:val="nil"/>
              <w:right w:val="nil"/>
            </w:tcBorders>
          </w:tcPr>
          <w:p w14:paraId="6710A0C0"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0.139</w:t>
            </w:r>
          </w:p>
        </w:tc>
      </w:tr>
      <w:tr w:rsidR="001E0DEF" w:rsidRPr="007C19C4" w14:paraId="2D8319A4" w14:textId="77777777" w:rsidTr="003D25A1">
        <w:tc>
          <w:tcPr>
            <w:tcW w:w="1656" w:type="dxa"/>
            <w:tcBorders>
              <w:top w:val="nil"/>
              <w:left w:val="nil"/>
              <w:bottom w:val="nil"/>
              <w:right w:val="nil"/>
            </w:tcBorders>
          </w:tcPr>
          <w:p w14:paraId="3A2F0856"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395FA648"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257AE63C"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(-4.20)</w:t>
            </w:r>
          </w:p>
        </w:tc>
        <w:tc>
          <w:tcPr>
            <w:tcW w:w="923" w:type="dxa"/>
            <w:tcBorders>
              <w:top w:val="nil"/>
              <w:left w:val="nil"/>
              <w:bottom w:val="nil"/>
              <w:right w:val="nil"/>
            </w:tcBorders>
          </w:tcPr>
          <w:p w14:paraId="76DF499C"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6F17E041"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(-3.17)</w:t>
            </w:r>
          </w:p>
        </w:tc>
        <w:tc>
          <w:tcPr>
            <w:tcW w:w="1260" w:type="dxa"/>
            <w:tcBorders>
              <w:top w:val="nil"/>
              <w:left w:val="nil"/>
              <w:bottom w:val="nil"/>
              <w:right w:val="nil"/>
            </w:tcBorders>
          </w:tcPr>
          <w:p w14:paraId="0202FDC0"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(-6.28)</w:t>
            </w:r>
          </w:p>
        </w:tc>
        <w:tc>
          <w:tcPr>
            <w:tcW w:w="1525" w:type="dxa"/>
            <w:tcBorders>
              <w:top w:val="nil"/>
              <w:left w:val="nil"/>
              <w:bottom w:val="nil"/>
              <w:right w:val="nil"/>
            </w:tcBorders>
          </w:tcPr>
          <w:p w14:paraId="47CD6406"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(0.43)</w:t>
            </w:r>
          </w:p>
        </w:tc>
      </w:tr>
      <w:tr w:rsidR="001E0DEF" w:rsidRPr="007C19C4" w14:paraId="5E1F45CC" w14:textId="77777777" w:rsidTr="003D25A1">
        <w:tc>
          <w:tcPr>
            <w:tcW w:w="1656" w:type="dxa"/>
            <w:tcBorders>
              <w:top w:val="nil"/>
              <w:left w:val="nil"/>
              <w:bottom w:val="nil"/>
              <w:right w:val="nil"/>
            </w:tcBorders>
          </w:tcPr>
          <w:p w14:paraId="197B82CB"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325573E6"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417" w:type="dxa"/>
            <w:tcBorders>
              <w:top w:val="nil"/>
              <w:left w:val="nil"/>
              <w:bottom w:val="nil"/>
              <w:right w:val="nil"/>
            </w:tcBorders>
          </w:tcPr>
          <w:p w14:paraId="134C0358"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23" w:type="dxa"/>
            <w:tcBorders>
              <w:top w:val="nil"/>
              <w:left w:val="nil"/>
              <w:bottom w:val="nil"/>
              <w:right w:val="nil"/>
            </w:tcBorders>
          </w:tcPr>
          <w:p w14:paraId="6628F0B4"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350" w:type="dxa"/>
            <w:tcBorders>
              <w:top w:val="nil"/>
              <w:left w:val="nil"/>
              <w:bottom w:val="nil"/>
              <w:right w:val="nil"/>
            </w:tcBorders>
          </w:tcPr>
          <w:p w14:paraId="4BA709E6"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260" w:type="dxa"/>
            <w:tcBorders>
              <w:top w:val="nil"/>
              <w:left w:val="nil"/>
              <w:bottom w:val="nil"/>
              <w:right w:val="nil"/>
            </w:tcBorders>
          </w:tcPr>
          <w:p w14:paraId="62339498"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525" w:type="dxa"/>
            <w:tcBorders>
              <w:top w:val="nil"/>
              <w:left w:val="nil"/>
              <w:bottom w:val="nil"/>
              <w:right w:val="nil"/>
            </w:tcBorders>
          </w:tcPr>
          <w:p w14:paraId="6FD87577"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7C19C4" w14:paraId="38C52E0A" w14:textId="77777777" w:rsidTr="003D25A1">
        <w:tc>
          <w:tcPr>
            <w:tcW w:w="1656" w:type="dxa"/>
            <w:tcBorders>
              <w:top w:val="nil"/>
              <w:left w:val="nil"/>
              <w:bottom w:val="nil"/>
              <w:right w:val="nil"/>
            </w:tcBorders>
          </w:tcPr>
          <w:p w14:paraId="70C58EC7"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SUB</w:t>
            </w:r>
          </w:p>
        </w:tc>
        <w:tc>
          <w:tcPr>
            <w:tcW w:w="1134" w:type="dxa"/>
            <w:tcBorders>
              <w:top w:val="nil"/>
              <w:left w:val="nil"/>
              <w:bottom w:val="nil"/>
              <w:right w:val="nil"/>
            </w:tcBorders>
          </w:tcPr>
          <w:p w14:paraId="6603692B"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2BE680A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-0.001</w:t>
            </w:r>
          </w:p>
        </w:tc>
        <w:tc>
          <w:tcPr>
            <w:tcW w:w="923" w:type="dxa"/>
            <w:tcBorders>
              <w:top w:val="nil"/>
              <w:left w:val="nil"/>
              <w:bottom w:val="nil"/>
              <w:right w:val="nil"/>
            </w:tcBorders>
          </w:tcPr>
          <w:p w14:paraId="44E2149B"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303D4FE8"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0.000</w:t>
            </w:r>
          </w:p>
        </w:tc>
        <w:tc>
          <w:tcPr>
            <w:tcW w:w="1260" w:type="dxa"/>
            <w:tcBorders>
              <w:top w:val="nil"/>
              <w:left w:val="nil"/>
              <w:bottom w:val="nil"/>
              <w:right w:val="nil"/>
            </w:tcBorders>
          </w:tcPr>
          <w:p w14:paraId="3B2F49B4"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0.000</w:t>
            </w:r>
          </w:p>
        </w:tc>
        <w:tc>
          <w:tcPr>
            <w:tcW w:w="1525" w:type="dxa"/>
            <w:tcBorders>
              <w:top w:val="nil"/>
              <w:left w:val="nil"/>
              <w:bottom w:val="nil"/>
              <w:right w:val="nil"/>
            </w:tcBorders>
          </w:tcPr>
          <w:p w14:paraId="202B50BD"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0.001</w:t>
            </w:r>
          </w:p>
        </w:tc>
      </w:tr>
      <w:tr w:rsidR="001E0DEF" w:rsidRPr="007C19C4" w14:paraId="379891F2" w14:textId="77777777" w:rsidTr="003D25A1">
        <w:tc>
          <w:tcPr>
            <w:tcW w:w="1656" w:type="dxa"/>
            <w:tcBorders>
              <w:top w:val="nil"/>
              <w:left w:val="nil"/>
              <w:bottom w:val="nil"/>
              <w:right w:val="nil"/>
            </w:tcBorders>
          </w:tcPr>
          <w:p w14:paraId="7F840521"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06C5B87B"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6A42F2F7"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(-1.13)</w:t>
            </w:r>
          </w:p>
        </w:tc>
        <w:tc>
          <w:tcPr>
            <w:tcW w:w="923" w:type="dxa"/>
            <w:tcBorders>
              <w:top w:val="nil"/>
              <w:left w:val="nil"/>
              <w:bottom w:val="nil"/>
              <w:right w:val="nil"/>
            </w:tcBorders>
          </w:tcPr>
          <w:p w14:paraId="256FD4FC"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4E4A8690"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(0.78)</w:t>
            </w:r>
          </w:p>
        </w:tc>
        <w:tc>
          <w:tcPr>
            <w:tcW w:w="1260" w:type="dxa"/>
            <w:tcBorders>
              <w:top w:val="nil"/>
              <w:left w:val="nil"/>
              <w:bottom w:val="nil"/>
              <w:right w:val="nil"/>
            </w:tcBorders>
          </w:tcPr>
          <w:p w14:paraId="1C1912F0"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(0.98)</w:t>
            </w:r>
          </w:p>
        </w:tc>
        <w:tc>
          <w:tcPr>
            <w:tcW w:w="1525" w:type="dxa"/>
            <w:tcBorders>
              <w:top w:val="nil"/>
              <w:left w:val="nil"/>
              <w:bottom w:val="nil"/>
              <w:right w:val="nil"/>
            </w:tcBorders>
          </w:tcPr>
          <w:p w14:paraId="08F845C0"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w:t>
            </w:r>
          </w:p>
        </w:tc>
      </w:tr>
      <w:tr w:rsidR="001E0DEF" w:rsidRPr="007C19C4" w14:paraId="7B251813" w14:textId="77777777" w:rsidTr="003D25A1">
        <w:tc>
          <w:tcPr>
            <w:tcW w:w="1656" w:type="dxa"/>
            <w:tcBorders>
              <w:top w:val="nil"/>
              <w:left w:val="nil"/>
              <w:bottom w:val="nil"/>
              <w:right w:val="nil"/>
            </w:tcBorders>
          </w:tcPr>
          <w:p w14:paraId="7323B76B"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3C408127"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417" w:type="dxa"/>
            <w:tcBorders>
              <w:top w:val="nil"/>
              <w:left w:val="nil"/>
              <w:bottom w:val="nil"/>
              <w:right w:val="nil"/>
            </w:tcBorders>
          </w:tcPr>
          <w:p w14:paraId="11A7839F"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23" w:type="dxa"/>
            <w:tcBorders>
              <w:top w:val="nil"/>
              <w:left w:val="nil"/>
              <w:bottom w:val="nil"/>
              <w:right w:val="nil"/>
            </w:tcBorders>
          </w:tcPr>
          <w:p w14:paraId="6271250E"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350" w:type="dxa"/>
            <w:tcBorders>
              <w:top w:val="nil"/>
              <w:left w:val="nil"/>
              <w:bottom w:val="nil"/>
              <w:right w:val="nil"/>
            </w:tcBorders>
          </w:tcPr>
          <w:p w14:paraId="29A77011"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260" w:type="dxa"/>
            <w:tcBorders>
              <w:top w:val="nil"/>
              <w:left w:val="nil"/>
              <w:bottom w:val="nil"/>
              <w:right w:val="nil"/>
            </w:tcBorders>
          </w:tcPr>
          <w:p w14:paraId="1782F7D2"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525" w:type="dxa"/>
            <w:tcBorders>
              <w:top w:val="nil"/>
              <w:left w:val="nil"/>
              <w:bottom w:val="nil"/>
              <w:right w:val="nil"/>
            </w:tcBorders>
          </w:tcPr>
          <w:p w14:paraId="1669FD3F"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7C19C4" w14:paraId="22ECC129" w14:textId="77777777" w:rsidTr="003D25A1">
        <w:tc>
          <w:tcPr>
            <w:tcW w:w="1656" w:type="dxa"/>
            <w:tcBorders>
              <w:top w:val="nil"/>
              <w:left w:val="nil"/>
              <w:bottom w:val="nil"/>
              <w:right w:val="nil"/>
            </w:tcBorders>
          </w:tcPr>
          <w:p w14:paraId="591987F6"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DE</w:t>
            </w:r>
          </w:p>
        </w:tc>
        <w:tc>
          <w:tcPr>
            <w:tcW w:w="1134" w:type="dxa"/>
            <w:tcBorders>
              <w:top w:val="nil"/>
              <w:left w:val="nil"/>
              <w:bottom w:val="nil"/>
              <w:right w:val="nil"/>
            </w:tcBorders>
          </w:tcPr>
          <w:p w14:paraId="4381DA5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67A1D348"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-1.493</w:t>
            </w:r>
            <w:r w:rsidRPr="007C19C4">
              <w:rPr>
                <w:rFonts w:asciiTheme="majorBidi" w:hAnsiTheme="majorBidi" w:cstheme="majorBidi"/>
                <w:sz w:val="20"/>
                <w:szCs w:val="20"/>
                <w:vertAlign w:val="superscript"/>
                <w:lang w:val="en-US"/>
              </w:rPr>
              <w:t>**</w:t>
            </w:r>
          </w:p>
        </w:tc>
        <w:tc>
          <w:tcPr>
            <w:tcW w:w="923" w:type="dxa"/>
            <w:tcBorders>
              <w:top w:val="nil"/>
              <w:left w:val="nil"/>
              <w:bottom w:val="nil"/>
              <w:right w:val="nil"/>
            </w:tcBorders>
          </w:tcPr>
          <w:p w14:paraId="46335A48"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3B1B4FED"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-2.326</w:t>
            </w:r>
            <w:r w:rsidRPr="007C19C4">
              <w:rPr>
                <w:rFonts w:asciiTheme="majorBidi" w:hAnsiTheme="majorBidi" w:cstheme="majorBidi"/>
                <w:sz w:val="20"/>
                <w:szCs w:val="20"/>
                <w:vertAlign w:val="superscript"/>
                <w:lang w:val="en-US"/>
              </w:rPr>
              <w:t>***</w:t>
            </w:r>
          </w:p>
        </w:tc>
        <w:tc>
          <w:tcPr>
            <w:tcW w:w="1260" w:type="dxa"/>
            <w:tcBorders>
              <w:top w:val="nil"/>
              <w:left w:val="nil"/>
              <w:bottom w:val="nil"/>
              <w:right w:val="nil"/>
            </w:tcBorders>
          </w:tcPr>
          <w:p w14:paraId="21D613C9"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-0.228</w:t>
            </w:r>
            <w:r w:rsidRPr="007C19C4">
              <w:rPr>
                <w:rFonts w:asciiTheme="majorBidi" w:hAnsiTheme="majorBidi" w:cstheme="majorBidi"/>
                <w:sz w:val="20"/>
                <w:szCs w:val="20"/>
                <w:vertAlign w:val="superscript"/>
                <w:lang w:val="en-US"/>
              </w:rPr>
              <w:t>**</w:t>
            </w:r>
          </w:p>
        </w:tc>
        <w:tc>
          <w:tcPr>
            <w:tcW w:w="1525" w:type="dxa"/>
            <w:tcBorders>
              <w:top w:val="nil"/>
              <w:left w:val="nil"/>
              <w:bottom w:val="nil"/>
              <w:right w:val="nil"/>
            </w:tcBorders>
          </w:tcPr>
          <w:p w14:paraId="2CC1D3F2"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-0.117*</w:t>
            </w:r>
          </w:p>
        </w:tc>
      </w:tr>
      <w:tr w:rsidR="001E0DEF" w:rsidRPr="007C19C4" w14:paraId="2EAA5DC9" w14:textId="77777777" w:rsidTr="003D25A1">
        <w:tc>
          <w:tcPr>
            <w:tcW w:w="1656" w:type="dxa"/>
            <w:tcBorders>
              <w:top w:val="nil"/>
              <w:left w:val="nil"/>
              <w:bottom w:val="nil"/>
              <w:right w:val="nil"/>
            </w:tcBorders>
          </w:tcPr>
          <w:p w14:paraId="6FBAF7FD"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72C8AAA8"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1747D1B7"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(-2.23)</w:t>
            </w:r>
          </w:p>
        </w:tc>
        <w:tc>
          <w:tcPr>
            <w:tcW w:w="923" w:type="dxa"/>
            <w:tcBorders>
              <w:top w:val="nil"/>
              <w:left w:val="nil"/>
              <w:bottom w:val="nil"/>
              <w:right w:val="nil"/>
            </w:tcBorders>
          </w:tcPr>
          <w:p w14:paraId="39451580"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2A5695EF"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(-2.64)</w:t>
            </w:r>
          </w:p>
        </w:tc>
        <w:tc>
          <w:tcPr>
            <w:tcW w:w="1260" w:type="dxa"/>
            <w:tcBorders>
              <w:top w:val="nil"/>
              <w:left w:val="nil"/>
              <w:bottom w:val="nil"/>
              <w:right w:val="nil"/>
            </w:tcBorders>
          </w:tcPr>
          <w:p w14:paraId="56C2C1C6"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(-2.17)</w:t>
            </w:r>
          </w:p>
        </w:tc>
        <w:tc>
          <w:tcPr>
            <w:tcW w:w="1525" w:type="dxa"/>
            <w:tcBorders>
              <w:top w:val="nil"/>
              <w:left w:val="nil"/>
              <w:bottom w:val="nil"/>
              <w:right w:val="nil"/>
            </w:tcBorders>
          </w:tcPr>
          <w:p w14:paraId="08909B81"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(-1.70)</w:t>
            </w:r>
          </w:p>
        </w:tc>
      </w:tr>
      <w:tr w:rsidR="001E0DEF" w:rsidRPr="007C19C4" w14:paraId="7C6374B8" w14:textId="77777777" w:rsidTr="003D25A1">
        <w:tc>
          <w:tcPr>
            <w:tcW w:w="1656" w:type="dxa"/>
            <w:tcBorders>
              <w:top w:val="nil"/>
              <w:left w:val="nil"/>
              <w:bottom w:val="nil"/>
              <w:right w:val="nil"/>
            </w:tcBorders>
          </w:tcPr>
          <w:p w14:paraId="58DCAB27"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249EEDC8"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417" w:type="dxa"/>
            <w:tcBorders>
              <w:top w:val="nil"/>
              <w:left w:val="nil"/>
              <w:bottom w:val="nil"/>
              <w:right w:val="nil"/>
            </w:tcBorders>
          </w:tcPr>
          <w:p w14:paraId="0014D9BE"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23" w:type="dxa"/>
            <w:tcBorders>
              <w:top w:val="nil"/>
              <w:left w:val="nil"/>
              <w:bottom w:val="nil"/>
              <w:right w:val="nil"/>
            </w:tcBorders>
          </w:tcPr>
          <w:p w14:paraId="3AF1F776"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350" w:type="dxa"/>
            <w:tcBorders>
              <w:top w:val="nil"/>
              <w:left w:val="nil"/>
              <w:bottom w:val="nil"/>
              <w:right w:val="nil"/>
            </w:tcBorders>
          </w:tcPr>
          <w:p w14:paraId="6FAF2E80"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260" w:type="dxa"/>
            <w:tcBorders>
              <w:top w:val="nil"/>
              <w:left w:val="nil"/>
              <w:bottom w:val="nil"/>
              <w:right w:val="nil"/>
            </w:tcBorders>
          </w:tcPr>
          <w:p w14:paraId="2E97DAAA"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525" w:type="dxa"/>
            <w:tcBorders>
              <w:top w:val="nil"/>
              <w:left w:val="nil"/>
              <w:bottom w:val="nil"/>
              <w:right w:val="nil"/>
            </w:tcBorders>
          </w:tcPr>
          <w:p w14:paraId="12AC7078"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7C19C4" w14:paraId="37F9CA58" w14:textId="77777777" w:rsidTr="003D25A1">
        <w:tc>
          <w:tcPr>
            <w:tcW w:w="1656" w:type="dxa"/>
            <w:tcBorders>
              <w:top w:val="nil"/>
              <w:left w:val="nil"/>
              <w:bottom w:val="nil"/>
              <w:right w:val="nil"/>
            </w:tcBorders>
          </w:tcPr>
          <w:p w14:paraId="0E81C1D7"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GR</w:t>
            </w:r>
          </w:p>
        </w:tc>
        <w:tc>
          <w:tcPr>
            <w:tcW w:w="1134" w:type="dxa"/>
            <w:tcBorders>
              <w:top w:val="nil"/>
              <w:left w:val="nil"/>
              <w:bottom w:val="nil"/>
              <w:right w:val="nil"/>
            </w:tcBorders>
          </w:tcPr>
          <w:p w14:paraId="22F6067C"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5363916C"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-0.009</w:t>
            </w:r>
            <w:r w:rsidRPr="007C19C4">
              <w:rPr>
                <w:rFonts w:asciiTheme="majorBidi" w:hAnsiTheme="majorBidi" w:cstheme="majorBidi"/>
                <w:sz w:val="20"/>
                <w:szCs w:val="20"/>
                <w:vertAlign w:val="superscript"/>
                <w:lang w:val="en-US"/>
              </w:rPr>
              <w:t>***</w:t>
            </w:r>
          </w:p>
        </w:tc>
        <w:tc>
          <w:tcPr>
            <w:tcW w:w="923" w:type="dxa"/>
            <w:tcBorders>
              <w:top w:val="nil"/>
              <w:left w:val="nil"/>
              <w:bottom w:val="nil"/>
              <w:right w:val="nil"/>
            </w:tcBorders>
          </w:tcPr>
          <w:p w14:paraId="2DCEB5ED"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6E2608D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-0.007</w:t>
            </w:r>
          </w:p>
        </w:tc>
        <w:tc>
          <w:tcPr>
            <w:tcW w:w="1260" w:type="dxa"/>
            <w:tcBorders>
              <w:top w:val="nil"/>
              <w:left w:val="nil"/>
              <w:bottom w:val="nil"/>
              <w:right w:val="nil"/>
            </w:tcBorders>
          </w:tcPr>
          <w:p w14:paraId="442DB503"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0.001</w:t>
            </w:r>
          </w:p>
        </w:tc>
        <w:tc>
          <w:tcPr>
            <w:tcW w:w="1525" w:type="dxa"/>
            <w:tcBorders>
              <w:top w:val="nil"/>
              <w:left w:val="nil"/>
              <w:bottom w:val="nil"/>
              <w:right w:val="nil"/>
            </w:tcBorders>
          </w:tcPr>
          <w:p w14:paraId="288601A4"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0.001</w:t>
            </w:r>
            <w:r w:rsidRPr="007C19C4">
              <w:rPr>
                <w:rFonts w:asciiTheme="majorBidi" w:hAnsiTheme="majorBidi" w:cstheme="majorBidi"/>
                <w:sz w:val="20"/>
                <w:szCs w:val="20"/>
                <w:vertAlign w:val="superscript"/>
                <w:lang w:val="en-US"/>
              </w:rPr>
              <w:t>**</w:t>
            </w:r>
          </w:p>
        </w:tc>
      </w:tr>
      <w:tr w:rsidR="001E0DEF" w:rsidRPr="007C19C4" w14:paraId="275C1454" w14:textId="77777777" w:rsidTr="003D25A1">
        <w:tc>
          <w:tcPr>
            <w:tcW w:w="1656" w:type="dxa"/>
            <w:tcBorders>
              <w:top w:val="nil"/>
              <w:left w:val="nil"/>
              <w:bottom w:val="nil"/>
              <w:right w:val="nil"/>
            </w:tcBorders>
          </w:tcPr>
          <w:p w14:paraId="04D45CAD"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61F40FF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6B16777C"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(-3.65)</w:t>
            </w:r>
          </w:p>
        </w:tc>
        <w:tc>
          <w:tcPr>
            <w:tcW w:w="923" w:type="dxa"/>
            <w:tcBorders>
              <w:top w:val="nil"/>
              <w:left w:val="nil"/>
              <w:bottom w:val="nil"/>
              <w:right w:val="nil"/>
            </w:tcBorders>
          </w:tcPr>
          <w:p w14:paraId="57F2C5AF"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1796AB4F"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(-1.55)</w:t>
            </w:r>
          </w:p>
        </w:tc>
        <w:tc>
          <w:tcPr>
            <w:tcW w:w="1260" w:type="dxa"/>
            <w:tcBorders>
              <w:top w:val="nil"/>
              <w:left w:val="nil"/>
              <w:bottom w:val="nil"/>
              <w:right w:val="nil"/>
            </w:tcBorders>
          </w:tcPr>
          <w:p w14:paraId="0A36BC49"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(0.62)</w:t>
            </w:r>
          </w:p>
        </w:tc>
        <w:tc>
          <w:tcPr>
            <w:tcW w:w="1525" w:type="dxa"/>
            <w:tcBorders>
              <w:top w:val="nil"/>
              <w:left w:val="nil"/>
              <w:bottom w:val="nil"/>
              <w:right w:val="nil"/>
            </w:tcBorders>
          </w:tcPr>
          <w:p w14:paraId="70E1F40A"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(2.48)</w:t>
            </w:r>
          </w:p>
        </w:tc>
      </w:tr>
      <w:tr w:rsidR="001E0DEF" w:rsidRPr="007C19C4" w14:paraId="07C877C1" w14:textId="77777777" w:rsidTr="003D25A1">
        <w:tc>
          <w:tcPr>
            <w:tcW w:w="1656" w:type="dxa"/>
            <w:tcBorders>
              <w:top w:val="nil"/>
              <w:left w:val="nil"/>
              <w:bottom w:val="nil"/>
              <w:right w:val="nil"/>
            </w:tcBorders>
          </w:tcPr>
          <w:p w14:paraId="12849530"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035C0E89"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417" w:type="dxa"/>
            <w:tcBorders>
              <w:top w:val="nil"/>
              <w:left w:val="nil"/>
              <w:bottom w:val="nil"/>
              <w:right w:val="nil"/>
            </w:tcBorders>
          </w:tcPr>
          <w:p w14:paraId="7DA644CE"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23" w:type="dxa"/>
            <w:tcBorders>
              <w:top w:val="nil"/>
              <w:left w:val="nil"/>
              <w:bottom w:val="nil"/>
              <w:right w:val="nil"/>
            </w:tcBorders>
          </w:tcPr>
          <w:p w14:paraId="6EAA8506"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350" w:type="dxa"/>
            <w:tcBorders>
              <w:top w:val="nil"/>
              <w:left w:val="nil"/>
              <w:bottom w:val="nil"/>
              <w:right w:val="nil"/>
            </w:tcBorders>
          </w:tcPr>
          <w:p w14:paraId="1EBE307E"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260" w:type="dxa"/>
            <w:tcBorders>
              <w:top w:val="nil"/>
              <w:left w:val="nil"/>
              <w:bottom w:val="nil"/>
              <w:right w:val="nil"/>
            </w:tcBorders>
          </w:tcPr>
          <w:p w14:paraId="01570840"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525" w:type="dxa"/>
            <w:tcBorders>
              <w:top w:val="nil"/>
              <w:left w:val="nil"/>
              <w:bottom w:val="nil"/>
              <w:right w:val="nil"/>
            </w:tcBorders>
          </w:tcPr>
          <w:p w14:paraId="02E434C1"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7C19C4" w14:paraId="5168E66A" w14:textId="77777777" w:rsidTr="003D25A1">
        <w:tc>
          <w:tcPr>
            <w:tcW w:w="1656" w:type="dxa"/>
            <w:tcBorders>
              <w:top w:val="nil"/>
              <w:left w:val="nil"/>
              <w:bottom w:val="nil"/>
              <w:right w:val="nil"/>
            </w:tcBorders>
          </w:tcPr>
          <w:p w14:paraId="30A6E976"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LQ</w:t>
            </w:r>
          </w:p>
        </w:tc>
        <w:tc>
          <w:tcPr>
            <w:tcW w:w="1134" w:type="dxa"/>
            <w:tcBorders>
              <w:top w:val="nil"/>
              <w:left w:val="nil"/>
              <w:bottom w:val="nil"/>
              <w:right w:val="nil"/>
            </w:tcBorders>
          </w:tcPr>
          <w:p w14:paraId="0E5723D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4007A768"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-0.036</w:t>
            </w:r>
          </w:p>
        </w:tc>
        <w:tc>
          <w:tcPr>
            <w:tcW w:w="923" w:type="dxa"/>
            <w:tcBorders>
              <w:top w:val="nil"/>
              <w:left w:val="nil"/>
              <w:bottom w:val="nil"/>
              <w:right w:val="nil"/>
            </w:tcBorders>
          </w:tcPr>
          <w:p w14:paraId="00AE1D9F"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32B31243"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-0.195</w:t>
            </w:r>
          </w:p>
        </w:tc>
        <w:tc>
          <w:tcPr>
            <w:tcW w:w="1260" w:type="dxa"/>
            <w:tcBorders>
              <w:top w:val="nil"/>
              <w:left w:val="nil"/>
              <w:bottom w:val="nil"/>
              <w:right w:val="nil"/>
            </w:tcBorders>
          </w:tcPr>
          <w:p w14:paraId="1AD06258"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0.055</w:t>
            </w:r>
          </w:p>
        </w:tc>
        <w:tc>
          <w:tcPr>
            <w:tcW w:w="1525" w:type="dxa"/>
            <w:tcBorders>
              <w:top w:val="nil"/>
              <w:left w:val="nil"/>
              <w:bottom w:val="nil"/>
              <w:right w:val="nil"/>
            </w:tcBorders>
          </w:tcPr>
          <w:p w14:paraId="47598C51"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0.044</w:t>
            </w:r>
          </w:p>
        </w:tc>
      </w:tr>
      <w:tr w:rsidR="001E0DEF" w:rsidRPr="007C19C4" w14:paraId="7628282B" w14:textId="77777777" w:rsidTr="003D25A1">
        <w:tc>
          <w:tcPr>
            <w:tcW w:w="1656" w:type="dxa"/>
            <w:tcBorders>
              <w:top w:val="nil"/>
              <w:left w:val="nil"/>
              <w:bottom w:val="nil"/>
              <w:right w:val="nil"/>
            </w:tcBorders>
          </w:tcPr>
          <w:p w14:paraId="405C50B7"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30915F03"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53F6CA7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(-0.08)</w:t>
            </w:r>
          </w:p>
        </w:tc>
        <w:tc>
          <w:tcPr>
            <w:tcW w:w="923" w:type="dxa"/>
            <w:tcBorders>
              <w:top w:val="nil"/>
              <w:left w:val="nil"/>
              <w:bottom w:val="nil"/>
              <w:right w:val="nil"/>
            </w:tcBorders>
          </w:tcPr>
          <w:p w14:paraId="3DC1D893"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509E52B9"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(-0.34)</w:t>
            </w:r>
          </w:p>
        </w:tc>
        <w:tc>
          <w:tcPr>
            <w:tcW w:w="1260" w:type="dxa"/>
            <w:tcBorders>
              <w:top w:val="nil"/>
              <w:left w:val="nil"/>
              <w:bottom w:val="nil"/>
              <w:right w:val="nil"/>
            </w:tcBorders>
          </w:tcPr>
          <w:p w14:paraId="64D85C72"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(0.90)</w:t>
            </w:r>
          </w:p>
        </w:tc>
        <w:tc>
          <w:tcPr>
            <w:tcW w:w="1525" w:type="dxa"/>
            <w:tcBorders>
              <w:top w:val="nil"/>
              <w:left w:val="nil"/>
              <w:bottom w:val="nil"/>
              <w:right w:val="nil"/>
            </w:tcBorders>
          </w:tcPr>
          <w:p w14:paraId="5B5F6811"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(0.98)</w:t>
            </w:r>
          </w:p>
        </w:tc>
      </w:tr>
      <w:tr w:rsidR="001E0DEF" w:rsidRPr="007C19C4" w14:paraId="7B9F53B0" w14:textId="77777777" w:rsidTr="003D25A1">
        <w:tc>
          <w:tcPr>
            <w:tcW w:w="1656" w:type="dxa"/>
            <w:tcBorders>
              <w:top w:val="nil"/>
              <w:left w:val="nil"/>
              <w:bottom w:val="nil"/>
              <w:right w:val="nil"/>
            </w:tcBorders>
          </w:tcPr>
          <w:p w14:paraId="7D99EB35"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14E15E8C"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417" w:type="dxa"/>
            <w:tcBorders>
              <w:top w:val="nil"/>
              <w:left w:val="nil"/>
              <w:bottom w:val="nil"/>
              <w:right w:val="nil"/>
            </w:tcBorders>
          </w:tcPr>
          <w:p w14:paraId="24F4D1F0"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23" w:type="dxa"/>
            <w:tcBorders>
              <w:top w:val="nil"/>
              <w:left w:val="nil"/>
              <w:bottom w:val="nil"/>
              <w:right w:val="nil"/>
            </w:tcBorders>
          </w:tcPr>
          <w:p w14:paraId="5F26BD0D"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350" w:type="dxa"/>
            <w:tcBorders>
              <w:top w:val="nil"/>
              <w:left w:val="nil"/>
              <w:bottom w:val="nil"/>
              <w:right w:val="nil"/>
            </w:tcBorders>
          </w:tcPr>
          <w:p w14:paraId="6C2F85E5"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260" w:type="dxa"/>
            <w:tcBorders>
              <w:top w:val="nil"/>
              <w:left w:val="nil"/>
              <w:bottom w:val="nil"/>
              <w:right w:val="nil"/>
            </w:tcBorders>
          </w:tcPr>
          <w:p w14:paraId="76308ACA"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525" w:type="dxa"/>
            <w:tcBorders>
              <w:top w:val="nil"/>
              <w:left w:val="nil"/>
              <w:bottom w:val="nil"/>
              <w:right w:val="nil"/>
            </w:tcBorders>
          </w:tcPr>
          <w:p w14:paraId="3F49571A"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7C19C4" w14:paraId="0299A561" w14:textId="77777777" w:rsidTr="003D25A1">
        <w:tc>
          <w:tcPr>
            <w:tcW w:w="1656" w:type="dxa"/>
            <w:tcBorders>
              <w:top w:val="nil"/>
              <w:left w:val="nil"/>
              <w:bottom w:val="nil"/>
              <w:right w:val="nil"/>
            </w:tcBorders>
          </w:tcPr>
          <w:p w14:paraId="2A5A7F93"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RD</w:t>
            </w:r>
          </w:p>
        </w:tc>
        <w:tc>
          <w:tcPr>
            <w:tcW w:w="1134" w:type="dxa"/>
            <w:tcBorders>
              <w:top w:val="nil"/>
              <w:left w:val="nil"/>
              <w:bottom w:val="nil"/>
              <w:right w:val="nil"/>
            </w:tcBorders>
          </w:tcPr>
          <w:p w14:paraId="6CDCEEF6"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72C834EC"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0.061</w:t>
            </w:r>
          </w:p>
        </w:tc>
        <w:tc>
          <w:tcPr>
            <w:tcW w:w="923" w:type="dxa"/>
            <w:tcBorders>
              <w:top w:val="nil"/>
              <w:left w:val="nil"/>
              <w:bottom w:val="nil"/>
              <w:right w:val="nil"/>
            </w:tcBorders>
          </w:tcPr>
          <w:p w14:paraId="05A32EC2"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6045870A"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-2.008</w:t>
            </w:r>
            <w:r w:rsidRPr="007C19C4">
              <w:rPr>
                <w:rFonts w:asciiTheme="majorBidi" w:hAnsiTheme="majorBidi" w:cstheme="majorBidi"/>
                <w:sz w:val="20"/>
                <w:szCs w:val="20"/>
                <w:vertAlign w:val="superscript"/>
                <w:lang w:val="en-US"/>
              </w:rPr>
              <w:t>***</w:t>
            </w:r>
          </w:p>
        </w:tc>
        <w:tc>
          <w:tcPr>
            <w:tcW w:w="1260" w:type="dxa"/>
            <w:tcBorders>
              <w:top w:val="nil"/>
              <w:left w:val="nil"/>
              <w:bottom w:val="nil"/>
              <w:right w:val="nil"/>
            </w:tcBorders>
          </w:tcPr>
          <w:p w14:paraId="665A7E2C"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-0.007</w:t>
            </w:r>
          </w:p>
        </w:tc>
        <w:tc>
          <w:tcPr>
            <w:tcW w:w="1525" w:type="dxa"/>
            <w:tcBorders>
              <w:top w:val="nil"/>
              <w:left w:val="nil"/>
              <w:bottom w:val="nil"/>
              <w:right w:val="nil"/>
            </w:tcBorders>
          </w:tcPr>
          <w:p w14:paraId="38A73B4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-0.033</w:t>
            </w:r>
          </w:p>
        </w:tc>
      </w:tr>
      <w:tr w:rsidR="001E0DEF" w:rsidRPr="007C19C4" w14:paraId="245BD8DA" w14:textId="77777777" w:rsidTr="003D25A1">
        <w:tc>
          <w:tcPr>
            <w:tcW w:w="1656" w:type="dxa"/>
            <w:tcBorders>
              <w:top w:val="nil"/>
              <w:left w:val="nil"/>
              <w:bottom w:val="nil"/>
              <w:right w:val="nil"/>
            </w:tcBorders>
          </w:tcPr>
          <w:p w14:paraId="5B6A2F83"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13AD940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051590F1"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(0.76)</w:t>
            </w:r>
          </w:p>
        </w:tc>
        <w:tc>
          <w:tcPr>
            <w:tcW w:w="923" w:type="dxa"/>
            <w:tcBorders>
              <w:top w:val="nil"/>
              <w:left w:val="nil"/>
              <w:bottom w:val="nil"/>
              <w:right w:val="nil"/>
            </w:tcBorders>
          </w:tcPr>
          <w:p w14:paraId="27661557"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124D6F6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(-2.86)</w:t>
            </w:r>
          </w:p>
        </w:tc>
        <w:tc>
          <w:tcPr>
            <w:tcW w:w="1260" w:type="dxa"/>
            <w:tcBorders>
              <w:top w:val="nil"/>
              <w:left w:val="nil"/>
              <w:bottom w:val="nil"/>
              <w:right w:val="nil"/>
            </w:tcBorders>
          </w:tcPr>
          <w:p w14:paraId="3FB71F6D"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(-0.64)</w:t>
            </w:r>
          </w:p>
        </w:tc>
        <w:tc>
          <w:tcPr>
            <w:tcW w:w="1525" w:type="dxa"/>
            <w:tcBorders>
              <w:top w:val="nil"/>
              <w:left w:val="nil"/>
              <w:bottom w:val="nil"/>
              <w:right w:val="nil"/>
            </w:tcBorders>
          </w:tcPr>
          <w:p w14:paraId="6F3D791A"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(-0.60)</w:t>
            </w:r>
          </w:p>
        </w:tc>
      </w:tr>
      <w:tr w:rsidR="001E0DEF" w:rsidRPr="007C19C4" w14:paraId="03C09EE5" w14:textId="77777777" w:rsidTr="003D25A1">
        <w:tc>
          <w:tcPr>
            <w:tcW w:w="1656" w:type="dxa"/>
            <w:tcBorders>
              <w:top w:val="nil"/>
              <w:left w:val="nil"/>
              <w:bottom w:val="nil"/>
              <w:right w:val="nil"/>
            </w:tcBorders>
          </w:tcPr>
          <w:p w14:paraId="729AE727"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3BA2B9B5"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417" w:type="dxa"/>
            <w:tcBorders>
              <w:top w:val="nil"/>
              <w:left w:val="nil"/>
              <w:bottom w:val="nil"/>
              <w:right w:val="nil"/>
            </w:tcBorders>
          </w:tcPr>
          <w:p w14:paraId="6CBB1604"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23" w:type="dxa"/>
            <w:tcBorders>
              <w:top w:val="nil"/>
              <w:left w:val="nil"/>
              <w:bottom w:val="nil"/>
              <w:right w:val="nil"/>
            </w:tcBorders>
          </w:tcPr>
          <w:p w14:paraId="6048794F"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350" w:type="dxa"/>
            <w:tcBorders>
              <w:top w:val="nil"/>
              <w:left w:val="nil"/>
              <w:bottom w:val="nil"/>
              <w:right w:val="nil"/>
            </w:tcBorders>
          </w:tcPr>
          <w:p w14:paraId="5762AE3B"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260" w:type="dxa"/>
            <w:tcBorders>
              <w:top w:val="nil"/>
              <w:left w:val="nil"/>
              <w:bottom w:val="nil"/>
              <w:right w:val="nil"/>
            </w:tcBorders>
          </w:tcPr>
          <w:p w14:paraId="7FC2E1CD"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525" w:type="dxa"/>
            <w:tcBorders>
              <w:top w:val="nil"/>
              <w:left w:val="nil"/>
              <w:bottom w:val="nil"/>
              <w:right w:val="nil"/>
            </w:tcBorders>
          </w:tcPr>
          <w:p w14:paraId="725D638A"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7C19C4" w14:paraId="5D14A130" w14:textId="77777777" w:rsidTr="003D25A1">
        <w:tc>
          <w:tcPr>
            <w:tcW w:w="1656" w:type="dxa"/>
            <w:tcBorders>
              <w:top w:val="nil"/>
              <w:left w:val="nil"/>
              <w:bottom w:val="nil"/>
              <w:right w:val="nil"/>
            </w:tcBorders>
          </w:tcPr>
          <w:p w14:paraId="0F9C711D" w14:textId="65B38DAE"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MO</w:t>
            </w:r>
          </w:p>
        </w:tc>
        <w:tc>
          <w:tcPr>
            <w:tcW w:w="1134" w:type="dxa"/>
            <w:tcBorders>
              <w:top w:val="nil"/>
              <w:left w:val="nil"/>
              <w:bottom w:val="nil"/>
              <w:right w:val="nil"/>
            </w:tcBorders>
          </w:tcPr>
          <w:p w14:paraId="7FAC28AB"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0AA11EBC"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1.407</w:t>
            </w:r>
            <w:r w:rsidRPr="007C19C4">
              <w:rPr>
                <w:rFonts w:asciiTheme="majorBidi" w:hAnsiTheme="majorBidi" w:cstheme="majorBidi"/>
                <w:sz w:val="20"/>
                <w:szCs w:val="20"/>
                <w:vertAlign w:val="superscript"/>
                <w:lang w:val="en-US"/>
              </w:rPr>
              <w:t>**</w:t>
            </w:r>
          </w:p>
        </w:tc>
        <w:tc>
          <w:tcPr>
            <w:tcW w:w="923" w:type="dxa"/>
            <w:tcBorders>
              <w:top w:val="nil"/>
              <w:left w:val="nil"/>
              <w:bottom w:val="nil"/>
              <w:right w:val="nil"/>
            </w:tcBorders>
          </w:tcPr>
          <w:p w14:paraId="6224DA73"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3ADD6AE9"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-0.149</w:t>
            </w:r>
          </w:p>
        </w:tc>
        <w:tc>
          <w:tcPr>
            <w:tcW w:w="1260" w:type="dxa"/>
            <w:tcBorders>
              <w:top w:val="nil"/>
              <w:left w:val="nil"/>
              <w:bottom w:val="nil"/>
              <w:right w:val="nil"/>
            </w:tcBorders>
          </w:tcPr>
          <w:p w14:paraId="5B5B2D28"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0.205</w:t>
            </w:r>
            <w:r w:rsidRPr="007C19C4">
              <w:rPr>
                <w:rFonts w:asciiTheme="majorBidi" w:hAnsiTheme="majorBidi" w:cstheme="majorBidi"/>
                <w:sz w:val="20"/>
                <w:szCs w:val="20"/>
                <w:vertAlign w:val="superscript"/>
                <w:lang w:val="en-US"/>
              </w:rPr>
              <w:t>**</w:t>
            </w:r>
          </w:p>
        </w:tc>
        <w:tc>
          <w:tcPr>
            <w:tcW w:w="1525" w:type="dxa"/>
            <w:tcBorders>
              <w:top w:val="nil"/>
              <w:left w:val="nil"/>
              <w:bottom w:val="nil"/>
              <w:right w:val="nil"/>
            </w:tcBorders>
          </w:tcPr>
          <w:p w14:paraId="53E0406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0.036</w:t>
            </w:r>
          </w:p>
        </w:tc>
      </w:tr>
      <w:tr w:rsidR="001E0DEF" w:rsidRPr="007C19C4" w14:paraId="7D3B6644" w14:textId="77777777" w:rsidTr="003D25A1">
        <w:tc>
          <w:tcPr>
            <w:tcW w:w="1656" w:type="dxa"/>
            <w:tcBorders>
              <w:top w:val="nil"/>
              <w:left w:val="nil"/>
              <w:bottom w:val="nil"/>
              <w:right w:val="nil"/>
            </w:tcBorders>
          </w:tcPr>
          <w:p w14:paraId="7B78977C"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5C586336"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45E2EF80"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(2.08)</w:t>
            </w:r>
          </w:p>
        </w:tc>
        <w:tc>
          <w:tcPr>
            <w:tcW w:w="923" w:type="dxa"/>
            <w:tcBorders>
              <w:top w:val="nil"/>
              <w:left w:val="nil"/>
              <w:bottom w:val="nil"/>
              <w:right w:val="nil"/>
            </w:tcBorders>
          </w:tcPr>
          <w:p w14:paraId="2E0AD60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70C1537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(-0.19)</w:t>
            </w:r>
          </w:p>
        </w:tc>
        <w:tc>
          <w:tcPr>
            <w:tcW w:w="1260" w:type="dxa"/>
            <w:tcBorders>
              <w:top w:val="nil"/>
              <w:left w:val="nil"/>
              <w:bottom w:val="nil"/>
              <w:right w:val="nil"/>
            </w:tcBorders>
          </w:tcPr>
          <w:p w14:paraId="43ABA0F2"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(1.98)</w:t>
            </w:r>
          </w:p>
        </w:tc>
        <w:tc>
          <w:tcPr>
            <w:tcW w:w="1525" w:type="dxa"/>
            <w:tcBorders>
              <w:top w:val="nil"/>
              <w:left w:val="nil"/>
              <w:bottom w:val="nil"/>
              <w:right w:val="nil"/>
            </w:tcBorders>
          </w:tcPr>
          <w:p w14:paraId="2A4A3E0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(0.60)</w:t>
            </w:r>
          </w:p>
        </w:tc>
      </w:tr>
      <w:tr w:rsidR="001E0DEF" w:rsidRPr="007C19C4" w14:paraId="2CFE48E1" w14:textId="77777777" w:rsidTr="003D25A1">
        <w:tc>
          <w:tcPr>
            <w:tcW w:w="1656" w:type="dxa"/>
            <w:tcBorders>
              <w:top w:val="nil"/>
              <w:left w:val="nil"/>
              <w:bottom w:val="nil"/>
              <w:right w:val="nil"/>
            </w:tcBorders>
          </w:tcPr>
          <w:p w14:paraId="6ACF2DF8"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29237942"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417" w:type="dxa"/>
            <w:tcBorders>
              <w:top w:val="nil"/>
              <w:left w:val="nil"/>
              <w:bottom w:val="nil"/>
              <w:right w:val="nil"/>
            </w:tcBorders>
          </w:tcPr>
          <w:p w14:paraId="50EF9DAF"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23" w:type="dxa"/>
            <w:tcBorders>
              <w:top w:val="nil"/>
              <w:left w:val="nil"/>
              <w:bottom w:val="nil"/>
              <w:right w:val="nil"/>
            </w:tcBorders>
          </w:tcPr>
          <w:p w14:paraId="13813212"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350" w:type="dxa"/>
            <w:tcBorders>
              <w:top w:val="nil"/>
              <w:left w:val="nil"/>
              <w:bottom w:val="nil"/>
              <w:right w:val="nil"/>
            </w:tcBorders>
          </w:tcPr>
          <w:p w14:paraId="5E6A9ACE"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260" w:type="dxa"/>
            <w:tcBorders>
              <w:top w:val="nil"/>
              <w:left w:val="nil"/>
              <w:bottom w:val="nil"/>
              <w:right w:val="nil"/>
            </w:tcBorders>
          </w:tcPr>
          <w:p w14:paraId="3AC1A881"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525" w:type="dxa"/>
            <w:tcBorders>
              <w:top w:val="nil"/>
              <w:left w:val="nil"/>
              <w:bottom w:val="nil"/>
              <w:right w:val="nil"/>
            </w:tcBorders>
          </w:tcPr>
          <w:p w14:paraId="326A2445"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7C19C4" w14:paraId="5C012D5B" w14:textId="77777777" w:rsidTr="003D25A1">
        <w:tc>
          <w:tcPr>
            <w:tcW w:w="1656" w:type="dxa"/>
            <w:tcBorders>
              <w:top w:val="nil"/>
              <w:left w:val="nil"/>
              <w:bottom w:val="nil"/>
              <w:right w:val="nil"/>
            </w:tcBorders>
          </w:tcPr>
          <w:p w14:paraId="323EA31A" w14:textId="5DC3B7C0"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IO</w:t>
            </w:r>
          </w:p>
        </w:tc>
        <w:tc>
          <w:tcPr>
            <w:tcW w:w="1134" w:type="dxa"/>
            <w:tcBorders>
              <w:top w:val="nil"/>
              <w:left w:val="nil"/>
              <w:bottom w:val="nil"/>
              <w:right w:val="nil"/>
            </w:tcBorders>
          </w:tcPr>
          <w:p w14:paraId="2803DB3D"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36FE6EE1"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-0.087</w:t>
            </w:r>
          </w:p>
        </w:tc>
        <w:tc>
          <w:tcPr>
            <w:tcW w:w="923" w:type="dxa"/>
            <w:tcBorders>
              <w:top w:val="nil"/>
              <w:left w:val="nil"/>
              <w:bottom w:val="nil"/>
              <w:right w:val="nil"/>
            </w:tcBorders>
          </w:tcPr>
          <w:p w14:paraId="59F07EA9"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7A37F9D3"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-0.221</w:t>
            </w:r>
          </w:p>
        </w:tc>
        <w:tc>
          <w:tcPr>
            <w:tcW w:w="1260" w:type="dxa"/>
            <w:tcBorders>
              <w:top w:val="nil"/>
              <w:left w:val="nil"/>
              <w:bottom w:val="nil"/>
              <w:right w:val="nil"/>
            </w:tcBorders>
          </w:tcPr>
          <w:p w14:paraId="50780B16"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-0.003</w:t>
            </w:r>
          </w:p>
        </w:tc>
        <w:tc>
          <w:tcPr>
            <w:tcW w:w="1525" w:type="dxa"/>
            <w:tcBorders>
              <w:top w:val="nil"/>
              <w:left w:val="nil"/>
              <w:bottom w:val="nil"/>
              <w:right w:val="nil"/>
            </w:tcBorders>
          </w:tcPr>
          <w:p w14:paraId="284E3983"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-0.011</w:t>
            </w:r>
          </w:p>
        </w:tc>
      </w:tr>
      <w:tr w:rsidR="001E0DEF" w:rsidRPr="007C19C4" w14:paraId="0D043BE5" w14:textId="77777777" w:rsidTr="003D25A1">
        <w:tc>
          <w:tcPr>
            <w:tcW w:w="1656" w:type="dxa"/>
            <w:tcBorders>
              <w:top w:val="nil"/>
              <w:left w:val="nil"/>
              <w:bottom w:val="nil"/>
              <w:right w:val="nil"/>
            </w:tcBorders>
          </w:tcPr>
          <w:p w14:paraId="3435E2F0"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124FD3BA"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1B7A4570"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(-0.95)</w:t>
            </w:r>
          </w:p>
        </w:tc>
        <w:tc>
          <w:tcPr>
            <w:tcW w:w="923" w:type="dxa"/>
            <w:tcBorders>
              <w:top w:val="nil"/>
              <w:left w:val="nil"/>
              <w:bottom w:val="nil"/>
              <w:right w:val="nil"/>
            </w:tcBorders>
          </w:tcPr>
          <w:p w14:paraId="3CC69C60"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2A69DBA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(-0.95)</w:t>
            </w:r>
          </w:p>
        </w:tc>
        <w:tc>
          <w:tcPr>
            <w:tcW w:w="1260" w:type="dxa"/>
            <w:tcBorders>
              <w:top w:val="nil"/>
              <w:left w:val="nil"/>
              <w:bottom w:val="nil"/>
              <w:right w:val="nil"/>
            </w:tcBorders>
          </w:tcPr>
          <w:p w14:paraId="3A1D5CA8"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(-0.26)</w:t>
            </w:r>
          </w:p>
        </w:tc>
        <w:tc>
          <w:tcPr>
            <w:tcW w:w="1525" w:type="dxa"/>
            <w:tcBorders>
              <w:top w:val="nil"/>
              <w:left w:val="nil"/>
              <w:bottom w:val="nil"/>
              <w:right w:val="nil"/>
            </w:tcBorders>
          </w:tcPr>
          <w:p w14:paraId="13786696"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(-0.58)</w:t>
            </w:r>
          </w:p>
        </w:tc>
      </w:tr>
      <w:tr w:rsidR="001E0DEF" w:rsidRPr="007C19C4" w14:paraId="7FC735BD" w14:textId="77777777" w:rsidTr="003D25A1">
        <w:tc>
          <w:tcPr>
            <w:tcW w:w="1656" w:type="dxa"/>
            <w:tcBorders>
              <w:top w:val="nil"/>
              <w:left w:val="nil"/>
              <w:bottom w:val="nil"/>
              <w:right w:val="nil"/>
            </w:tcBorders>
          </w:tcPr>
          <w:p w14:paraId="767A8AE4"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562F50B3"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417" w:type="dxa"/>
            <w:tcBorders>
              <w:top w:val="nil"/>
              <w:left w:val="nil"/>
              <w:bottom w:val="nil"/>
              <w:right w:val="nil"/>
            </w:tcBorders>
          </w:tcPr>
          <w:p w14:paraId="7037D73D"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23" w:type="dxa"/>
            <w:tcBorders>
              <w:top w:val="nil"/>
              <w:left w:val="nil"/>
              <w:bottom w:val="nil"/>
              <w:right w:val="nil"/>
            </w:tcBorders>
          </w:tcPr>
          <w:p w14:paraId="294934CD"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350" w:type="dxa"/>
            <w:tcBorders>
              <w:top w:val="nil"/>
              <w:left w:val="nil"/>
              <w:bottom w:val="nil"/>
              <w:right w:val="nil"/>
            </w:tcBorders>
          </w:tcPr>
          <w:p w14:paraId="787B56D7"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260" w:type="dxa"/>
            <w:tcBorders>
              <w:top w:val="nil"/>
              <w:left w:val="nil"/>
              <w:bottom w:val="nil"/>
              <w:right w:val="nil"/>
            </w:tcBorders>
          </w:tcPr>
          <w:p w14:paraId="2EBF630D"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525" w:type="dxa"/>
            <w:tcBorders>
              <w:top w:val="nil"/>
              <w:left w:val="nil"/>
              <w:bottom w:val="nil"/>
              <w:right w:val="nil"/>
            </w:tcBorders>
          </w:tcPr>
          <w:p w14:paraId="7F47C7C1"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7C19C4" w14:paraId="000B76D2" w14:textId="77777777" w:rsidTr="003D25A1">
        <w:tc>
          <w:tcPr>
            <w:tcW w:w="1656" w:type="dxa"/>
            <w:tcBorders>
              <w:top w:val="nil"/>
              <w:left w:val="nil"/>
              <w:bottom w:val="nil"/>
              <w:right w:val="nil"/>
            </w:tcBorders>
          </w:tcPr>
          <w:p w14:paraId="186592F7" w14:textId="7783E46C"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N</w:t>
            </w:r>
            <w:r w:rsidR="00392B53">
              <w:rPr>
                <w:rFonts w:asciiTheme="majorBidi" w:hAnsiTheme="majorBidi" w:cstheme="majorBidi"/>
                <w:sz w:val="20"/>
                <w:szCs w:val="20"/>
                <w:lang w:val="en-US"/>
              </w:rPr>
              <w:t>E</w:t>
            </w:r>
          </w:p>
        </w:tc>
        <w:tc>
          <w:tcPr>
            <w:tcW w:w="1134" w:type="dxa"/>
            <w:tcBorders>
              <w:top w:val="nil"/>
              <w:left w:val="nil"/>
              <w:bottom w:val="nil"/>
              <w:right w:val="nil"/>
            </w:tcBorders>
          </w:tcPr>
          <w:p w14:paraId="0BC3D896"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7358B793"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0.174</w:t>
            </w:r>
          </w:p>
        </w:tc>
        <w:tc>
          <w:tcPr>
            <w:tcW w:w="923" w:type="dxa"/>
            <w:tcBorders>
              <w:top w:val="nil"/>
              <w:left w:val="nil"/>
              <w:bottom w:val="nil"/>
              <w:right w:val="nil"/>
            </w:tcBorders>
          </w:tcPr>
          <w:p w14:paraId="2D876E60"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3FA228F9"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-1.103</w:t>
            </w:r>
            <w:r w:rsidRPr="007C19C4">
              <w:rPr>
                <w:rFonts w:asciiTheme="majorBidi" w:hAnsiTheme="majorBidi" w:cstheme="majorBidi"/>
                <w:sz w:val="20"/>
                <w:szCs w:val="20"/>
                <w:vertAlign w:val="superscript"/>
                <w:lang w:val="en-US"/>
              </w:rPr>
              <w:t>***</w:t>
            </w:r>
          </w:p>
        </w:tc>
        <w:tc>
          <w:tcPr>
            <w:tcW w:w="1260" w:type="dxa"/>
            <w:tcBorders>
              <w:top w:val="nil"/>
              <w:left w:val="nil"/>
              <w:bottom w:val="nil"/>
              <w:right w:val="nil"/>
            </w:tcBorders>
          </w:tcPr>
          <w:p w14:paraId="4B0AB8F7"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0.111</w:t>
            </w:r>
            <w:r w:rsidRPr="007C19C4">
              <w:rPr>
                <w:rFonts w:asciiTheme="majorBidi" w:hAnsiTheme="majorBidi" w:cstheme="majorBidi"/>
                <w:sz w:val="20"/>
                <w:szCs w:val="20"/>
                <w:vertAlign w:val="superscript"/>
                <w:lang w:val="en-US"/>
              </w:rPr>
              <w:t>**</w:t>
            </w:r>
          </w:p>
        </w:tc>
        <w:tc>
          <w:tcPr>
            <w:tcW w:w="1525" w:type="dxa"/>
            <w:tcBorders>
              <w:top w:val="nil"/>
              <w:left w:val="nil"/>
              <w:bottom w:val="nil"/>
              <w:right w:val="nil"/>
            </w:tcBorders>
          </w:tcPr>
          <w:p w14:paraId="7566B3C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-0.008</w:t>
            </w:r>
          </w:p>
        </w:tc>
      </w:tr>
      <w:tr w:rsidR="001E0DEF" w:rsidRPr="007C19C4" w14:paraId="2C116C60" w14:textId="77777777" w:rsidTr="003D25A1">
        <w:tc>
          <w:tcPr>
            <w:tcW w:w="1656" w:type="dxa"/>
            <w:tcBorders>
              <w:top w:val="nil"/>
              <w:left w:val="nil"/>
              <w:bottom w:val="nil"/>
              <w:right w:val="nil"/>
            </w:tcBorders>
          </w:tcPr>
          <w:p w14:paraId="52D9F948"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0F3D125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34F4F97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(0.65)</w:t>
            </w:r>
          </w:p>
        </w:tc>
        <w:tc>
          <w:tcPr>
            <w:tcW w:w="923" w:type="dxa"/>
            <w:tcBorders>
              <w:top w:val="nil"/>
              <w:left w:val="nil"/>
              <w:bottom w:val="nil"/>
              <w:right w:val="nil"/>
            </w:tcBorders>
          </w:tcPr>
          <w:p w14:paraId="3512C849"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2C9A56A3"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(-3.09)</w:t>
            </w:r>
          </w:p>
        </w:tc>
        <w:tc>
          <w:tcPr>
            <w:tcW w:w="1260" w:type="dxa"/>
            <w:tcBorders>
              <w:top w:val="nil"/>
              <w:left w:val="nil"/>
              <w:bottom w:val="nil"/>
              <w:right w:val="nil"/>
            </w:tcBorders>
          </w:tcPr>
          <w:p w14:paraId="37FA74F2"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(2.53)</w:t>
            </w:r>
          </w:p>
        </w:tc>
        <w:tc>
          <w:tcPr>
            <w:tcW w:w="1525" w:type="dxa"/>
            <w:tcBorders>
              <w:top w:val="nil"/>
              <w:left w:val="nil"/>
              <w:bottom w:val="nil"/>
              <w:right w:val="nil"/>
            </w:tcBorders>
          </w:tcPr>
          <w:p w14:paraId="1E653791"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(-0.29)</w:t>
            </w:r>
          </w:p>
        </w:tc>
      </w:tr>
      <w:tr w:rsidR="001E0DEF" w:rsidRPr="007C19C4" w14:paraId="34E06743" w14:textId="77777777" w:rsidTr="003D25A1">
        <w:tc>
          <w:tcPr>
            <w:tcW w:w="1656" w:type="dxa"/>
            <w:tcBorders>
              <w:top w:val="nil"/>
              <w:left w:val="nil"/>
              <w:bottom w:val="nil"/>
              <w:right w:val="nil"/>
            </w:tcBorders>
          </w:tcPr>
          <w:p w14:paraId="33776948"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070EB0CC"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417" w:type="dxa"/>
            <w:tcBorders>
              <w:top w:val="nil"/>
              <w:left w:val="nil"/>
              <w:bottom w:val="nil"/>
              <w:right w:val="nil"/>
            </w:tcBorders>
          </w:tcPr>
          <w:p w14:paraId="59A13A14"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23" w:type="dxa"/>
            <w:tcBorders>
              <w:top w:val="nil"/>
              <w:left w:val="nil"/>
              <w:bottom w:val="nil"/>
              <w:right w:val="nil"/>
            </w:tcBorders>
          </w:tcPr>
          <w:p w14:paraId="193E0568"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350" w:type="dxa"/>
            <w:tcBorders>
              <w:top w:val="nil"/>
              <w:left w:val="nil"/>
              <w:bottom w:val="nil"/>
              <w:right w:val="nil"/>
            </w:tcBorders>
          </w:tcPr>
          <w:p w14:paraId="7B622F15"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260" w:type="dxa"/>
            <w:tcBorders>
              <w:top w:val="nil"/>
              <w:left w:val="nil"/>
              <w:bottom w:val="nil"/>
              <w:right w:val="nil"/>
            </w:tcBorders>
          </w:tcPr>
          <w:p w14:paraId="00B543B3"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525" w:type="dxa"/>
            <w:tcBorders>
              <w:top w:val="nil"/>
              <w:left w:val="nil"/>
              <w:bottom w:val="nil"/>
              <w:right w:val="nil"/>
            </w:tcBorders>
          </w:tcPr>
          <w:p w14:paraId="44F2E24C"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7C19C4" w14:paraId="1A62601C" w14:textId="77777777" w:rsidTr="003D25A1">
        <w:tc>
          <w:tcPr>
            <w:tcW w:w="1656" w:type="dxa"/>
            <w:tcBorders>
              <w:top w:val="nil"/>
              <w:left w:val="nil"/>
              <w:bottom w:val="nil"/>
              <w:right w:val="nil"/>
            </w:tcBorders>
          </w:tcPr>
          <w:p w14:paraId="1FE638A1" w14:textId="1C4E7EA1"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BS</w:t>
            </w:r>
          </w:p>
        </w:tc>
        <w:tc>
          <w:tcPr>
            <w:tcW w:w="1134" w:type="dxa"/>
            <w:tcBorders>
              <w:top w:val="nil"/>
              <w:left w:val="nil"/>
              <w:bottom w:val="nil"/>
              <w:right w:val="nil"/>
            </w:tcBorders>
          </w:tcPr>
          <w:p w14:paraId="5E17304F"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3AA52CE7"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-0.472</w:t>
            </w:r>
            <w:r w:rsidRPr="007C19C4">
              <w:rPr>
                <w:rFonts w:asciiTheme="majorBidi" w:hAnsiTheme="majorBidi" w:cstheme="majorBidi"/>
                <w:sz w:val="20"/>
                <w:szCs w:val="20"/>
                <w:vertAlign w:val="superscript"/>
                <w:lang w:val="en-US"/>
              </w:rPr>
              <w:t>**</w:t>
            </w:r>
          </w:p>
        </w:tc>
        <w:tc>
          <w:tcPr>
            <w:tcW w:w="923" w:type="dxa"/>
            <w:tcBorders>
              <w:top w:val="nil"/>
              <w:left w:val="nil"/>
              <w:bottom w:val="nil"/>
              <w:right w:val="nil"/>
            </w:tcBorders>
          </w:tcPr>
          <w:p w14:paraId="6DB86A77"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56D93B2F"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0.267</w:t>
            </w:r>
          </w:p>
        </w:tc>
        <w:tc>
          <w:tcPr>
            <w:tcW w:w="1260" w:type="dxa"/>
            <w:tcBorders>
              <w:top w:val="nil"/>
              <w:left w:val="nil"/>
              <w:bottom w:val="nil"/>
              <w:right w:val="nil"/>
            </w:tcBorders>
          </w:tcPr>
          <w:p w14:paraId="66C05FE6"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-0.063</w:t>
            </w:r>
          </w:p>
        </w:tc>
        <w:tc>
          <w:tcPr>
            <w:tcW w:w="1525" w:type="dxa"/>
            <w:tcBorders>
              <w:top w:val="nil"/>
              <w:left w:val="nil"/>
              <w:bottom w:val="nil"/>
              <w:right w:val="nil"/>
            </w:tcBorders>
          </w:tcPr>
          <w:p w14:paraId="7D2BF4FC"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0.026</w:t>
            </w:r>
          </w:p>
        </w:tc>
      </w:tr>
      <w:tr w:rsidR="001E0DEF" w:rsidRPr="007C19C4" w14:paraId="5871D855" w14:textId="77777777" w:rsidTr="003D25A1">
        <w:tc>
          <w:tcPr>
            <w:tcW w:w="1656" w:type="dxa"/>
            <w:tcBorders>
              <w:top w:val="nil"/>
              <w:left w:val="nil"/>
              <w:bottom w:val="nil"/>
              <w:right w:val="nil"/>
            </w:tcBorders>
          </w:tcPr>
          <w:p w14:paraId="4B0DCFB0"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6BE571A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5C45B78F"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(-2.00)</w:t>
            </w:r>
          </w:p>
        </w:tc>
        <w:tc>
          <w:tcPr>
            <w:tcW w:w="923" w:type="dxa"/>
            <w:tcBorders>
              <w:top w:val="nil"/>
              <w:left w:val="nil"/>
              <w:bottom w:val="nil"/>
              <w:right w:val="nil"/>
            </w:tcBorders>
          </w:tcPr>
          <w:p w14:paraId="799FC316"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010C108B"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(0.86)</w:t>
            </w:r>
          </w:p>
        </w:tc>
        <w:tc>
          <w:tcPr>
            <w:tcW w:w="1260" w:type="dxa"/>
            <w:tcBorders>
              <w:top w:val="nil"/>
              <w:left w:val="nil"/>
              <w:bottom w:val="nil"/>
              <w:right w:val="nil"/>
            </w:tcBorders>
          </w:tcPr>
          <w:p w14:paraId="46E34730"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(-1.53)</w:t>
            </w:r>
          </w:p>
        </w:tc>
        <w:tc>
          <w:tcPr>
            <w:tcW w:w="1525" w:type="dxa"/>
            <w:tcBorders>
              <w:top w:val="nil"/>
              <w:left w:val="nil"/>
              <w:bottom w:val="nil"/>
              <w:right w:val="nil"/>
            </w:tcBorders>
          </w:tcPr>
          <w:p w14:paraId="182EDA1A"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(1.09)</w:t>
            </w:r>
          </w:p>
        </w:tc>
      </w:tr>
      <w:tr w:rsidR="001E0DEF" w:rsidRPr="007C19C4" w14:paraId="39D330A9" w14:textId="77777777" w:rsidTr="003D25A1">
        <w:tc>
          <w:tcPr>
            <w:tcW w:w="1656" w:type="dxa"/>
            <w:tcBorders>
              <w:top w:val="nil"/>
              <w:left w:val="nil"/>
              <w:bottom w:val="nil"/>
              <w:right w:val="nil"/>
            </w:tcBorders>
          </w:tcPr>
          <w:p w14:paraId="22851A42"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674D2699"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417" w:type="dxa"/>
            <w:tcBorders>
              <w:top w:val="nil"/>
              <w:left w:val="nil"/>
              <w:bottom w:val="nil"/>
              <w:right w:val="nil"/>
            </w:tcBorders>
          </w:tcPr>
          <w:p w14:paraId="15CEA682"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23" w:type="dxa"/>
            <w:tcBorders>
              <w:top w:val="nil"/>
              <w:left w:val="nil"/>
              <w:bottom w:val="nil"/>
              <w:right w:val="nil"/>
            </w:tcBorders>
          </w:tcPr>
          <w:p w14:paraId="33D6846C"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350" w:type="dxa"/>
            <w:tcBorders>
              <w:top w:val="nil"/>
              <w:left w:val="nil"/>
              <w:bottom w:val="nil"/>
              <w:right w:val="nil"/>
            </w:tcBorders>
          </w:tcPr>
          <w:p w14:paraId="47A2E9BE"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260" w:type="dxa"/>
            <w:tcBorders>
              <w:top w:val="nil"/>
              <w:left w:val="nil"/>
              <w:bottom w:val="nil"/>
              <w:right w:val="nil"/>
            </w:tcBorders>
          </w:tcPr>
          <w:p w14:paraId="4FEDF4F1"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525" w:type="dxa"/>
            <w:tcBorders>
              <w:top w:val="nil"/>
              <w:left w:val="nil"/>
              <w:bottom w:val="nil"/>
              <w:right w:val="nil"/>
            </w:tcBorders>
          </w:tcPr>
          <w:p w14:paraId="76DA8FFF"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7C19C4" w14:paraId="4A1C75CA" w14:textId="77777777" w:rsidTr="003D25A1">
        <w:tc>
          <w:tcPr>
            <w:tcW w:w="1656" w:type="dxa"/>
            <w:tcBorders>
              <w:top w:val="nil"/>
              <w:left w:val="nil"/>
              <w:bottom w:val="nil"/>
              <w:right w:val="nil"/>
            </w:tcBorders>
          </w:tcPr>
          <w:p w14:paraId="75FE8328"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AGE</w:t>
            </w:r>
          </w:p>
        </w:tc>
        <w:tc>
          <w:tcPr>
            <w:tcW w:w="1134" w:type="dxa"/>
            <w:tcBorders>
              <w:top w:val="nil"/>
              <w:left w:val="nil"/>
              <w:bottom w:val="nil"/>
              <w:right w:val="nil"/>
            </w:tcBorders>
          </w:tcPr>
          <w:p w14:paraId="3FFA8579"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08DF5B30"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0.351</w:t>
            </w:r>
            <w:r w:rsidRPr="007C19C4">
              <w:rPr>
                <w:rFonts w:asciiTheme="majorBidi" w:hAnsiTheme="majorBidi" w:cstheme="majorBidi"/>
                <w:sz w:val="20"/>
                <w:szCs w:val="20"/>
                <w:vertAlign w:val="superscript"/>
                <w:lang w:val="en-US"/>
              </w:rPr>
              <w:t>***</w:t>
            </w:r>
          </w:p>
        </w:tc>
        <w:tc>
          <w:tcPr>
            <w:tcW w:w="923" w:type="dxa"/>
            <w:tcBorders>
              <w:top w:val="nil"/>
              <w:left w:val="nil"/>
              <w:bottom w:val="nil"/>
              <w:right w:val="nil"/>
            </w:tcBorders>
          </w:tcPr>
          <w:p w14:paraId="7BB9E6F3"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25DDE00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0.094</w:t>
            </w:r>
          </w:p>
        </w:tc>
        <w:tc>
          <w:tcPr>
            <w:tcW w:w="1260" w:type="dxa"/>
            <w:tcBorders>
              <w:top w:val="nil"/>
              <w:left w:val="nil"/>
              <w:bottom w:val="nil"/>
              <w:right w:val="nil"/>
            </w:tcBorders>
          </w:tcPr>
          <w:p w14:paraId="4BE94297"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0.003</w:t>
            </w:r>
          </w:p>
        </w:tc>
        <w:tc>
          <w:tcPr>
            <w:tcW w:w="1525" w:type="dxa"/>
            <w:tcBorders>
              <w:top w:val="nil"/>
              <w:left w:val="nil"/>
              <w:bottom w:val="nil"/>
              <w:right w:val="nil"/>
            </w:tcBorders>
          </w:tcPr>
          <w:p w14:paraId="4EAC7BF6"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0.004</w:t>
            </w:r>
          </w:p>
        </w:tc>
      </w:tr>
      <w:tr w:rsidR="001E0DEF" w:rsidRPr="007C19C4" w14:paraId="3F0B79B4" w14:textId="77777777" w:rsidTr="003D25A1">
        <w:tc>
          <w:tcPr>
            <w:tcW w:w="1656" w:type="dxa"/>
            <w:tcBorders>
              <w:top w:val="nil"/>
              <w:left w:val="nil"/>
              <w:bottom w:val="nil"/>
              <w:right w:val="nil"/>
            </w:tcBorders>
          </w:tcPr>
          <w:p w14:paraId="40DFB607"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6156F6B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6044CCCF"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(2.96)</w:t>
            </w:r>
          </w:p>
        </w:tc>
        <w:tc>
          <w:tcPr>
            <w:tcW w:w="923" w:type="dxa"/>
            <w:tcBorders>
              <w:top w:val="nil"/>
              <w:left w:val="nil"/>
              <w:bottom w:val="nil"/>
              <w:right w:val="nil"/>
            </w:tcBorders>
          </w:tcPr>
          <w:p w14:paraId="4A720FB8"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14D1DC9D"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(0.55)</w:t>
            </w:r>
          </w:p>
        </w:tc>
        <w:tc>
          <w:tcPr>
            <w:tcW w:w="1260" w:type="dxa"/>
            <w:tcBorders>
              <w:top w:val="nil"/>
              <w:left w:val="nil"/>
              <w:bottom w:val="nil"/>
              <w:right w:val="nil"/>
            </w:tcBorders>
          </w:tcPr>
          <w:p w14:paraId="5209338C"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(0.16)</w:t>
            </w:r>
          </w:p>
        </w:tc>
        <w:tc>
          <w:tcPr>
            <w:tcW w:w="1525" w:type="dxa"/>
            <w:tcBorders>
              <w:top w:val="nil"/>
              <w:left w:val="nil"/>
              <w:bottom w:val="nil"/>
              <w:right w:val="nil"/>
            </w:tcBorders>
          </w:tcPr>
          <w:p w14:paraId="460B6AC2"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(0.33)</w:t>
            </w:r>
          </w:p>
        </w:tc>
      </w:tr>
      <w:tr w:rsidR="001E0DEF" w:rsidRPr="007C19C4" w14:paraId="59A0EEA2" w14:textId="77777777" w:rsidTr="003D25A1">
        <w:tc>
          <w:tcPr>
            <w:tcW w:w="1656" w:type="dxa"/>
            <w:tcBorders>
              <w:top w:val="nil"/>
              <w:left w:val="nil"/>
              <w:bottom w:val="nil"/>
              <w:right w:val="nil"/>
            </w:tcBorders>
          </w:tcPr>
          <w:p w14:paraId="3648D771"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237DD6DB"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417" w:type="dxa"/>
            <w:tcBorders>
              <w:top w:val="nil"/>
              <w:left w:val="nil"/>
              <w:bottom w:val="nil"/>
              <w:right w:val="nil"/>
            </w:tcBorders>
          </w:tcPr>
          <w:p w14:paraId="2DA84A01"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23" w:type="dxa"/>
            <w:tcBorders>
              <w:top w:val="nil"/>
              <w:left w:val="nil"/>
              <w:bottom w:val="nil"/>
              <w:right w:val="nil"/>
            </w:tcBorders>
          </w:tcPr>
          <w:p w14:paraId="2C2BD5EA"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350" w:type="dxa"/>
            <w:tcBorders>
              <w:top w:val="nil"/>
              <w:left w:val="nil"/>
              <w:bottom w:val="nil"/>
              <w:right w:val="nil"/>
            </w:tcBorders>
          </w:tcPr>
          <w:p w14:paraId="28BA4BC6"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260" w:type="dxa"/>
            <w:tcBorders>
              <w:top w:val="nil"/>
              <w:left w:val="nil"/>
              <w:bottom w:val="nil"/>
              <w:right w:val="nil"/>
            </w:tcBorders>
          </w:tcPr>
          <w:p w14:paraId="0DF9B5A3"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525" w:type="dxa"/>
            <w:tcBorders>
              <w:top w:val="nil"/>
              <w:left w:val="nil"/>
              <w:bottom w:val="nil"/>
              <w:right w:val="nil"/>
            </w:tcBorders>
          </w:tcPr>
          <w:p w14:paraId="3FB9E55D"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7C19C4" w14:paraId="674FC365" w14:textId="77777777" w:rsidTr="003D25A1">
        <w:tc>
          <w:tcPr>
            <w:tcW w:w="1656" w:type="dxa"/>
            <w:tcBorders>
              <w:top w:val="nil"/>
              <w:left w:val="nil"/>
              <w:bottom w:val="nil"/>
              <w:right w:val="nil"/>
            </w:tcBorders>
          </w:tcPr>
          <w:p w14:paraId="0DEFB27E"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TEN</w:t>
            </w:r>
          </w:p>
        </w:tc>
        <w:tc>
          <w:tcPr>
            <w:tcW w:w="1134" w:type="dxa"/>
            <w:tcBorders>
              <w:top w:val="nil"/>
              <w:left w:val="nil"/>
              <w:bottom w:val="nil"/>
              <w:right w:val="nil"/>
            </w:tcBorders>
          </w:tcPr>
          <w:p w14:paraId="3F9F45F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5C4D0048"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-0.005</w:t>
            </w:r>
          </w:p>
        </w:tc>
        <w:tc>
          <w:tcPr>
            <w:tcW w:w="923" w:type="dxa"/>
            <w:tcBorders>
              <w:top w:val="nil"/>
              <w:left w:val="nil"/>
              <w:bottom w:val="nil"/>
              <w:right w:val="nil"/>
            </w:tcBorders>
          </w:tcPr>
          <w:p w14:paraId="1110B049"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4847AA19"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-0.036</w:t>
            </w:r>
          </w:p>
        </w:tc>
        <w:tc>
          <w:tcPr>
            <w:tcW w:w="1260" w:type="dxa"/>
            <w:tcBorders>
              <w:top w:val="nil"/>
              <w:left w:val="nil"/>
              <w:bottom w:val="nil"/>
              <w:right w:val="nil"/>
            </w:tcBorders>
          </w:tcPr>
          <w:p w14:paraId="00556929"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-0.003</w:t>
            </w:r>
          </w:p>
        </w:tc>
        <w:tc>
          <w:tcPr>
            <w:tcW w:w="1525" w:type="dxa"/>
            <w:tcBorders>
              <w:top w:val="nil"/>
              <w:left w:val="nil"/>
              <w:bottom w:val="nil"/>
              <w:right w:val="nil"/>
            </w:tcBorders>
          </w:tcPr>
          <w:p w14:paraId="67B008D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-0.011</w:t>
            </w:r>
          </w:p>
        </w:tc>
      </w:tr>
      <w:tr w:rsidR="001E0DEF" w:rsidRPr="007C19C4" w14:paraId="61579CF1" w14:textId="77777777" w:rsidTr="003D25A1">
        <w:tc>
          <w:tcPr>
            <w:tcW w:w="1656" w:type="dxa"/>
            <w:tcBorders>
              <w:top w:val="nil"/>
              <w:left w:val="nil"/>
              <w:bottom w:val="nil"/>
              <w:right w:val="nil"/>
            </w:tcBorders>
          </w:tcPr>
          <w:p w14:paraId="7A07F71E"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1EA03CA7"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044384CD"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(-0.04)</w:t>
            </w:r>
          </w:p>
        </w:tc>
        <w:tc>
          <w:tcPr>
            <w:tcW w:w="923" w:type="dxa"/>
            <w:tcBorders>
              <w:top w:val="nil"/>
              <w:left w:val="nil"/>
              <w:bottom w:val="nil"/>
              <w:right w:val="nil"/>
            </w:tcBorders>
          </w:tcPr>
          <w:p w14:paraId="2D4A4D71"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1689BEE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(-0.27)</w:t>
            </w:r>
          </w:p>
        </w:tc>
        <w:tc>
          <w:tcPr>
            <w:tcW w:w="1260" w:type="dxa"/>
            <w:tcBorders>
              <w:top w:val="nil"/>
              <w:left w:val="nil"/>
              <w:bottom w:val="nil"/>
              <w:right w:val="nil"/>
            </w:tcBorders>
          </w:tcPr>
          <w:p w14:paraId="3D6D1EAC"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(-0.13)</w:t>
            </w:r>
          </w:p>
        </w:tc>
        <w:tc>
          <w:tcPr>
            <w:tcW w:w="1525" w:type="dxa"/>
            <w:tcBorders>
              <w:top w:val="nil"/>
              <w:left w:val="nil"/>
              <w:bottom w:val="nil"/>
              <w:right w:val="nil"/>
            </w:tcBorders>
          </w:tcPr>
          <w:p w14:paraId="1E3E9144"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(-1.05)</w:t>
            </w:r>
          </w:p>
        </w:tc>
      </w:tr>
      <w:tr w:rsidR="001E0DEF" w:rsidRPr="007C19C4" w14:paraId="0A3E60BA" w14:textId="77777777" w:rsidTr="003D25A1">
        <w:tc>
          <w:tcPr>
            <w:tcW w:w="1656" w:type="dxa"/>
            <w:tcBorders>
              <w:top w:val="nil"/>
              <w:left w:val="nil"/>
              <w:bottom w:val="nil"/>
              <w:right w:val="nil"/>
            </w:tcBorders>
          </w:tcPr>
          <w:p w14:paraId="792CAF13"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424570D3"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417" w:type="dxa"/>
            <w:tcBorders>
              <w:top w:val="nil"/>
              <w:left w:val="nil"/>
              <w:bottom w:val="nil"/>
              <w:right w:val="nil"/>
            </w:tcBorders>
          </w:tcPr>
          <w:p w14:paraId="7D06317B"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23" w:type="dxa"/>
            <w:tcBorders>
              <w:top w:val="nil"/>
              <w:left w:val="nil"/>
              <w:bottom w:val="nil"/>
              <w:right w:val="nil"/>
            </w:tcBorders>
          </w:tcPr>
          <w:p w14:paraId="71A52BEC"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350" w:type="dxa"/>
            <w:tcBorders>
              <w:top w:val="nil"/>
              <w:left w:val="nil"/>
              <w:bottom w:val="nil"/>
              <w:right w:val="nil"/>
            </w:tcBorders>
          </w:tcPr>
          <w:p w14:paraId="689300D5"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260" w:type="dxa"/>
            <w:tcBorders>
              <w:top w:val="nil"/>
              <w:left w:val="nil"/>
              <w:bottom w:val="nil"/>
              <w:right w:val="nil"/>
            </w:tcBorders>
          </w:tcPr>
          <w:p w14:paraId="6A93CE35"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525" w:type="dxa"/>
            <w:tcBorders>
              <w:top w:val="nil"/>
              <w:left w:val="nil"/>
              <w:bottom w:val="nil"/>
              <w:right w:val="nil"/>
            </w:tcBorders>
          </w:tcPr>
          <w:p w14:paraId="435AB77F"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7C19C4" w14:paraId="58C7EF69" w14:textId="77777777" w:rsidTr="003D25A1">
        <w:tc>
          <w:tcPr>
            <w:tcW w:w="1656" w:type="dxa"/>
            <w:tcBorders>
              <w:top w:val="nil"/>
              <w:left w:val="nil"/>
              <w:bottom w:val="nil"/>
              <w:right w:val="nil"/>
            </w:tcBorders>
          </w:tcPr>
          <w:p w14:paraId="16116E07"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GDR</w:t>
            </w:r>
          </w:p>
        </w:tc>
        <w:tc>
          <w:tcPr>
            <w:tcW w:w="1134" w:type="dxa"/>
            <w:tcBorders>
              <w:top w:val="nil"/>
              <w:left w:val="nil"/>
              <w:bottom w:val="nil"/>
              <w:right w:val="nil"/>
            </w:tcBorders>
          </w:tcPr>
          <w:p w14:paraId="35B6CDB2"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40FE069F"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0.787*</w:t>
            </w:r>
          </w:p>
        </w:tc>
        <w:tc>
          <w:tcPr>
            <w:tcW w:w="923" w:type="dxa"/>
            <w:tcBorders>
              <w:top w:val="nil"/>
              <w:left w:val="nil"/>
              <w:bottom w:val="nil"/>
              <w:right w:val="nil"/>
            </w:tcBorders>
          </w:tcPr>
          <w:p w14:paraId="6C50DD3F"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7544B1C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-0.509</w:t>
            </w:r>
          </w:p>
        </w:tc>
        <w:tc>
          <w:tcPr>
            <w:tcW w:w="1260" w:type="dxa"/>
            <w:tcBorders>
              <w:top w:val="nil"/>
              <w:left w:val="nil"/>
              <w:bottom w:val="nil"/>
              <w:right w:val="nil"/>
            </w:tcBorders>
          </w:tcPr>
          <w:p w14:paraId="6764C461"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0.139</w:t>
            </w:r>
            <w:r w:rsidRPr="007C19C4">
              <w:rPr>
                <w:rFonts w:asciiTheme="majorBidi" w:hAnsiTheme="majorBidi" w:cstheme="majorBidi"/>
                <w:sz w:val="20"/>
                <w:szCs w:val="20"/>
                <w:vertAlign w:val="superscript"/>
                <w:lang w:val="en-US"/>
              </w:rPr>
              <w:t>***</w:t>
            </w:r>
          </w:p>
        </w:tc>
        <w:tc>
          <w:tcPr>
            <w:tcW w:w="1525" w:type="dxa"/>
            <w:tcBorders>
              <w:top w:val="nil"/>
              <w:left w:val="nil"/>
              <w:bottom w:val="nil"/>
              <w:right w:val="nil"/>
            </w:tcBorders>
          </w:tcPr>
          <w:p w14:paraId="1FCEBA2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-0.005</w:t>
            </w:r>
          </w:p>
        </w:tc>
      </w:tr>
      <w:tr w:rsidR="001E0DEF" w:rsidRPr="007C19C4" w14:paraId="2E5FC7EF" w14:textId="77777777" w:rsidTr="003D25A1">
        <w:tc>
          <w:tcPr>
            <w:tcW w:w="1656" w:type="dxa"/>
            <w:tcBorders>
              <w:top w:val="nil"/>
              <w:left w:val="nil"/>
              <w:bottom w:val="nil"/>
              <w:right w:val="nil"/>
            </w:tcBorders>
          </w:tcPr>
          <w:p w14:paraId="09388469"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583C6DE2"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417" w:type="dxa"/>
            <w:tcBorders>
              <w:top w:val="nil"/>
              <w:left w:val="nil"/>
              <w:bottom w:val="nil"/>
              <w:right w:val="nil"/>
            </w:tcBorders>
          </w:tcPr>
          <w:p w14:paraId="21506AB8"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(1.85)</w:t>
            </w:r>
          </w:p>
        </w:tc>
        <w:tc>
          <w:tcPr>
            <w:tcW w:w="923" w:type="dxa"/>
            <w:tcBorders>
              <w:top w:val="nil"/>
              <w:left w:val="nil"/>
              <w:bottom w:val="nil"/>
              <w:right w:val="nil"/>
            </w:tcBorders>
          </w:tcPr>
          <w:p w14:paraId="251AD2BD"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350" w:type="dxa"/>
            <w:tcBorders>
              <w:top w:val="nil"/>
              <w:left w:val="nil"/>
              <w:bottom w:val="nil"/>
              <w:right w:val="nil"/>
            </w:tcBorders>
          </w:tcPr>
          <w:p w14:paraId="1113517D"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(-0.92)</w:t>
            </w:r>
          </w:p>
        </w:tc>
        <w:tc>
          <w:tcPr>
            <w:tcW w:w="1260" w:type="dxa"/>
            <w:tcBorders>
              <w:top w:val="nil"/>
              <w:left w:val="nil"/>
              <w:bottom w:val="nil"/>
              <w:right w:val="nil"/>
            </w:tcBorders>
          </w:tcPr>
          <w:p w14:paraId="2D29DE0F"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(3.19)</w:t>
            </w:r>
          </w:p>
        </w:tc>
        <w:tc>
          <w:tcPr>
            <w:tcW w:w="1525" w:type="dxa"/>
            <w:tcBorders>
              <w:top w:val="nil"/>
              <w:left w:val="nil"/>
              <w:bottom w:val="nil"/>
              <w:right w:val="nil"/>
            </w:tcBorders>
          </w:tcPr>
          <w:p w14:paraId="3A38C163"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(-0.12)</w:t>
            </w:r>
          </w:p>
        </w:tc>
      </w:tr>
      <w:tr w:rsidR="001E0DEF" w:rsidRPr="007C19C4" w14:paraId="6320091E" w14:textId="77777777" w:rsidTr="003D25A1">
        <w:tc>
          <w:tcPr>
            <w:tcW w:w="1656" w:type="dxa"/>
            <w:tcBorders>
              <w:top w:val="nil"/>
              <w:left w:val="nil"/>
              <w:bottom w:val="nil"/>
              <w:right w:val="nil"/>
            </w:tcBorders>
          </w:tcPr>
          <w:p w14:paraId="2B85F4EA"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34" w:type="dxa"/>
            <w:tcBorders>
              <w:top w:val="nil"/>
              <w:left w:val="nil"/>
              <w:bottom w:val="nil"/>
              <w:right w:val="nil"/>
            </w:tcBorders>
          </w:tcPr>
          <w:p w14:paraId="4D118DB9"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417" w:type="dxa"/>
            <w:tcBorders>
              <w:top w:val="nil"/>
              <w:left w:val="nil"/>
              <w:bottom w:val="nil"/>
              <w:right w:val="nil"/>
            </w:tcBorders>
          </w:tcPr>
          <w:p w14:paraId="3576CE72"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23" w:type="dxa"/>
            <w:tcBorders>
              <w:top w:val="nil"/>
              <w:left w:val="nil"/>
              <w:bottom w:val="nil"/>
              <w:right w:val="nil"/>
            </w:tcBorders>
          </w:tcPr>
          <w:p w14:paraId="29DAB5E5"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350" w:type="dxa"/>
            <w:tcBorders>
              <w:top w:val="nil"/>
              <w:left w:val="nil"/>
              <w:bottom w:val="nil"/>
              <w:right w:val="nil"/>
            </w:tcBorders>
          </w:tcPr>
          <w:p w14:paraId="4680DACC"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260" w:type="dxa"/>
            <w:tcBorders>
              <w:top w:val="nil"/>
              <w:left w:val="nil"/>
              <w:bottom w:val="nil"/>
              <w:right w:val="nil"/>
            </w:tcBorders>
          </w:tcPr>
          <w:p w14:paraId="58569E52"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525" w:type="dxa"/>
            <w:tcBorders>
              <w:top w:val="nil"/>
              <w:left w:val="nil"/>
              <w:bottom w:val="nil"/>
              <w:right w:val="nil"/>
            </w:tcBorders>
          </w:tcPr>
          <w:p w14:paraId="0E04A44E"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7C19C4" w14:paraId="1160798A" w14:textId="77777777" w:rsidTr="003D25A1">
        <w:tc>
          <w:tcPr>
            <w:tcW w:w="1656" w:type="dxa"/>
            <w:tcBorders>
              <w:top w:val="nil"/>
              <w:left w:val="nil"/>
              <w:bottom w:val="nil"/>
              <w:right w:val="nil"/>
            </w:tcBorders>
          </w:tcPr>
          <w:p w14:paraId="5F0ABA5C"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_Cons</w:t>
            </w:r>
          </w:p>
        </w:tc>
        <w:tc>
          <w:tcPr>
            <w:tcW w:w="1134" w:type="dxa"/>
            <w:tcBorders>
              <w:top w:val="nil"/>
              <w:left w:val="nil"/>
              <w:bottom w:val="nil"/>
              <w:right w:val="nil"/>
            </w:tcBorders>
          </w:tcPr>
          <w:p w14:paraId="399C3BE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-1.266</w:t>
            </w:r>
          </w:p>
        </w:tc>
        <w:tc>
          <w:tcPr>
            <w:tcW w:w="1417" w:type="dxa"/>
            <w:tcBorders>
              <w:top w:val="nil"/>
              <w:left w:val="nil"/>
              <w:bottom w:val="nil"/>
              <w:right w:val="nil"/>
            </w:tcBorders>
          </w:tcPr>
          <w:p w14:paraId="39B3F181"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-19.62*</w:t>
            </w:r>
          </w:p>
        </w:tc>
        <w:tc>
          <w:tcPr>
            <w:tcW w:w="923" w:type="dxa"/>
            <w:tcBorders>
              <w:top w:val="nil"/>
              <w:left w:val="nil"/>
              <w:bottom w:val="nil"/>
              <w:right w:val="nil"/>
            </w:tcBorders>
          </w:tcPr>
          <w:p w14:paraId="4744A5C0"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-6.649</w:t>
            </w:r>
          </w:p>
        </w:tc>
        <w:tc>
          <w:tcPr>
            <w:tcW w:w="1350" w:type="dxa"/>
            <w:tcBorders>
              <w:top w:val="nil"/>
              <w:left w:val="nil"/>
              <w:bottom w:val="nil"/>
              <w:right w:val="nil"/>
            </w:tcBorders>
          </w:tcPr>
          <w:p w14:paraId="2F977FF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69.310</w:t>
            </w:r>
            <w:r w:rsidRPr="007C19C4">
              <w:rPr>
                <w:rFonts w:asciiTheme="majorBidi" w:hAnsiTheme="majorBidi" w:cstheme="majorBidi"/>
                <w:sz w:val="20"/>
                <w:szCs w:val="20"/>
                <w:vertAlign w:val="superscript"/>
                <w:lang w:val="en-US"/>
              </w:rPr>
              <w:t>***</w:t>
            </w:r>
          </w:p>
        </w:tc>
        <w:tc>
          <w:tcPr>
            <w:tcW w:w="1260" w:type="dxa"/>
            <w:tcBorders>
              <w:top w:val="nil"/>
              <w:left w:val="nil"/>
              <w:bottom w:val="nil"/>
              <w:right w:val="nil"/>
            </w:tcBorders>
          </w:tcPr>
          <w:p w14:paraId="62149F3C"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0.284</w:t>
            </w:r>
          </w:p>
        </w:tc>
        <w:tc>
          <w:tcPr>
            <w:tcW w:w="1525" w:type="dxa"/>
            <w:tcBorders>
              <w:top w:val="nil"/>
              <w:left w:val="nil"/>
              <w:bottom w:val="nil"/>
              <w:right w:val="nil"/>
            </w:tcBorders>
          </w:tcPr>
          <w:p w14:paraId="4C2DBAB4"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0.016</w:t>
            </w:r>
          </w:p>
        </w:tc>
      </w:tr>
      <w:tr w:rsidR="001E0DEF" w:rsidRPr="007C19C4" w14:paraId="44E28082" w14:textId="77777777" w:rsidTr="003D25A1">
        <w:tc>
          <w:tcPr>
            <w:tcW w:w="1656" w:type="dxa"/>
            <w:tcBorders>
              <w:top w:val="nil"/>
              <w:left w:val="nil"/>
              <w:bottom w:val="single" w:sz="4" w:space="0" w:color="auto"/>
              <w:right w:val="nil"/>
            </w:tcBorders>
          </w:tcPr>
          <w:p w14:paraId="3D23570F"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p w14:paraId="0FCFAF92"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Year Effect</w:t>
            </w:r>
          </w:p>
          <w:p w14:paraId="2D8F34B4"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7C19C4">
              <w:rPr>
                <w:rFonts w:asciiTheme="majorBidi" w:hAnsiTheme="majorBidi" w:cstheme="majorBidi"/>
                <w:sz w:val="20"/>
                <w:szCs w:val="20"/>
                <w:lang w:val="en-US"/>
              </w:rPr>
              <w:t>Industry Effect</w:t>
            </w:r>
          </w:p>
        </w:tc>
        <w:tc>
          <w:tcPr>
            <w:tcW w:w="1134" w:type="dxa"/>
            <w:tcBorders>
              <w:top w:val="nil"/>
              <w:left w:val="nil"/>
              <w:bottom w:val="single" w:sz="4" w:space="0" w:color="auto"/>
              <w:right w:val="nil"/>
            </w:tcBorders>
          </w:tcPr>
          <w:p w14:paraId="69E5ADDD"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(-0.21)</w:t>
            </w:r>
          </w:p>
          <w:p w14:paraId="2B4BD446"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YES</w:t>
            </w:r>
          </w:p>
          <w:p w14:paraId="171B44D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YES</w:t>
            </w:r>
          </w:p>
        </w:tc>
        <w:tc>
          <w:tcPr>
            <w:tcW w:w="1417" w:type="dxa"/>
            <w:tcBorders>
              <w:top w:val="nil"/>
              <w:left w:val="nil"/>
              <w:bottom w:val="single" w:sz="4" w:space="0" w:color="auto"/>
              <w:right w:val="nil"/>
            </w:tcBorders>
          </w:tcPr>
          <w:p w14:paraId="0C2DBE69"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(-1.70)</w:t>
            </w:r>
          </w:p>
          <w:p w14:paraId="51EE79B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YES</w:t>
            </w:r>
          </w:p>
          <w:p w14:paraId="44C13F52"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YES</w:t>
            </w:r>
          </w:p>
        </w:tc>
        <w:tc>
          <w:tcPr>
            <w:tcW w:w="923" w:type="dxa"/>
            <w:tcBorders>
              <w:top w:val="nil"/>
              <w:left w:val="nil"/>
              <w:bottom w:val="single" w:sz="4" w:space="0" w:color="auto"/>
              <w:right w:val="nil"/>
            </w:tcBorders>
          </w:tcPr>
          <w:p w14:paraId="44A709B3"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(-0.83)</w:t>
            </w:r>
          </w:p>
          <w:p w14:paraId="572BFADB"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YES</w:t>
            </w:r>
          </w:p>
          <w:p w14:paraId="4D4393CD"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NO</w:t>
            </w:r>
          </w:p>
        </w:tc>
        <w:tc>
          <w:tcPr>
            <w:tcW w:w="1350" w:type="dxa"/>
            <w:tcBorders>
              <w:top w:val="nil"/>
              <w:left w:val="nil"/>
              <w:bottom w:val="single" w:sz="4" w:space="0" w:color="auto"/>
              <w:right w:val="nil"/>
            </w:tcBorders>
          </w:tcPr>
          <w:p w14:paraId="3489FD0F"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(2.99)</w:t>
            </w:r>
          </w:p>
          <w:p w14:paraId="2CBDFD4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YES</w:t>
            </w:r>
          </w:p>
          <w:p w14:paraId="0FAA0B39"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NO</w:t>
            </w:r>
          </w:p>
        </w:tc>
        <w:tc>
          <w:tcPr>
            <w:tcW w:w="1260" w:type="dxa"/>
            <w:tcBorders>
              <w:top w:val="nil"/>
              <w:left w:val="nil"/>
              <w:bottom w:val="single" w:sz="4" w:space="0" w:color="auto"/>
              <w:right w:val="nil"/>
            </w:tcBorders>
          </w:tcPr>
          <w:p w14:paraId="097D444E"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(0.21)</w:t>
            </w:r>
          </w:p>
          <w:p w14:paraId="25B21976"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YES</w:t>
            </w:r>
          </w:p>
          <w:p w14:paraId="3C879564"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YES</w:t>
            </w:r>
          </w:p>
        </w:tc>
        <w:tc>
          <w:tcPr>
            <w:tcW w:w="1525" w:type="dxa"/>
            <w:tcBorders>
              <w:top w:val="nil"/>
              <w:left w:val="nil"/>
              <w:bottom w:val="single" w:sz="4" w:space="0" w:color="auto"/>
              <w:right w:val="nil"/>
            </w:tcBorders>
          </w:tcPr>
          <w:p w14:paraId="387AE8C8"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(0.01)</w:t>
            </w:r>
          </w:p>
          <w:p w14:paraId="5E41171F"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YES</w:t>
            </w:r>
          </w:p>
          <w:p w14:paraId="0220F1A2"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7C19C4">
              <w:rPr>
                <w:rFonts w:asciiTheme="majorBidi" w:hAnsiTheme="majorBidi" w:cstheme="majorBidi"/>
                <w:sz w:val="20"/>
                <w:szCs w:val="20"/>
                <w:lang w:val="en-US"/>
              </w:rPr>
              <w:t>NO</w:t>
            </w:r>
          </w:p>
        </w:tc>
      </w:tr>
      <w:tr w:rsidR="001E0DEF" w:rsidRPr="007C19C4" w14:paraId="0F0DD046" w14:textId="77777777" w:rsidTr="003D25A1">
        <w:tc>
          <w:tcPr>
            <w:tcW w:w="1656" w:type="dxa"/>
            <w:tcBorders>
              <w:top w:val="single" w:sz="4" w:space="0" w:color="auto"/>
              <w:left w:val="nil"/>
              <w:bottom w:val="nil"/>
              <w:right w:val="nil"/>
            </w:tcBorders>
          </w:tcPr>
          <w:p w14:paraId="4068DEF5"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r w:rsidRPr="007C19C4">
              <w:rPr>
                <w:rFonts w:asciiTheme="majorBidi" w:hAnsiTheme="majorBidi" w:cstheme="majorBidi"/>
                <w:b/>
                <w:bCs/>
                <w:i/>
                <w:iCs/>
                <w:sz w:val="20"/>
                <w:szCs w:val="20"/>
                <w:lang w:val="en-US"/>
              </w:rPr>
              <w:t>N</w:t>
            </w:r>
          </w:p>
        </w:tc>
        <w:tc>
          <w:tcPr>
            <w:tcW w:w="1134" w:type="dxa"/>
            <w:tcBorders>
              <w:top w:val="single" w:sz="4" w:space="0" w:color="auto"/>
              <w:left w:val="nil"/>
              <w:bottom w:val="nil"/>
              <w:right w:val="nil"/>
            </w:tcBorders>
          </w:tcPr>
          <w:p w14:paraId="123E44C8"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473</w:t>
            </w:r>
          </w:p>
        </w:tc>
        <w:tc>
          <w:tcPr>
            <w:tcW w:w="1417" w:type="dxa"/>
            <w:tcBorders>
              <w:top w:val="single" w:sz="4" w:space="0" w:color="auto"/>
              <w:left w:val="nil"/>
              <w:bottom w:val="nil"/>
              <w:right w:val="nil"/>
            </w:tcBorders>
          </w:tcPr>
          <w:p w14:paraId="79E17615"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473</w:t>
            </w:r>
          </w:p>
        </w:tc>
        <w:tc>
          <w:tcPr>
            <w:tcW w:w="923" w:type="dxa"/>
            <w:tcBorders>
              <w:top w:val="single" w:sz="4" w:space="0" w:color="auto"/>
              <w:left w:val="nil"/>
              <w:bottom w:val="nil"/>
              <w:right w:val="nil"/>
            </w:tcBorders>
          </w:tcPr>
          <w:p w14:paraId="597C0421"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473</w:t>
            </w:r>
          </w:p>
        </w:tc>
        <w:tc>
          <w:tcPr>
            <w:tcW w:w="1350" w:type="dxa"/>
            <w:tcBorders>
              <w:top w:val="single" w:sz="4" w:space="0" w:color="auto"/>
              <w:left w:val="nil"/>
              <w:bottom w:val="nil"/>
              <w:right w:val="nil"/>
            </w:tcBorders>
          </w:tcPr>
          <w:p w14:paraId="05B7539D"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473</w:t>
            </w:r>
          </w:p>
        </w:tc>
        <w:tc>
          <w:tcPr>
            <w:tcW w:w="1260" w:type="dxa"/>
            <w:tcBorders>
              <w:top w:val="single" w:sz="4" w:space="0" w:color="auto"/>
              <w:left w:val="nil"/>
              <w:bottom w:val="nil"/>
              <w:right w:val="nil"/>
            </w:tcBorders>
          </w:tcPr>
          <w:p w14:paraId="650F578B"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473</w:t>
            </w:r>
          </w:p>
        </w:tc>
        <w:tc>
          <w:tcPr>
            <w:tcW w:w="1525" w:type="dxa"/>
            <w:tcBorders>
              <w:top w:val="single" w:sz="4" w:space="0" w:color="auto"/>
              <w:left w:val="nil"/>
              <w:bottom w:val="nil"/>
              <w:right w:val="nil"/>
            </w:tcBorders>
          </w:tcPr>
          <w:p w14:paraId="189E6177"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473</w:t>
            </w:r>
          </w:p>
        </w:tc>
      </w:tr>
      <w:tr w:rsidR="001E0DEF" w:rsidRPr="007C19C4" w14:paraId="169C64C1" w14:textId="77777777" w:rsidTr="003D25A1">
        <w:tc>
          <w:tcPr>
            <w:tcW w:w="1656" w:type="dxa"/>
            <w:tcBorders>
              <w:top w:val="nil"/>
              <w:left w:val="nil"/>
              <w:bottom w:val="single" w:sz="4" w:space="0" w:color="auto"/>
              <w:right w:val="nil"/>
            </w:tcBorders>
          </w:tcPr>
          <w:p w14:paraId="1FFBD031" w14:textId="77777777" w:rsidR="001E0DEF" w:rsidRPr="007C19C4"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r w:rsidRPr="007C19C4">
              <w:rPr>
                <w:rFonts w:asciiTheme="majorBidi" w:hAnsiTheme="majorBidi" w:cstheme="majorBidi"/>
                <w:b/>
                <w:bCs/>
                <w:i/>
                <w:iCs/>
                <w:sz w:val="20"/>
                <w:szCs w:val="20"/>
                <w:lang w:val="en-US"/>
              </w:rPr>
              <w:t>R</w:t>
            </w:r>
            <w:r w:rsidRPr="007C19C4">
              <w:rPr>
                <w:rFonts w:asciiTheme="majorBidi" w:hAnsiTheme="majorBidi" w:cstheme="majorBidi"/>
                <w:b/>
                <w:bCs/>
                <w:sz w:val="20"/>
                <w:szCs w:val="20"/>
                <w:vertAlign w:val="superscript"/>
                <w:lang w:val="en-US"/>
              </w:rPr>
              <w:t>2</w:t>
            </w:r>
          </w:p>
        </w:tc>
        <w:tc>
          <w:tcPr>
            <w:tcW w:w="1134" w:type="dxa"/>
            <w:tcBorders>
              <w:top w:val="nil"/>
              <w:left w:val="nil"/>
              <w:bottom w:val="single" w:sz="4" w:space="0" w:color="auto"/>
              <w:right w:val="nil"/>
            </w:tcBorders>
          </w:tcPr>
          <w:p w14:paraId="1A6EBB93"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0.063</w:t>
            </w:r>
          </w:p>
        </w:tc>
        <w:tc>
          <w:tcPr>
            <w:tcW w:w="1417" w:type="dxa"/>
            <w:tcBorders>
              <w:top w:val="nil"/>
              <w:left w:val="nil"/>
              <w:bottom w:val="single" w:sz="4" w:space="0" w:color="auto"/>
              <w:right w:val="nil"/>
            </w:tcBorders>
          </w:tcPr>
          <w:p w14:paraId="251EACBA"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0.313</w:t>
            </w:r>
          </w:p>
        </w:tc>
        <w:tc>
          <w:tcPr>
            <w:tcW w:w="923" w:type="dxa"/>
            <w:tcBorders>
              <w:top w:val="nil"/>
              <w:left w:val="nil"/>
              <w:bottom w:val="single" w:sz="4" w:space="0" w:color="auto"/>
              <w:right w:val="nil"/>
            </w:tcBorders>
          </w:tcPr>
          <w:p w14:paraId="24D5297F"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0.064</w:t>
            </w:r>
          </w:p>
        </w:tc>
        <w:tc>
          <w:tcPr>
            <w:tcW w:w="1350" w:type="dxa"/>
            <w:tcBorders>
              <w:top w:val="nil"/>
              <w:left w:val="nil"/>
              <w:bottom w:val="single" w:sz="4" w:space="0" w:color="auto"/>
              <w:right w:val="nil"/>
            </w:tcBorders>
          </w:tcPr>
          <w:p w14:paraId="20A5C362"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0.175</w:t>
            </w:r>
          </w:p>
        </w:tc>
        <w:tc>
          <w:tcPr>
            <w:tcW w:w="1260" w:type="dxa"/>
            <w:tcBorders>
              <w:top w:val="nil"/>
              <w:left w:val="nil"/>
              <w:bottom w:val="single" w:sz="4" w:space="0" w:color="auto"/>
              <w:right w:val="nil"/>
            </w:tcBorders>
          </w:tcPr>
          <w:p w14:paraId="12453CB4"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0.407</w:t>
            </w:r>
          </w:p>
        </w:tc>
        <w:tc>
          <w:tcPr>
            <w:tcW w:w="1525" w:type="dxa"/>
            <w:tcBorders>
              <w:top w:val="nil"/>
              <w:left w:val="nil"/>
              <w:bottom w:val="single" w:sz="4" w:space="0" w:color="auto"/>
              <w:right w:val="nil"/>
            </w:tcBorders>
          </w:tcPr>
          <w:p w14:paraId="05367E6A" w14:textId="77777777" w:rsidR="001E0DEF" w:rsidRPr="007C19C4"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r w:rsidRPr="007C19C4">
              <w:rPr>
                <w:rFonts w:asciiTheme="majorBidi" w:hAnsiTheme="majorBidi" w:cstheme="majorBidi"/>
                <w:b/>
                <w:bCs/>
                <w:sz w:val="20"/>
                <w:szCs w:val="20"/>
                <w:lang w:val="en-US"/>
              </w:rPr>
              <w:t>0.136</w:t>
            </w:r>
          </w:p>
        </w:tc>
      </w:tr>
    </w:tbl>
    <w:p w14:paraId="08D1F517" w14:textId="79CFB586" w:rsidR="001E0DEF" w:rsidRDefault="001E0DEF" w:rsidP="00392B53">
      <w:pPr>
        <w:widowControl w:val="0"/>
        <w:autoSpaceDE w:val="0"/>
        <w:autoSpaceDN w:val="0"/>
        <w:adjustRightInd w:val="0"/>
        <w:spacing w:after="0" w:line="240" w:lineRule="auto"/>
        <w:jc w:val="both"/>
        <w:rPr>
          <w:rStyle w:val="normaltextrun"/>
          <w:rFonts w:asciiTheme="majorBidi" w:hAnsiTheme="majorBidi" w:cstheme="majorBidi"/>
          <w:color w:val="000000"/>
          <w:sz w:val="16"/>
          <w:szCs w:val="16"/>
          <w:shd w:val="clear" w:color="auto" w:fill="FFFFFF"/>
        </w:rPr>
      </w:pPr>
      <w:r w:rsidRPr="00392B53">
        <w:rPr>
          <w:rStyle w:val="normaltextrun"/>
          <w:rFonts w:asciiTheme="majorBidi" w:hAnsiTheme="majorBidi" w:cstheme="majorBidi"/>
          <w:color w:val="000000"/>
          <w:sz w:val="16"/>
          <w:szCs w:val="16"/>
          <w:shd w:val="clear" w:color="auto" w:fill="FFFFFF"/>
        </w:rPr>
        <w:t xml:space="preserve">This table shows the estimation results of the effects of variable compensation bonus (TVP) on firm performance (ROA). Our main OLS results </w:t>
      </w:r>
      <w:proofErr w:type="gramStart"/>
      <w:r w:rsidRPr="00392B53">
        <w:rPr>
          <w:rStyle w:val="normaltextrun"/>
          <w:rFonts w:asciiTheme="majorBidi" w:hAnsiTheme="majorBidi" w:cstheme="majorBidi"/>
          <w:color w:val="000000"/>
          <w:sz w:val="16"/>
          <w:szCs w:val="16"/>
          <w:shd w:val="clear" w:color="auto" w:fill="FFFFFF"/>
        </w:rPr>
        <w:t>is</w:t>
      </w:r>
      <w:proofErr w:type="gramEnd"/>
      <w:r w:rsidRPr="00392B53">
        <w:rPr>
          <w:rStyle w:val="normaltextrun"/>
          <w:rFonts w:asciiTheme="majorBidi" w:hAnsiTheme="majorBidi" w:cstheme="majorBidi"/>
          <w:color w:val="000000"/>
          <w:sz w:val="16"/>
          <w:szCs w:val="16"/>
          <w:shd w:val="clear" w:color="auto" w:fill="FFFFFF"/>
        </w:rPr>
        <w:t xml:space="preserve"> reported in Model 2 and the fully specified Models 4, 5 &amp; 6 are used for robustness. Model 4 shows Fixed Effects (FE) and Models 5 &amp; 6 are for alternative measure of firm performance (Tobin Q). All variable definitions are described in Table I.  *, ** and *** indicate statistical significance at the 10%, 5% and 1% levels respectively.</w:t>
      </w:r>
    </w:p>
    <w:p w14:paraId="3073C519" w14:textId="77777777" w:rsidR="00392B53" w:rsidRPr="00392B53" w:rsidRDefault="00392B53" w:rsidP="00392B53">
      <w:pPr>
        <w:widowControl w:val="0"/>
        <w:autoSpaceDE w:val="0"/>
        <w:autoSpaceDN w:val="0"/>
        <w:adjustRightInd w:val="0"/>
        <w:spacing w:after="0" w:line="240" w:lineRule="auto"/>
        <w:jc w:val="both"/>
        <w:rPr>
          <w:rStyle w:val="normaltextrun"/>
          <w:rFonts w:asciiTheme="majorBidi" w:hAnsiTheme="majorBidi" w:cstheme="majorBidi"/>
          <w:color w:val="000000"/>
          <w:sz w:val="16"/>
          <w:szCs w:val="16"/>
          <w:shd w:val="clear" w:color="auto" w:fill="FFFFFF"/>
        </w:rPr>
      </w:pPr>
    </w:p>
    <w:p w14:paraId="37B1A13A" w14:textId="4DAB92B6" w:rsidR="001E0DEF" w:rsidRPr="0053680E" w:rsidRDefault="001E0DEF" w:rsidP="0053680E">
      <w:pPr>
        <w:widowControl w:val="0"/>
        <w:autoSpaceDE w:val="0"/>
        <w:autoSpaceDN w:val="0"/>
        <w:adjustRightInd w:val="0"/>
        <w:spacing w:after="0" w:line="240" w:lineRule="auto"/>
        <w:rPr>
          <w:rFonts w:asciiTheme="majorBidi" w:hAnsiTheme="majorBidi" w:cstheme="majorBidi"/>
          <w:sz w:val="24"/>
          <w:szCs w:val="24"/>
          <w:shd w:val="clear" w:color="auto" w:fill="FFFFFF"/>
        </w:rPr>
      </w:pPr>
      <w:r w:rsidRPr="00C75A24">
        <w:rPr>
          <w:rFonts w:asciiTheme="majorBidi" w:hAnsiTheme="majorBidi" w:cstheme="majorBidi"/>
          <w:b/>
          <w:bCs/>
          <w:sz w:val="24"/>
          <w:szCs w:val="24"/>
        </w:rPr>
        <w:t>Table 5: Managerial bonus compensation and firm performance</w:t>
      </w:r>
    </w:p>
    <w:p w14:paraId="3482FFD1" w14:textId="60015A44" w:rsidR="001E0DEF" w:rsidRPr="00C75A24" w:rsidRDefault="001E0DEF" w:rsidP="001E0DEF">
      <w:pPr>
        <w:pBdr>
          <w:top w:val="single" w:sz="4" w:space="1" w:color="auto"/>
        </w:pBdr>
        <w:spacing w:line="240" w:lineRule="auto"/>
        <w:jc w:val="both"/>
        <w:rPr>
          <w:rStyle w:val="eop"/>
          <w:rFonts w:asciiTheme="majorBidi" w:hAnsiTheme="majorBidi" w:cstheme="majorBidi"/>
          <w:b/>
          <w:bCs/>
          <w:sz w:val="24"/>
          <w:szCs w:val="24"/>
        </w:rPr>
      </w:pPr>
      <w:r w:rsidRPr="00C75A24">
        <w:rPr>
          <w:rFonts w:asciiTheme="majorBidi" w:hAnsiTheme="majorBidi" w:cstheme="majorBidi"/>
          <w:sz w:val="24"/>
          <w:szCs w:val="24"/>
        </w:rPr>
        <w:t xml:space="preserve">                                      </w:t>
      </w:r>
      <w:r w:rsidR="00213947" w:rsidRPr="00C75A24">
        <w:rPr>
          <w:rFonts w:asciiTheme="majorBidi" w:hAnsiTheme="majorBidi" w:cstheme="majorBidi"/>
          <w:sz w:val="24"/>
          <w:szCs w:val="24"/>
        </w:rPr>
        <w:t xml:space="preserve">   </w:t>
      </w:r>
      <w:r w:rsidRPr="00C75A24">
        <w:rPr>
          <w:rFonts w:asciiTheme="majorBidi" w:hAnsiTheme="majorBidi" w:cstheme="majorBidi"/>
          <w:b/>
          <w:bCs/>
          <w:sz w:val="24"/>
          <w:szCs w:val="24"/>
        </w:rPr>
        <w:t>Simultaneous Equation Model (using 3SLS)</w:t>
      </w:r>
    </w:p>
    <w:tbl>
      <w:tblPr>
        <w:tblW w:w="7695" w:type="dxa"/>
        <w:tblLayout w:type="fixed"/>
        <w:tblLook w:val="0000" w:firstRow="0" w:lastRow="0" w:firstColumn="0" w:lastColumn="0" w:noHBand="0" w:noVBand="0"/>
      </w:tblPr>
      <w:tblGrid>
        <w:gridCol w:w="2060"/>
        <w:gridCol w:w="2506"/>
        <w:gridCol w:w="624"/>
        <w:gridCol w:w="2505"/>
      </w:tblGrid>
      <w:tr w:rsidR="001E0DEF" w:rsidRPr="0053680E" w14:paraId="32B329D1" w14:textId="77777777" w:rsidTr="0053680E">
        <w:trPr>
          <w:trHeight w:val="283"/>
        </w:trPr>
        <w:tc>
          <w:tcPr>
            <w:tcW w:w="2060" w:type="dxa"/>
            <w:tcBorders>
              <w:top w:val="single" w:sz="4" w:space="0" w:color="auto"/>
              <w:left w:val="nil"/>
              <w:bottom w:val="nil"/>
              <w:right w:val="nil"/>
            </w:tcBorders>
          </w:tcPr>
          <w:p w14:paraId="209CD54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p>
        </w:tc>
        <w:tc>
          <w:tcPr>
            <w:tcW w:w="2506" w:type="dxa"/>
            <w:tcBorders>
              <w:top w:val="single" w:sz="4" w:space="0" w:color="auto"/>
              <w:left w:val="nil"/>
              <w:bottom w:val="nil"/>
              <w:right w:val="nil"/>
            </w:tcBorders>
          </w:tcPr>
          <w:p w14:paraId="3BAF1BA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(2</w:t>
            </w:r>
            <w:r w:rsidRPr="0053680E">
              <w:rPr>
                <w:rFonts w:asciiTheme="majorBidi" w:hAnsiTheme="majorBidi" w:cstheme="majorBidi"/>
                <w:b/>
                <w:bCs/>
                <w:sz w:val="20"/>
                <w:szCs w:val="20"/>
                <w:vertAlign w:val="superscript"/>
                <w:lang w:val="en-US"/>
              </w:rPr>
              <w:t>nd</w:t>
            </w:r>
            <w:r w:rsidRPr="0053680E">
              <w:rPr>
                <w:rFonts w:asciiTheme="majorBidi" w:hAnsiTheme="majorBidi" w:cstheme="majorBidi"/>
                <w:b/>
                <w:bCs/>
                <w:sz w:val="20"/>
                <w:szCs w:val="20"/>
                <w:lang w:val="en-US"/>
              </w:rPr>
              <w:t xml:space="preserve"> Stage)</w:t>
            </w:r>
          </w:p>
        </w:tc>
        <w:tc>
          <w:tcPr>
            <w:tcW w:w="624" w:type="dxa"/>
            <w:tcBorders>
              <w:top w:val="single" w:sz="4" w:space="0" w:color="auto"/>
              <w:left w:val="nil"/>
              <w:bottom w:val="nil"/>
              <w:right w:val="nil"/>
            </w:tcBorders>
          </w:tcPr>
          <w:p w14:paraId="47C3954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p>
        </w:tc>
        <w:tc>
          <w:tcPr>
            <w:tcW w:w="2505" w:type="dxa"/>
            <w:tcBorders>
              <w:top w:val="single" w:sz="4" w:space="0" w:color="auto"/>
              <w:left w:val="nil"/>
              <w:bottom w:val="nil"/>
              <w:right w:val="nil"/>
            </w:tcBorders>
          </w:tcPr>
          <w:p w14:paraId="3541A71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(1</w:t>
            </w:r>
            <w:r w:rsidRPr="0053680E">
              <w:rPr>
                <w:rFonts w:asciiTheme="majorBidi" w:hAnsiTheme="majorBidi" w:cstheme="majorBidi"/>
                <w:b/>
                <w:bCs/>
                <w:sz w:val="20"/>
                <w:szCs w:val="20"/>
                <w:vertAlign w:val="superscript"/>
                <w:lang w:val="en-US"/>
              </w:rPr>
              <w:t>st</w:t>
            </w:r>
            <w:r w:rsidRPr="0053680E">
              <w:rPr>
                <w:rFonts w:asciiTheme="majorBidi" w:hAnsiTheme="majorBidi" w:cstheme="majorBidi"/>
                <w:b/>
                <w:bCs/>
                <w:sz w:val="20"/>
                <w:szCs w:val="20"/>
                <w:lang w:val="en-US"/>
              </w:rPr>
              <w:t xml:space="preserve"> Stage)</w:t>
            </w:r>
          </w:p>
        </w:tc>
      </w:tr>
      <w:tr w:rsidR="001E0DEF" w:rsidRPr="0053680E" w14:paraId="7E9227BC" w14:textId="77777777" w:rsidTr="0053680E">
        <w:trPr>
          <w:trHeight w:val="283"/>
        </w:trPr>
        <w:tc>
          <w:tcPr>
            <w:tcW w:w="2060" w:type="dxa"/>
            <w:tcBorders>
              <w:top w:val="nil"/>
              <w:left w:val="nil"/>
              <w:bottom w:val="nil"/>
              <w:right w:val="nil"/>
            </w:tcBorders>
          </w:tcPr>
          <w:p w14:paraId="1E580D5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p>
        </w:tc>
        <w:tc>
          <w:tcPr>
            <w:tcW w:w="2506" w:type="dxa"/>
            <w:tcBorders>
              <w:top w:val="nil"/>
              <w:left w:val="nil"/>
              <w:bottom w:val="nil"/>
              <w:right w:val="nil"/>
            </w:tcBorders>
          </w:tcPr>
          <w:p w14:paraId="3303C6D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ROA</w:t>
            </w:r>
          </w:p>
        </w:tc>
        <w:tc>
          <w:tcPr>
            <w:tcW w:w="624" w:type="dxa"/>
            <w:tcBorders>
              <w:top w:val="nil"/>
              <w:left w:val="nil"/>
              <w:bottom w:val="nil"/>
              <w:right w:val="nil"/>
            </w:tcBorders>
          </w:tcPr>
          <w:p w14:paraId="32EF63C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p>
        </w:tc>
        <w:tc>
          <w:tcPr>
            <w:tcW w:w="2505" w:type="dxa"/>
            <w:tcBorders>
              <w:top w:val="nil"/>
              <w:left w:val="nil"/>
              <w:bottom w:val="nil"/>
              <w:right w:val="nil"/>
            </w:tcBorders>
          </w:tcPr>
          <w:p w14:paraId="24D4461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TVP</w:t>
            </w:r>
          </w:p>
        </w:tc>
      </w:tr>
      <w:tr w:rsidR="001E0DEF" w:rsidRPr="0053680E" w14:paraId="4705E640" w14:textId="77777777" w:rsidTr="0053680E">
        <w:trPr>
          <w:trHeight w:val="283"/>
        </w:trPr>
        <w:tc>
          <w:tcPr>
            <w:tcW w:w="2060" w:type="dxa"/>
            <w:tcBorders>
              <w:top w:val="single" w:sz="4" w:space="0" w:color="auto"/>
              <w:left w:val="nil"/>
              <w:bottom w:val="nil"/>
              <w:right w:val="nil"/>
            </w:tcBorders>
          </w:tcPr>
          <w:p w14:paraId="480B64C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single" w:sz="4" w:space="0" w:color="auto"/>
              <w:left w:val="nil"/>
              <w:bottom w:val="nil"/>
              <w:right w:val="nil"/>
            </w:tcBorders>
          </w:tcPr>
          <w:p w14:paraId="7825644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624" w:type="dxa"/>
            <w:tcBorders>
              <w:top w:val="single" w:sz="4" w:space="0" w:color="auto"/>
              <w:left w:val="nil"/>
              <w:bottom w:val="nil"/>
              <w:right w:val="nil"/>
            </w:tcBorders>
          </w:tcPr>
          <w:p w14:paraId="4D84F70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single" w:sz="4" w:space="0" w:color="auto"/>
              <w:left w:val="nil"/>
              <w:bottom w:val="nil"/>
              <w:right w:val="nil"/>
            </w:tcBorders>
          </w:tcPr>
          <w:p w14:paraId="0105652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33D9E945" w14:textId="77777777" w:rsidTr="0053680E">
        <w:trPr>
          <w:trHeight w:val="283"/>
        </w:trPr>
        <w:tc>
          <w:tcPr>
            <w:tcW w:w="2060" w:type="dxa"/>
            <w:tcBorders>
              <w:top w:val="nil"/>
              <w:left w:val="nil"/>
              <w:bottom w:val="nil"/>
              <w:right w:val="nil"/>
            </w:tcBorders>
          </w:tcPr>
          <w:p w14:paraId="485F0CB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r w:rsidRPr="0053680E">
              <w:rPr>
                <w:rFonts w:asciiTheme="majorBidi" w:hAnsiTheme="majorBidi" w:cstheme="majorBidi"/>
                <w:b/>
                <w:bCs/>
                <w:sz w:val="20"/>
                <w:szCs w:val="20"/>
                <w:lang w:val="en-US"/>
              </w:rPr>
              <w:t>TVP</w:t>
            </w:r>
          </w:p>
        </w:tc>
        <w:tc>
          <w:tcPr>
            <w:tcW w:w="2506" w:type="dxa"/>
            <w:tcBorders>
              <w:top w:val="nil"/>
              <w:left w:val="nil"/>
              <w:bottom w:val="nil"/>
              <w:right w:val="nil"/>
            </w:tcBorders>
          </w:tcPr>
          <w:p w14:paraId="01781AF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1.540</w:t>
            </w:r>
            <w:r w:rsidRPr="0053680E">
              <w:rPr>
                <w:rFonts w:asciiTheme="majorBidi" w:hAnsiTheme="majorBidi" w:cstheme="majorBidi"/>
                <w:sz w:val="20"/>
                <w:szCs w:val="20"/>
                <w:vertAlign w:val="superscript"/>
                <w:lang w:val="en-US"/>
              </w:rPr>
              <w:t>***</w:t>
            </w:r>
          </w:p>
        </w:tc>
        <w:tc>
          <w:tcPr>
            <w:tcW w:w="624" w:type="dxa"/>
            <w:tcBorders>
              <w:top w:val="nil"/>
              <w:left w:val="nil"/>
              <w:bottom w:val="nil"/>
              <w:right w:val="nil"/>
            </w:tcBorders>
          </w:tcPr>
          <w:p w14:paraId="77AEE53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0B9D7D3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35E6C2FF" w14:textId="77777777" w:rsidTr="0053680E">
        <w:trPr>
          <w:trHeight w:val="283"/>
        </w:trPr>
        <w:tc>
          <w:tcPr>
            <w:tcW w:w="2060" w:type="dxa"/>
            <w:tcBorders>
              <w:top w:val="nil"/>
              <w:left w:val="nil"/>
              <w:bottom w:val="nil"/>
              <w:right w:val="nil"/>
            </w:tcBorders>
          </w:tcPr>
          <w:p w14:paraId="49D6D5A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51D0575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(5.69)</w:t>
            </w:r>
          </w:p>
        </w:tc>
        <w:tc>
          <w:tcPr>
            <w:tcW w:w="624" w:type="dxa"/>
            <w:tcBorders>
              <w:top w:val="nil"/>
              <w:left w:val="nil"/>
              <w:bottom w:val="nil"/>
              <w:right w:val="nil"/>
            </w:tcBorders>
          </w:tcPr>
          <w:p w14:paraId="40B38A5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42CFB88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02FAD543" w14:textId="77777777" w:rsidTr="0053680E">
        <w:trPr>
          <w:trHeight w:val="283"/>
        </w:trPr>
        <w:tc>
          <w:tcPr>
            <w:tcW w:w="2060" w:type="dxa"/>
            <w:tcBorders>
              <w:top w:val="nil"/>
              <w:left w:val="nil"/>
              <w:bottom w:val="nil"/>
              <w:right w:val="nil"/>
            </w:tcBorders>
          </w:tcPr>
          <w:p w14:paraId="70D39410"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TFP</w:t>
            </w:r>
          </w:p>
        </w:tc>
        <w:tc>
          <w:tcPr>
            <w:tcW w:w="2506" w:type="dxa"/>
            <w:tcBorders>
              <w:top w:val="nil"/>
              <w:left w:val="nil"/>
              <w:bottom w:val="nil"/>
              <w:right w:val="nil"/>
            </w:tcBorders>
          </w:tcPr>
          <w:p w14:paraId="7FE42B6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-0.451</w:t>
            </w:r>
          </w:p>
        </w:tc>
        <w:tc>
          <w:tcPr>
            <w:tcW w:w="624" w:type="dxa"/>
            <w:tcBorders>
              <w:top w:val="nil"/>
              <w:left w:val="nil"/>
              <w:bottom w:val="nil"/>
              <w:right w:val="nil"/>
            </w:tcBorders>
          </w:tcPr>
          <w:p w14:paraId="6F634AD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4F3A19C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5E50F870" w14:textId="77777777" w:rsidTr="0053680E">
        <w:trPr>
          <w:trHeight w:val="283"/>
        </w:trPr>
        <w:tc>
          <w:tcPr>
            <w:tcW w:w="2060" w:type="dxa"/>
            <w:tcBorders>
              <w:top w:val="nil"/>
              <w:left w:val="nil"/>
              <w:bottom w:val="nil"/>
              <w:right w:val="nil"/>
            </w:tcBorders>
          </w:tcPr>
          <w:p w14:paraId="6BD41E2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43952AC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(-0.34)</w:t>
            </w:r>
          </w:p>
        </w:tc>
        <w:tc>
          <w:tcPr>
            <w:tcW w:w="624" w:type="dxa"/>
            <w:tcBorders>
              <w:top w:val="nil"/>
              <w:left w:val="nil"/>
              <w:bottom w:val="nil"/>
              <w:right w:val="nil"/>
            </w:tcBorders>
          </w:tcPr>
          <w:p w14:paraId="4C9669F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416BC42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00CAA7D8" w14:textId="77777777" w:rsidTr="0053680E">
        <w:trPr>
          <w:trHeight w:val="283"/>
        </w:trPr>
        <w:tc>
          <w:tcPr>
            <w:tcW w:w="2060" w:type="dxa"/>
            <w:tcBorders>
              <w:top w:val="nil"/>
              <w:left w:val="nil"/>
              <w:bottom w:val="nil"/>
              <w:right w:val="nil"/>
            </w:tcBorders>
          </w:tcPr>
          <w:p w14:paraId="6357CC9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SZ</w:t>
            </w:r>
          </w:p>
        </w:tc>
        <w:tc>
          <w:tcPr>
            <w:tcW w:w="2506" w:type="dxa"/>
            <w:tcBorders>
              <w:top w:val="nil"/>
              <w:left w:val="nil"/>
              <w:bottom w:val="nil"/>
              <w:right w:val="nil"/>
            </w:tcBorders>
          </w:tcPr>
          <w:p w14:paraId="3A505F8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-4.093</w:t>
            </w:r>
            <w:r w:rsidRPr="0053680E">
              <w:rPr>
                <w:rFonts w:asciiTheme="majorBidi" w:hAnsiTheme="majorBidi" w:cstheme="majorBidi"/>
                <w:sz w:val="20"/>
                <w:szCs w:val="20"/>
                <w:vertAlign w:val="superscript"/>
                <w:lang w:val="en-US"/>
              </w:rPr>
              <w:t>***</w:t>
            </w:r>
          </w:p>
        </w:tc>
        <w:tc>
          <w:tcPr>
            <w:tcW w:w="624" w:type="dxa"/>
            <w:tcBorders>
              <w:top w:val="nil"/>
              <w:left w:val="nil"/>
              <w:bottom w:val="nil"/>
              <w:right w:val="nil"/>
            </w:tcBorders>
          </w:tcPr>
          <w:p w14:paraId="386E5B8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7CB9D91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0.0000</w:t>
            </w:r>
          </w:p>
        </w:tc>
      </w:tr>
      <w:tr w:rsidR="001E0DEF" w:rsidRPr="0053680E" w14:paraId="5708CDD5" w14:textId="77777777" w:rsidTr="0053680E">
        <w:trPr>
          <w:trHeight w:val="283"/>
        </w:trPr>
        <w:tc>
          <w:tcPr>
            <w:tcW w:w="2060" w:type="dxa"/>
            <w:tcBorders>
              <w:top w:val="nil"/>
              <w:left w:val="nil"/>
              <w:bottom w:val="nil"/>
              <w:right w:val="nil"/>
            </w:tcBorders>
          </w:tcPr>
          <w:p w14:paraId="7995C46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019DD4A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(-5.62)</w:t>
            </w:r>
          </w:p>
        </w:tc>
        <w:tc>
          <w:tcPr>
            <w:tcW w:w="624" w:type="dxa"/>
            <w:tcBorders>
              <w:top w:val="nil"/>
              <w:left w:val="nil"/>
              <w:bottom w:val="nil"/>
              <w:right w:val="nil"/>
            </w:tcBorders>
          </w:tcPr>
          <w:p w14:paraId="1EF3F97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10B6FCB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(0.17)</w:t>
            </w:r>
          </w:p>
        </w:tc>
      </w:tr>
      <w:tr w:rsidR="001E0DEF" w:rsidRPr="0053680E" w14:paraId="7B462293" w14:textId="77777777" w:rsidTr="0053680E">
        <w:trPr>
          <w:trHeight w:val="283"/>
        </w:trPr>
        <w:tc>
          <w:tcPr>
            <w:tcW w:w="2060" w:type="dxa"/>
            <w:tcBorders>
              <w:top w:val="nil"/>
              <w:left w:val="nil"/>
              <w:bottom w:val="nil"/>
              <w:right w:val="nil"/>
            </w:tcBorders>
          </w:tcPr>
          <w:p w14:paraId="07CD371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SUB</w:t>
            </w:r>
          </w:p>
        </w:tc>
        <w:tc>
          <w:tcPr>
            <w:tcW w:w="2506" w:type="dxa"/>
            <w:tcBorders>
              <w:top w:val="nil"/>
              <w:left w:val="nil"/>
              <w:bottom w:val="nil"/>
              <w:right w:val="nil"/>
            </w:tcBorders>
          </w:tcPr>
          <w:p w14:paraId="66C6385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-0.0004</w:t>
            </w:r>
          </w:p>
        </w:tc>
        <w:tc>
          <w:tcPr>
            <w:tcW w:w="624" w:type="dxa"/>
            <w:tcBorders>
              <w:top w:val="nil"/>
              <w:left w:val="nil"/>
              <w:bottom w:val="nil"/>
              <w:right w:val="nil"/>
            </w:tcBorders>
          </w:tcPr>
          <w:p w14:paraId="5D6BCE5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0BD8126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1.61e-11</w:t>
            </w:r>
          </w:p>
        </w:tc>
      </w:tr>
      <w:tr w:rsidR="001E0DEF" w:rsidRPr="0053680E" w14:paraId="7C01BBB7" w14:textId="77777777" w:rsidTr="0053680E">
        <w:trPr>
          <w:trHeight w:val="283"/>
        </w:trPr>
        <w:tc>
          <w:tcPr>
            <w:tcW w:w="2060" w:type="dxa"/>
            <w:tcBorders>
              <w:top w:val="nil"/>
              <w:left w:val="nil"/>
              <w:bottom w:val="nil"/>
              <w:right w:val="nil"/>
            </w:tcBorders>
          </w:tcPr>
          <w:p w14:paraId="4CA94D9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1612CB8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(-0.78)</w:t>
            </w:r>
          </w:p>
        </w:tc>
        <w:tc>
          <w:tcPr>
            <w:tcW w:w="624" w:type="dxa"/>
            <w:tcBorders>
              <w:top w:val="nil"/>
              <w:left w:val="nil"/>
              <w:bottom w:val="nil"/>
              <w:right w:val="nil"/>
            </w:tcBorders>
          </w:tcPr>
          <w:p w14:paraId="6A162DC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6FE6957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(0.17)</w:t>
            </w:r>
          </w:p>
        </w:tc>
      </w:tr>
      <w:tr w:rsidR="001E0DEF" w:rsidRPr="0053680E" w14:paraId="34BE12A1" w14:textId="77777777" w:rsidTr="0053680E">
        <w:trPr>
          <w:trHeight w:val="283"/>
        </w:trPr>
        <w:tc>
          <w:tcPr>
            <w:tcW w:w="2060" w:type="dxa"/>
            <w:tcBorders>
              <w:top w:val="nil"/>
              <w:left w:val="nil"/>
              <w:bottom w:val="nil"/>
              <w:right w:val="nil"/>
            </w:tcBorders>
          </w:tcPr>
          <w:p w14:paraId="698B5D7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DE</w:t>
            </w:r>
          </w:p>
        </w:tc>
        <w:tc>
          <w:tcPr>
            <w:tcW w:w="2506" w:type="dxa"/>
            <w:tcBorders>
              <w:top w:val="nil"/>
              <w:left w:val="nil"/>
              <w:bottom w:val="nil"/>
              <w:right w:val="nil"/>
            </w:tcBorders>
          </w:tcPr>
          <w:p w14:paraId="228E173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-1.376</w:t>
            </w:r>
            <w:r w:rsidRPr="0053680E">
              <w:rPr>
                <w:rFonts w:asciiTheme="majorBidi" w:hAnsiTheme="majorBidi" w:cstheme="majorBidi"/>
                <w:sz w:val="20"/>
                <w:szCs w:val="20"/>
                <w:vertAlign w:val="superscript"/>
                <w:lang w:val="en-US"/>
              </w:rPr>
              <w:t>***</w:t>
            </w:r>
          </w:p>
        </w:tc>
        <w:tc>
          <w:tcPr>
            <w:tcW w:w="624" w:type="dxa"/>
            <w:tcBorders>
              <w:top w:val="nil"/>
              <w:left w:val="nil"/>
              <w:bottom w:val="nil"/>
              <w:right w:val="nil"/>
            </w:tcBorders>
          </w:tcPr>
          <w:p w14:paraId="401D898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4831ACC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7.48e-08</w:t>
            </w:r>
          </w:p>
        </w:tc>
      </w:tr>
      <w:tr w:rsidR="001E0DEF" w:rsidRPr="0053680E" w14:paraId="71E3E61C" w14:textId="77777777" w:rsidTr="0053680E">
        <w:trPr>
          <w:trHeight w:val="283"/>
        </w:trPr>
        <w:tc>
          <w:tcPr>
            <w:tcW w:w="2060" w:type="dxa"/>
            <w:tcBorders>
              <w:top w:val="nil"/>
              <w:left w:val="nil"/>
              <w:bottom w:val="nil"/>
              <w:right w:val="nil"/>
            </w:tcBorders>
          </w:tcPr>
          <w:p w14:paraId="7ADD772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1D3072F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(-2.66)</w:t>
            </w:r>
          </w:p>
        </w:tc>
        <w:tc>
          <w:tcPr>
            <w:tcW w:w="624" w:type="dxa"/>
            <w:tcBorders>
              <w:top w:val="nil"/>
              <w:left w:val="nil"/>
              <w:bottom w:val="nil"/>
              <w:right w:val="nil"/>
            </w:tcBorders>
          </w:tcPr>
          <w:p w14:paraId="66B6AA3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08AD0D4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(0.23)</w:t>
            </w:r>
          </w:p>
        </w:tc>
      </w:tr>
      <w:tr w:rsidR="001E0DEF" w:rsidRPr="0053680E" w14:paraId="447897DE" w14:textId="77777777" w:rsidTr="0053680E">
        <w:trPr>
          <w:trHeight w:val="283"/>
        </w:trPr>
        <w:tc>
          <w:tcPr>
            <w:tcW w:w="2060" w:type="dxa"/>
            <w:tcBorders>
              <w:top w:val="nil"/>
              <w:left w:val="nil"/>
              <w:bottom w:val="nil"/>
              <w:right w:val="nil"/>
            </w:tcBorders>
          </w:tcPr>
          <w:p w14:paraId="4EFFC7A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GR</w:t>
            </w:r>
          </w:p>
        </w:tc>
        <w:tc>
          <w:tcPr>
            <w:tcW w:w="2506" w:type="dxa"/>
            <w:tcBorders>
              <w:top w:val="nil"/>
              <w:left w:val="nil"/>
              <w:bottom w:val="nil"/>
              <w:right w:val="nil"/>
            </w:tcBorders>
          </w:tcPr>
          <w:p w14:paraId="459AC80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-0.0096</w:t>
            </w:r>
            <w:r w:rsidRPr="0053680E">
              <w:rPr>
                <w:rFonts w:asciiTheme="majorBidi" w:hAnsiTheme="majorBidi" w:cstheme="majorBidi"/>
                <w:sz w:val="20"/>
                <w:szCs w:val="20"/>
                <w:vertAlign w:val="superscript"/>
                <w:lang w:val="en-US"/>
              </w:rPr>
              <w:t>**</w:t>
            </w:r>
          </w:p>
        </w:tc>
        <w:tc>
          <w:tcPr>
            <w:tcW w:w="624" w:type="dxa"/>
            <w:tcBorders>
              <w:top w:val="nil"/>
              <w:left w:val="nil"/>
              <w:bottom w:val="nil"/>
              <w:right w:val="nil"/>
            </w:tcBorders>
          </w:tcPr>
          <w:p w14:paraId="5DF797A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7E81612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9.56e-10</w:t>
            </w:r>
          </w:p>
        </w:tc>
      </w:tr>
      <w:tr w:rsidR="001E0DEF" w:rsidRPr="0053680E" w14:paraId="1DA0BDAB" w14:textId="77777777" w:rsidTr="0053680E">
        <w:trPr>
          <w:trHeight w:val="283"/>
        </w:trPr>
        <w:tc>
          <w:tcPr>
            <w:tcW w:w="2060" w:type="dxa"/>
            <w:tcBorders>
              <w:top w:val="nil"/>
              <w:left w:val="nil"/>
              <w:bottom w:val="nil"/>
              <w:right w:val="nil"/>
            </w:tcBorders>
          </w:tcPr>
          <w:p w14:paraId="6166E7C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43D7A09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(-2.17)</w:t>
            </w:r>
          </w:p>
        </w:tc>
        <w:tc>
          <w:tcPr>
            <w:tcW w:w="624" w:type="dxa"/>
            <w:tcBorders>
              <w:top w:val="nil"/>
              <w:left w:val="nil"/>
              <w:bottom w:val="nil"/>
              <w:right w:val="nil"/>
            </w:tcBorders>
          </w:tcPr>
          <w:p w14:paraId="42391AD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23C6D33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(0.42)</w:t>
            </w:r>
          </w:p>
        </w:tc>
      </w:tr>
      <w:tr w:rsidR="001E0DEF" w:rsidRPr="0053680E" w14:paraId="7E06DE83" w14:textId="77777777" w:rsidTr="0053680E">
        <w:trPr>
          <w:trHeight w:val="283"/>
        </w:trPr>
        <w:tc>
          <w:tcPr>
            <w:tcW w:w="2060" w:type="dxa"/>
            <w:tcBorders>
              <w:top w:val="nil"/>
              <w:left w:val="nil"/>
              <w:bottom w:val="nil"/>
              <w:right w:val="nil"/>
            </w:tcBorders>
          </w:tcPr>
          <w:p w14:paraId="3A990BC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LQ</w:t>
            </w:r>
          </w:p>
        </w:tc>
        <w:tc>
          <w:tcPr>
            <w:tcW w:w="2506" w:type="dxa"/>
            <w:tcBorders>
              <w:top w:val="nil"/>
              <w:left w:val="nil"/>
              <w:bottom w:val="nil"/>
              <w:right w:val="nil"/>
            </w:tcBorders>
          </w:tcPr>
          <w:p w14:paraId="1C66D10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0.0014</w:t>
            </w:r>
          </w:p>
        </w:tc>
        <w:tc>
          <w:tcPr>
            <w:tcW w:w="624" w:type="dxa"/>
            <w:tcBorders>
              <w:top w:val="nil"/>
              <w:left w:val="nil"/>
              <w:bottom w:val="nil"/>
              <w:right w:val="nil"/>
            </w:tcBorders>
          </w:tcPr>
          <w:p w14:paraId="2F6CCDC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7C204BB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2.77e-09</w:t>
            </w:r>
          </w:p>
        </w:tc>
      </w:tr>
      <w:tr w:rsidR="001E0DEF" w:rsidRPr="0053680E" w14:paraId="7EFE6692" w14:textId="77777777" w:rsidTr="0053680E">
        <w:trPr>
          <w:trHeight w:val="283"/>
        </w:trPr>
        <w:tc>
          <w:tcPr>
            <w:tcW w:w="2060" w:type="dxa"/>
            <w:tcBorders>
              <w:top w:val="nil"/>
              <w:left w:val="nil"/>
              <w:bottom w:val="nil"/>
              <w:right w:val="nil"/>
            </w:tcBorders>
          </w:tcPr>
          <w:p w14:paraId="689338C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72F7225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w:t>
            </w:r>
          </w:p>
        </w:tc>
        <w:tc>
          <w:tcPr>
            <w:tcW w:w="624" w:type="dxa"/>
            <w:tcBorders>
              <w:top w:val="nil"/>
              <w:left w:val="nil"/>
              <w:bottom w:val="nil"/>
              <w:right w:val="nil"/>
            </w:tcBorders>
          </w:tcPr>
          <w:p w14:paraId="0DEDF00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7C1CFC0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(0.10)</w:t>
            </w:r>
          </w:p>
        </w:tc>
      </w:tr>
      <w:tr w:rsidR="001E0DEF" w:rsidRPr="0053680E" w14:paraId="6EB65CF9" w14:textId="77777777" w:rsidTr="0053680E">
        <w:trPr>
          <w:trHeight w:val="283"/>
        </w:trPr>
        <w:tc>
          <w:tcPr>
            <w:tcW w:w="2060" w:type="dxa"/>
            <w:tcBorders>
              <w:top w:val="nil"/>
              <w:left w:val="nil"/>
              <w:bottom w:val="nil"/>
              <w:right w:val="nil"/>
            </w:tcBorders>
          </w:tcPr>
          <w:p w14:paraId="00B1E5F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RD</w:t>
            </w:r>
          </w:p>
        </w:tc>
        <w:tc>
          <w:tcPr>
            <w:tcW w:w="2506" w:type="dxa"/>
            <w:tcBorders>
              <w:top w:val="nil"/>
              <w:left w:val="nil"/>
              <w:bottom w:val="nil"/>
              <w:right w:val="nil"/>
            </w:tcBorders>
          </w:tcPr>
          <w:p w14:paraId="43CF7F4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0.144*</w:t>
            </w:r>
          </w:p>
        </w:tc>
        <w:tc>
          <w:tcPr>
            <w:tcW w:w="624" w:type="dxa"/>
            <w:tcBorders>
              <w:top w:val="nil"/>
              <w:left w:val="nil"/>
              <w:bottom w:val="nil"/>
              <w:right w:val="nil"/>
            </w:tcBorders>
          </w:tcPr>
          <w:p w14:paraId="0A53BFF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49F8F40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-1.35e-08</w:t>
            </w:r>
          </w:p>
        </w:tc>
      </w:tr>
      <w:tr w:rsidR="001E0DEF" w:rsidRPr="0053680E" w14:paraId="7883A880" w14:textId="77777777" w:rsidTr="0053680E">
        <w:trPr>
          <w:trHeight w:val="283"/>
        </w:trPr>
        <w:tc>
          <w:tcPr>
            <w:tcW w:w="2060" w:type="dxa"/>
            <w:tcBorders>
              <w:top w:val="nil"/>
              <w:left w:val="nil"/>
              <w:bottom w:val="nil"/>
              <w:right w:val="nil"/>
            </w:tcBorders>
          </w:tcPr>
          <w:p w14:paraId="6519B1A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25C0E41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(1.63)</w:t>
            </w:r>
          </w:p>
        </w:tc>
        <w:tc>
          <w:tcPr>
            <w:tcW w:w="624" w:type="dxa"/>
            <w:tcBorders>
              <w:top w:val="nil"/>
              <w:left w:val="nil"/>
              <w:bottom w:val="nil"/>
              <w:right w:val="nil"/>
            </w:tcBorders>
          </w:tcPr>
          <w:p w14:paraId="73FAA4A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718AE51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(-0.40)</w:t>
            </w:r>
          </w:p>
        </w:tc>
      </w:tr>
      <w:tr w:rsidR="001E0DEF" w:rsidRPr="0053680E" w14:paraId="381A35AE" w14:textId="77777777" w:rsidTr="0053680E">
        <w:trPr>
          <w:trHeight w:val="283"/>
        </w:trPr>
        <w:tc>
          <w:tcPr>
            <w:tcW w:w="2060" w:type="dxa"/>
            <w:tcBorders>
              <w:top w:val="nil"/>
              <w:left w:val="nil"/>
              <w:bottom w:val="nil"/>
              <w:right w:val="nil"/>
            </w:tcBorders>
          </w:tcPr>
          <w:p w14:paraId="6DE42E28" w14:textId="0A5CA1E9"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MO</w:t>
            </w:r>
          </w:p>
        </w:tc>
        <w:tc>
          <w:tcPr>
            <w:tcW w:w="2506" w:type="dxa"/>
            <w:tcBorders>
              <w:top w:val="nil"/>
              <w:left w:val="nil"/>
              <w:bottom w:val="nil"/>
              <w:right w:val="nil"/>
            </w:tcBorders>
          </w:tcPr>
          <w:p w14:paraId="65CBB7E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1.456</w:t>
            </w:r>
            <w:r w:rsidRPr="0053680E">
              <w:rPr>
                <w:rFonts w:asciiTheme="majorBidi" w:hAnsiTheme="majorBidi" w:cstheme="majorBidi"/>
                <w:sz w:val="20"/>
                <w:szCs w:val="20"/>
                <w:vertAlign w:val="superscript"/>
                <w:lang w:val="en-US"/>
              </w:rPr>
              <w:t>***</w:t>
            </w:r>
          </w:p>
        </w:tc>
        <w:tc>
          <w:tcPr>
            <w:tcW w:w="624" w:type="dxa"/>
            <w:tcBorders>
              <w:top w:val="nil"/>
              <w:left w:val="nil"/>
              <w:bottom w:val="nil"/>
              <w:right w:val="nil"/>
            </w:tcBorders>
          </w:tcPr>
          <w:p w14:paraId="535A1C9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43087FC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-1.90e-08</w:t>
            </w:r>
          </w:p>
        </w:tc>
      </w:tr>
      <w:tr w:rsidR="001E0DEF" w:rsidRPr="0053680E" w14:paraId="374F6F17" w14:textId="77777777" w:rsidTr="0053680E">
        <w:trPr>
          <w:trHeight w:val="283"/>
        </w:trPr>
        <w:tc>
          <w:tcPr>
            <w:tcW w:w="2060" w:type="dxa"/>
            <w:tcBorders>
              <w:top w:val="nil"/>
              <w:left w:val="nil"/>
              <w:bottom w:val="nil"/>
              <w:right w:val="nil"/>
            </w:tcBorders>
          </w:tcPr>
          <w:p w14:paraId="608A25E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2EDC287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(3.63)</w:t>
            </w:r>
          </w:p>
        </w:tc>
        <w:tc>
          <w:tcPr>
            <w:tcW w:w="624" w:type="dxa"/>
            <w:tcBorders>
              <w:top w:val="nil"/>
              <w:left w:val="nil"/>
              <w:bottom w:val="nil"/>
              <w:right w:val="nil"/>
            </w:tcBorders>
          </w:tcPr>
          <w:p w14:paraId="4F0A37F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561323C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(-0.06)</w:t>
            </w:r>
          </w:p>
        </w:tc>
      </w:tr>
      <w:tr w:rsidR="001E0DEF" w:rsidRPr="0053680E" w14:paraId="01A77935" w14:textId="77777777" w:rsidTr="0053680E">
        <w:trPr>
          <w:trHeight w:val="283"/>
        </w:trPr>
        <w:tc>
          <w:tcPr>
            <w:tcW w:w="2060" w:type="dxa"/>
            <w:tcBorders>
              <w:top w:val="nil"/>
              <w:left w:val="nil"/>
              <w:bottom w:val="nil"/>
              <w:right w:val="nil"/>
            </w:tcBorders>
          </w:tcPr>
          <w:p w14:paraId="7D65A63C" w14:textId="1EBC1CB2"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IO</w:t>
            </w:r>
          </w:p>
        </w:tc>
        <w:tc>
          <w:tcPr>
            <w:tcW w:w="2506" w:type="dxa"/>
            <w:tcBorders>
              <w:top w:val="nil"/>
              <w:left w:val="nil"/>
              <w:bottom w:val="nil"/>
              <w:right w:val="nil"/>
            </w:tcBorders>
          </w:tcPr>
          <w:p w14:paraId="3FA746A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-0.0555</w:t>
            </w:r>
          </w:p>
        </w:tc>
        <w:tc>
          <w:tcPr>
            <w:tcW w:w="624" w:type="dxa"/>
            <w:tcBorders>
              <w:top w:val="nil"/>
              <w:left w:val="nil"/>
              <w:bottom w:val="nil"/>
              <w:right w:val="nil"/>
            </w:tcBorders>
          </w:tcPr>
          <w:p w14:paraId="0F4F56D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71C3DAA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1.20e-08*</w:t>
            </w:r>
          </w:p>
        </w:tc>
      </w:tr>
      <w:tr w:rsidR="001E0DEF" w:rsidRPr="0053680E" w14:paraId="6E789A4C" w14:textId="77777777" w:rsidTr="0053680E">
        <w:trPr>
          <w:trHeight w:val="283"/>
        </w:trPr>
        <w:tc>
          <w:tcPr>
            <w:tcW w:w="2060" w:type="dxa"/>
            <w:tcBorders>
              <w:top w:val="nil"/>
              <w:left w:val="nil"/>
              <w:bottom w:val="nil"/>
              <w:right w:val="nil"/>
            </w:tcBorders>
          </w:tcPr>
          <w:p w14:paraId="10E19F9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3AB3A28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(-0.41)</w:t>
            </w:r>
          </w:p>
        </w:tc>
        <w:tc>
          <w:tcPr>
            <w:tcW w:w="624" w:type="dxa"/>
            <w:tcBorders>
              <w:top w:val="nil"/>
              <w:left w:val="nil"/>
              <w:bottom w:val="nil"/>
              <w:right w:val="nil"/>
            </w:tcBorders>
          </w:tcPr>
          <w:p w14:paraId="186E9EA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66CA004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(1.73)</w:t>
            </w:r>
          </w:p>
        </w:tc>
      </w:tr>
      <w:tr w:rsidR="001E0DEF" w:rsidRPr="0053680E" w14:paraId="563F49EA" w14:textId="77777777" w:rsidTr="0053680E">
        <w:trPr>
          <w:trHeight w:val="283"/>
        </w:trPr>
        <w:tc>
          <w:tcPr>
            <w:tcW w:w="2060" w:type="dxa"/>
            <w:tcBorders>
              <w:top w:val="nil"/>
              <w:left w:val="nil"/>
              <w:bottom w:val="nil"/>
              <w:right w:val="nil"/>
            </w:tcBorders>
          </w:tcPr>
          <w:p w14:paraId="23C449E6" w14:textId="19DEECA9"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N</w:t>
            </w:r>
            <w:r w:rsidR="009C1811">
              <w:rPr>
                <w:rFonts w:asciiTheme="majorBidi" w:hAnsiTheme="majorBidi" w:cstheme="majorBidi"/>
                <w:sz w:val="20"/>
                <w:szCs w:val="20"/>
                <w:lang w:val="en-US"/>
              </w:rPr>
              <w:t>E</w:t>
            </w:r>
          </w:p>
        </w:tc>
        <w:tc>
          <w:tcPr>
            <w:tcW w:w="2506" w:type="dxa"/>
            <w:tcBorders>
              <w:top w:val="nil"/>
              <w:left w:val="nil"/>
              <w:bottom w:val="nil"/>
              <w:right w:val="nil"/>
            </w:tcBorders>
          </w:tcPr>
          <w:p w14:paraId="3C53D2C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-0.0446</w:t>
            </w:r>
          </w:p>
        </w:tc>
        <w:tc>
          <w:tcPr>
            <w:tcW w:w="624" w:type="dxa"/>
            <w:tcBorders>
              <w:top w:val="nil"/>
              <w:left w:val="nil"/>
              <w:bottom w:val="nil"/>
              <w:right w:val="nil"/>
            </w:tcBorders>
          </w:tcPr>
          <w:p w14:paraId="76CAB89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5A17986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-9.44e-09</w:t>
            </w:r>
          </w:p>
        </w:tc>
      </w:tr>
      <w:tr w:rsidR="001E0DEF" w:rsidRPr="0053680E" w14:paraId="16C20A2C" w14:textId="77777777" w:rsidTr="0053680E">
        <w:trPr>
          <w:trHeight w:val="283"/>
        </w:trPr>
        <w:tc>
          <w:tcPr>
            <w:tcW w:w="2060" w:type="dxa"/>
            <w:tcBorders>
              <w:top w:val="nil"/>
              <w:left w:val="nil"/>
              <w:bottom w:val="nil"/>
              <w:right w:val="nil"/>
            </w:tcBorders>
          </w:tcPr>
          <w:p w14:paraId="55037850"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012B7AE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(-0.18)</w:t>
            </w:r>
          </w:p>
        </w:tc>
        <w:tc>
          <w:tcPr>
            <w:tcW w:w="624" w:type="dxa"/>
            <w:tcBorders>
              <w:top w:val="nil"/>
              <w:left w:val="nil"/>
              <w:bottom w:val="nil"/>
              <w:right w:val="nil"/>
            </w:tcBorders>
          </w:tcPr>
          <w:p w14:paraId="7C1650E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7F2A59C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(-0.44)</w:t>
            </w:r>
          </w:p>
        </w:tc>
      </w:tr>
      <w:tr w:rsidR="001E0DEF" w:rsidRPr="0053680E" w14:paraId="6DD86538" w14:textId="77777777" w:rsidTr="0053680E">
        <w:trPr>
          <w:trHeight w:val="283"/>
        </w:trPr>
        <w:tc>
          <w:tcPr>
            <w:tcW w:w="2060" w:type="dxa"/>
            <w:tcBorders>
              <w:top w:val="nil"/>
              <w:left w:val="nil"/>
              <w:bottom w:val="nil"/>
              <w:right w:val="nil"/>
            </w:tcBorders>
          </w:tcPr>
          <w:p w14:paraId="2D0CF15C" w14:textId="31A5A338"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BS</w:t>
            </w:r>
          </w:p>
        </w:tc>
        <w:tc>
          <w:tcPr>
            <w:tcW w:w="2506" w:type="dxa"/>
            <w:tcBorders>
              <w:top w:val="nil"/>
              <w:left w:val="nil"/>
              <w:bottom w:val="nil"/>
              <w:right w:val="nil"/>
            </w:tcBorders>
          </w:tcPr>
          <w:p w14:paraId="649412D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-0.266</w:t>
            </w:r>
          </w:p>
        </w:tc>
        <w:tc>
          <w:tcPr>
            <w:tcW w:w="624" w:type="dxa"/>
            <w:tcBorders>
              <w:top w:val="nil"/>
              <w:left w:val="nil"/>
              <w:bottom w:val="nil"/>
              <w:right w:val="nil"/>
            </w:tcBorders>
          </w:tcPr>
          <w:p w14:paraId="1FA29ED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3CB4597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1.00e-10</w:t>
            </w:r>
          </w:p>
        </w:tc>
      </w:tr>
      <w:tr w:rsidR="001E0DEF" w:rsidRPr="0053680E" w14:paraId="3C424029" w14:textId="77777777" w:rsidTr="0053680E">
        <w:trPr>
          <w:trHeight w:val="283"/>
        </w:trPr>
        <w:tc>
          <w:tcPr>
            <w:tcW w:w="2060" w:type="dxa"/>
            <w:tcBorders>
              <w:top w:val="nil"/>
              <w:left w:val="nil"/>
              <w:bottom w:val="nil"/>
              <w:right w:val="nil"/>
            </w:tcBorders>
          </w:tcPr>
          <w:p w14:paraId="21B00A6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798B20F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(-1.18)</w:t>
            </w:r>
          </w:p>
        </w:tc>
        <w:tc>
          <w:tcPr>
            <w:tcW w:w="624" w:type="dxa"/>
            <w:tcBorders>
              <w:top w:val="nil"/>
              <w:left w:val="nil"/>
              <w:bottom w:val="nil"/>
              <w:right w:val="nil"/>
            </w:tcBorders>
          </w:tcPr>
          <w:p w14:paraId="697BF1D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52F92D0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(0.01)</w:t>
            </w:r>
          </w:p>
        </w:tc>
      </w:tr>
      <w:tr w:rsidR="001E0DEF" w:rsidRPr="0053680E" w14:paraId="37DD4341" w14:textId="77777777" w:rsidTr="0053680E">
        <w:trPr>
          <w:trHeight w:val="283"/>
        </w:trPr>
        <w:tc>
          <w:tcPr>
            <w:tcW w:w="2060" w:type="dxa"/>
            <w:tcBorders>
              <w:top w:val="nil"/>
              <w:left w:val="nil"/>
              <w:bottom w:val="nil"/>
              <w:right w:val="nil"/>
            </w:tcBorders>
          </w:tcPr>
          <w:p w14:paraId="54A4491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AGE</w:t>
            </w:r>
          </w:p>
        </w:tc>
        <w:tc>
          <w:tcPr>
            <w:tcW w:w="2506" w:type="dxa"/>
            <w:tcBorders>
              <w:top w:val="nil"/>
              <w:left w:val="nil"/>
              <w:bottom w:val="nil"/>
              <w:right w:val="nil"/>
            </w:tcBorders>
          </w:tcPr>
          <w:p w14:paraId="3D94321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0.349</w:t>
            </w:r>
            <w:r w:rsidRPr="0053680E">
              <w:rPr>
                <w:rFonts w:asciiTheme="majorBidi" w:hAnsiTheme="majorBidi" w:cstheme="majorBidi"/>
                <w:sz w:val="20"/>
                <w:szCs w:val="20"/>
                <w:vertAlign w:val="superscript"/>
                <w:lang w:val="en-US"/>
              </w:rPr>
              <w:t>***</w:t>
            </w:r>
          </w:p>
        </w:tc>
        <w:tc>
          <w:tcPr>
            <w:tcW w:w="624" w:type="dxa"/>
            <w:tcBorders>
              <w:top w:val="nil"/>
              <w:left w:val="nil"/>
              <w:bottom w:val="nil"/>
              <w:right w:val="nil"/>
            </w:tcBorders>
          </w:tcPr>
          <w:p w14:paraId="7953AF6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1A7C914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-3.05e-09</w:t>
            </w:r>
          </w:p>
        </w:tc>
      </w:tr>
      <w:tr w:rsidR="001E0DEF" w:rsidRPr="0053680E" w14:paraId="07ED645B" w14:textId="77777777" w:rsidTr="0053680E">
        <w:trPr>
          <w:trHeight w:val="283"/>
        </w:trPr>
        <w:tc>
          <w:tcPr>
            <w:tcW w:w="2060" w:type="dxa"/>
            <w:tcBorders>
              <w:top w:val="nil"/>
              <w:left w:val="nil"/>
              <w:bottom w:val="nil"/>
              <w:right w:val="nil"/>
            </w:tcBorders>
          </w:tcPr>
          <w:p w14:paraId="3E69E9E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003E51B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(2.87)</w:t>
            </w:r>
          </w:p>
        </w:tc>
        <w:tc>
          <w:tcPr>
            <w:tcW w:w="624" w:type="dxa"/>
            <w:tcBorders>
              <w:top w:val="nil"/>
              <w:left w:val="nil"/>
              <w:bottom w:val="nil"/>
              <w:right w:val="nil"/>
            </w:tcBorders>
          </w:tcPr>
          <w:p w14:paraId="71D12E9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00F6678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(-0.04)</w:t>
            </w:r>
          </w:p>
        </w:tc>
      </w:tr>
      <w:tr w:rsidR="001E0DEF" w:rsidRPr="0053680E" w14:paraId="7286A754" w14:textId="77777777" w:rsidTr="0053680E">
        <w:trPr>
          <w:trHeight w:val="283"/>
        </w:trPr>
        <w:tc>
          <w:tcPr>
            <w:tcW w:w="2060" w:type="dxa"/>
            <w:tcBorders>
              <w:top w:val="nil"/>
              <w:left w:val="nil"/>
              <w:bottom w:val="nil"/>
              <w:right w:val="nil"/>
            </w:tcBorders>
          </w:tcPr>
          <w:p w14:paraId="392FBC2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TEN</w:t>
            </w:r>
          </w:p>
        </w:tc>
        <w:tc>
          <w:tcPr>
            <w:tcW w:w="2506" w:type="dxa"/>
            <w:tcBorders>
              <w:top w:val="nil"/>
              <w:left w:val="nil"/>
              <w:bottom w:val="nil"/>
              <w:right w:val="nil"/>
            </w:tcBorders>
          </w:tcPr>
          <w:p w14:paraId="7751A88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-0.0660</w:t>
            </w:r>
          </w:p>
        </w:tc>
        <w:tc>
          <w:tcPr>
            <w:tcW w:w="624" w:type="dxa"/>
            <w:tcBorders>
              <w:top w:val="nil"/>
              <w:left w:val="nil"/>
              <w:bottom w:val="nil"/>
              <w:right w:val="nil"/>
            </w:tcBorders>
          </w:tcPr>
          <w:p w14:paraId="12BC07E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5289261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-5.90e-09</w:t>
            </w:r>
          </w:p>
        </w:tc>
      </w:tr>
      <w:tr w:rsidR="001E0DEF" w:rsidRPr="0053680E" w14:paraId="129595ED" w14:textId="77777777" w:rsidTr="0053680E">
        <w:trPr>
          <w:trHeight w:val="283"/>
        </w:trPr>
        <w:tc>
          <w:tcPr>
            <w:tcW w:w="2060" w:type="dxa"/>
            <w:tcBorders>
              <w:top w:val="nil"/>
              <w:left w:val="nil"/>
              <w:bottom w:val="nil"/>
              <w:right w:val="nil"/>
            </w:tcBorders>
          </w:tcPr>
          <w:p w14:paraId="32CE281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29E4EDD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(-0.78)</w:t>
            </w:r>
          </w:p>
        </w:tc>
        <w:tc>
          <w:tcPr>
            <w:tcW w:w="624" w:type="dxa"/>
            <w:tcBorders>
              <w:top w:val="nil"/>
              <w:left w:val="nil"/>
              <w:bottom w:val="nil"/>
              <w:right w:val="nil"/>
            </w:tcBorders>
          </w:tcPr>
          <w:p w14:paraId="4E84679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488788B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(-0.34)</w:t>
            </w:r>
          </w:p>
        </w:tc>
      </w:tr>
      <w:tr w:rsidR="001E0DEF" w:rsidRPr="0053680E" w14:paraId="397B66BA" w14:textId="77777777" w:rsidTr="0053680E">
        <w:trPr>
          <w:trHeight w:val="283"/>
        </w:trPr>
        <w:tc>
          <w:tcPr>
            <w:tcW w:w="2060" w:type="dxa"/>
            <w:tcBorders>
              <w:top w:val="nil"/>
              <w:left w:val="nil"/>
              <w:bottom w:val="nil"/>
              <w:right w:val="nil"/>
            </w:tcBorders>
          </w:tcPr>
          <w:p w14:paraId="0FA561B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GDR</w:t>
            </w:r>
          </w:p>
        </w:tc>
        <w:tc>
          <w:tcPr>
            <w:tcW w:w="2506" w:type="dxa"/>
            <w:tcBorders>
              <w:top w:val="nil"/>
              <w:left w:val="nil"/>
              <w:bottom w:val="nil"/>
              <w:right w:val="nil"/>
            </w:tcBorders>
          </w:tcPr>
          <w:p w14:paraId="56A2814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0.666*</w:t>
            </w:r>
          </w:p>
        </w:tc>
        <w:tc>
          <w:tcPr>
            <w:tcW w:w="624" w:type="dxa"/>
            <w:tcBorders>
              <w:top w:val="nil"/>
              <w:left w:val="nil"/>
              <w:bottom w:val="nil"/>
              <w:right w:val="nil"/>
            </w:tcBorders>
          </w:tcPr>
          <w:p w14:paraId="334715F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4922073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-1.14e-08</w:t>
            </w:r>
          </w:p>
        </w:tc>
      </w:tr>
      <w:tr w:rsidR="001E0DEF" w:rsidRPr="0053680E" w14:paraId="0CC24E75" w14:textId="77777777" w:rsidTr="0053680E">
        <w:trPr>
          <w:trHeight w:val="283"/>
        </w:trPr>
        <w:tc>
          <w:tcPr>
            <w:tcW w:w="2060" w:type="dxa"/>
            <w:tcBorders>
              <w:top w:val="nil"/>
              <w:left w:val="nil"/>
              <w:bottom w:val="nil"/>
              <w:right w:val="nil"/>
            </w:tcBorders>
          </w:tcPr>
          <w:p w14:paraId="4E20CBA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5B32B17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(1.82)</w:t>
            </w:r>
          </w:p>
        </w:tc>
        <w:tc>
          <w:tcPr>
            <w:tcW w:w="624" w:type="dxa"/>
            <w:tcBorders>
              <w:top w:val="nil"/>
              <w:left w:val="nil"/>
              <w:bottom w:val="nil"/>
              <w:right w:val="nil"/>
            </w:tcBorders>
          </w:tcPr>
          <w:p w14:paraId="42CE371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7C24043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(-0.07)</w:t>
            </w:r>
          </w:p>
        </w:tc>
      </w:tr>
      <w:tr w:rsidR="001E0DEF" w:rsidRPr="0053680E" w14:paraId="47B9920B" w14:textId="77777777" w:rsidTr="0053680E">
        <w:trPr>
          <w:trHeight w:val="283"/>
        </w:trPr>
        <w:tc>
          <w:tcPr>
            <w:tcW w:w="2060" w:type="dxa"/>
            <w:tcBorders>
              <w:top w:val="nil"/>
              <w:left w:val="nil"/>
              <w:bottom w:val="nil"/>
              <w:right w:val="nil"/>
            </w:tcBorders>
          </w:tcPr>
          <w:p w14:paraId="154892E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ROA</w:t>
            </w:r>
          </w:p>
        </w:tc>
        <w:tc>
          <w:tcPr>
            <w:tcW w:w="2506" w:type="dxa"/>
            <w:tcBorders>
              <w:top w:val="nil"/>
              <w:left w:val="nil"/>
              <w:bottom w:val="nil"/>
              <w:right w:val="nil"/>
            </w:tcBorders>
          </w:tcPr>
          <w:p w14:paraId="1C379A4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624" w:type="dxa"/>
            <w:tcBorders>
              <w:top w:val="nil"/>
              <w:left w:val="nil"/>
              <w:bottom w:val="nil"/>
              <w:right w:val="nil"/>
            </w:tcBorders>
          </w:tcPr>
          <w:p w14:paraId="1C2770A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3018EFF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2.84e.08</w:t>
            </w:r>
          </w:p>
        </w:tc>
      </w:tr>
      <w:tr w:rsidR="001E0DEF" w:rsidRPr="0053680E" w14:paraId="7C9139F0" w14:textId="77777777" w:rsidTr="0053680E">
        <w:trPr>
          <w:trHeight w:val="283"/>
        </w:trPr>
        <w:tc>
          <w:tcPr>
            <w:tcW w:w="2060" w:type="dxa"/>
            <w:tcBorders>
              <w:top w:val="nil"/>
              <w:left w:val="nil"/>
              <w:bottom w:val="nil"/>
              <w:right w:val="nil"/>
            </w:tcBorders>
          </w:tcPr>
          <w:p w14:paraId="3524914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56E53B9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624" w:type="dxa"/>
            <w:tcBorders>
              <w:top w:val="nil"/>
              <w:left w:val="nil"/>
              <w:bottom w:val="nil"/>
              <w:right w:val="nil"/>
            </w:tcBorders>
          </w:tcPr>
          <w:p w14:paraId="332CB71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557820D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(0.12)</w:t>
            </w:r>
          </w:p>
        </w:tc>
      </w:tr>
      <w:tr w:rsidR="001E0DEF" w:rsidRPr="0053680E" w14:paraId="26CB1570" w14:textId="77777777" w:rsidTr="0053680E">
        <w:trPr>
          <w:trHeight w:val="283"/>
        </w:trPr>
        <w:tc>
          <w:tcPr>
            <w:tcW w:w="2060" w:type="dxa"/>
            <w:tcBorders>
              <w:top w:val="nil"/>
              <w:left w:val="nil"/>
              <w:bottom w:val="nil"/>
              <w:right w:val="nil"/>
            </w:tcBorders>
          </w:tcPr>
          <w:p w14:paraId="6A6897D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IND_TVP</w:t>
            </w:r>
          </w:p>
        </w:tc>
        <w:tc>
          <w:tcPr>
            <w:tcW w:w="2506" w:type="dxa"/>
            <w:tcBorders>
              <w:top w:val="nil"/>
              <w:left w:val="nil"/>
              <w:bottom w:val="nil"/>
              <w:right w:val="nil"/>
            </w:tcBorders>
          </w:tcPr>
          <w:p w14:paraId="4996AD8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624" w:type="dxa"/>
            <w:tcBorders>
              <w:top w:val="nil"/>
              <w:left w:val="nil"/>
              <w:bottom w:val="nil"/>
              <w:right w:val="nil"/>
            </w:tcBorders>
          </w:tcPr>
          <w:p w14:paraId="348B453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5DEB4BE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1.001</w:t>
            </w:r>
            <w:r w:rsidRPr="0053680E">
              <w:rPr>
                <w:rFonts w:asciiTheme="majorBidi" w:hAnsiTheme="majorBidi" w:cstheme="majorBidi"/>
                <w:sz w:val="20"/>
                <w:szCs w:val="20"/>
                <w:vertAlign w:val="superscript"/>
                <w:lang w:val="en-US"/>
              </w:rPr>
              <w:t>***</w:t>
            </w:r>
          </w:p>
        </w:tc>
      </w:tr>
      <w:tr w:rsidR="001E0DEF" w:rsidRPr="0053680E" w14:paraId="77FDED09" w14:textId="77777777" w:rsidTr="0053680E">
        <w:trPr>
          <w:trHeight w:val="283"/>
        </w:trPr>
        <w:tc>
          <w:tcPr>
            <w:tcW w:w="2060" w:type="dxa"/>
            <w:tcBorders>
              <w:top w:val="nil"/>
              <w:left w:val="nil"/>
              <w:bottom w:val="nil"/>
              <w:right w:val="nil"/>
            </w:tcBorders>
          </w:tcPr>
          <w:p w14:paraId="5802389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6841B69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624" w:type="dxa"/>
            <w:tcBorders>
              <w:top w:val="nil"/>
              <w:left w:val="nil"/>
              <w:bottom w:val="nil"/>
              <w:right w:val="nil"/>
            </w:tcBorders>
          </w:tcPr>
          <w:p w14:paraId="3C06D8D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6DB947A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(28.25)</w:t>
            </w:r>
          </w:p>
        </w:tc>
      </w:tr>
      <w:tr w:rsidR="001E0DEF" w:rsidRPr="0053680E" w14:paraId="30F0FFC2" w14:textId="77777777" w:rsidTr="0053680E">
        <w:trPr>
          <w:trHeight w:val="283"/>
        </w:trPr>
        <w:tc>
          <w:tcPr>
            <w:tcW w:w="2060" w:type="dxa"/>
            <w:tcBorders>
              <w:top w:val="nil"/>
              <w:left w:val="nil"/>
              <w:bottom w:val="nil"/>
              <w:right w:val="nil"/>
            </w:tcBorders>
          </w:tcPr>
          <w:p w14:paraId="637B74B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_Cons</w:t>
            </w:r>
          </w:p>
        </w:tc>
        <w:tc>
          <w:tcPr>
            <w:tcW w:w="2506" w:type="dxa"/>
            <w:tcBorders>
              <w:top w:val="nil"/>
              <w:left w:val="nil"/>
              <w:bottom w:val="nil"/>
              <w:right w:val="nil"/>
            </w:tcBorders>
          </w:tcPr>
          <w:p w14:paraId="123999D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-18.130*</w:t>
            </w:r>
          </w:p>
        </w:tc>
        <w:tc>
          <w:tcPr>
            <w:tcW w:w="624" w:type="dxa"/>
            <w:tcBorders>
              <w:top w:val="nil"/>
              <w:left w:val="nil"/>
              <w:bottom w:val="nil"/>
              <w:right w:val="nil"/>
            </w:tcBorders>
          </w:tcPr>
          <w:p w14:paraId="46CF0B7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0FF7CFF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-8.45e-08</w:t>
            </w:r>
          </w:p>
        </w:tc>
      </w:tr>
      <w:tr w:rsidR="001E0DEF" w:rsidRPr="0053680E" w14:paraId="106EEDF9" w14:textId="77777777" w:rsidTr="0053680E">
        <w:trPr>
          <w:trHeight w:val="283"/>
        </w:trPr>
        <w:tc>
          <w:tcPr>
            <w:tcW w:w="2060" w:type="dxa"/>
            <w:tcBorders>
              <w:top w:val="nil"/>
              <w:left w:val="nil"/>
              <w:bottom w:val="nil"/>
              <w:right w:val="nil"/>
            </w:tcBorders>
          </w:tcPr>
          <w:p w14:paraId="2890799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2506" w:type="dxa"/>
            <w:tcBorders>
              <w:top w:val="nil"/>
              <w:left w:val="nil"/>
              <w:bottom w:val="nil"/>
              <w:right w:val="nil"/>
            </w:tcBorders>
          </w:tcPr>
          <w:p w14:paraId="49954D9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(-1.68)</w:t>
            </w:r>
          </w:p>
        </w:tc>
        <w:tc>
          <w:tcPr>
            <w:tcW w:w="624" w:type="dxa"/>
            <w:tcBorders>
              <w:top w:val="nil"/>
              <w:left w:val="nil"/>
              <w:bottom w:val="nil"/>
              <w:right w:val="nil"/>
            </w:tcBorders>
          </w:tcPr>
          <w:p w14:paraId="7FCEEC2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nil"/>
              <w:right w:val="nil"/>
            </w:tcBorders>
          </w:tcPr>
          <w:p w14:paraId="4047756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(-0.02)</w:t>
            </w:r>
          </w:p>
        </w:tc>
      </w:tr>
      <w:tr w:rsidR="001E0DEF" w:rsidRPr="0053680E" w14:paraId="71D64B2B" w14:textId="77777777" w:rsidTr="0053680E">
        <w:trPr>
          <w:trHeight w:val="283"/>
        </w:trPr>
        <w:tc>
          <w:tcPr>
            <w:tcW w:w="2060" w:type="dxa"/>
            <w:tcBorders>
              <w:top w:val="single" w:sz="4" w:space="0" w:color="auto"/>
              <w:left w:val="nil"/>
              <w:bottom w:val="nil"/>
              <w:right w:val="nil"/>
            </w:tcBorders>
          </w:tcPr>
          <w:p w14:paraId="0AAC13D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i/>
                <w:iCs/>
                <w:sz w:val="20"/>
                <w:szCs w:val="20"/>
                <w:lang w:val="en-US"/>
              </w:rPr>
              <w:t>N</w:t>
            </w:r>
          </w:p>
        </w:tc>
        <w:tc>
          <w:tcPr>
            <w:tcW w:w="2506" w:type="dxa"/>
            <w:tcBorders>
              <w:top w:val="single" w:sz="4" w:space="0" w:color="auto"/>
              <w:left w:val="nil"/>
              <w:bottom w:val="nil"/>
              <w:right w:val="nil"/>
            </w:tcBorders>
          </w:tcPr>
          <w:p w14:paraId="0682FE2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567</w:t>
            </w:r>
          </w:p>
        </w:tc>
        <w:tc>
          <w:tcPr>
            <w:tcW w:w="624" w:type="dxa"/>
            <w:tcBorders>
              <w:top w:val="single" w:sz="4" w:space="0" w:color="auto"/>
              <w:left w:val="nil"/>
              <w:bottom w:val="nil"/>
              <w:right w:val="nil"/>
            </w:tcBorders>
          </w:tcPr>
          <w:p w14:paraId="6A5CAAC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single" w:sz="4" w:space="0" w:color="auto"/>
              <w:left w:val="nil"/>
              <w:bottom w:val="nil"/>
              <w:right w:val="nil"/>
            </w:tcBorders>
          </w:tcPr>
          <w:p w14:paraId="000F9BB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567</w:t>
            </w:r>
          </w:p>
        </w:tc>
      </w:tr>
      <w:tr w:rsidR="001E0DEF" w:rsidRPr="0053680E" w14:paraId="26850CF5" w14:textId="77777777" w:rsidTr="0053680E">
        <w:trPr>
          <w:trHeight w:val="283"/>
        </w:trPr>
        <w:tc>
          <w:tcPr>
            <w:tcW w:w="2060" w:type="dxa"/>
            <w:tcBorders>
              <w:top w:val="nil"/>
              <w:left w:val="nil"/>
              <w:bottom w:val="single" w:sz="4" w:space="0" w:color="auto"/>
              <w:right w:val="nil"/>
            </w:tcBorders>
          </w:tcPr>
          <w:p w14:paraId="450EA29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i/>
                <w:iCs/>
                <w:sz w:val="20"/>
                <w:szCs w:val="20"/>
                <w:lang w:val="en-US"/>
              </w:rPr>
              <w:t>R</w:t>
            </w:r>
            <w:r w:rsidRPr="0053680E">
              <w:rPr>
                <w:rFonts w:asciiTheme="majorBidi" w:hAnsiTheme="majorBidi" w:cstheme="majorBidi"/>
                <w:sz w:val="20"/>
                <w:szCs w:val="20"/>
                <w:vertAlign w:val="superscript"/>
                <w:lang w:val="en-US"/>
              </w:rPr>
              <w:t>2</w:t>
            </w:r>
          </w:p>
        </w:tc>
        <w:tc>
          <w:tcPr>
            <w:tcW w:w="2506" w:type="dxa"/>
            <w:tcBorders>
              <w:top w:val="nil"/>
              <w:left w:val="nil"/>
              <w:bottom w:val="single" w:sz="4" w:space="0" w:color="auto"/>
              <w:right w:val="nil"/>
            </w:tcBorders>
          </w:tcPr>
          <w:p w14:paraId="5D80469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0.30</w:t>
            </w:r>
          </w:p>
        </w:tc>
        <w:tc>
          <w:tcPr>
            <w:tcW w:w="624" w:type="dxa"/>
            <w:tcBorders>
              <w:top w:val="nil"/>
              <w:left w:val="nil"/>
              <w:bottom w:val="single" w:sz="4" w:space="0" w:color="auto"/>
              <w:right w:val="nil"/>
            </w:tcBorders>
          </w:tcPr>
          <w:p w14:paraId="1D219AA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2505" w:type="dxa"/>
            <w:tcBorders>
              <w:top w:val="nil"/>
              <w:left w:val="nil"/>
              <w:bottom w:val="single" w:sz="4" w:space="0" w:color="auto"/>
              <w:right w:val="nil"/>
            </w:tcBorders>
          </w:tcPr>
          <w:p w14:paraId="2D36B33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0.28</w:t>
            </w:r>
          </w:p>
        </w:tc>
      </w:tr>
    </w:tbl>
    <w:p w14:paraId="7D7157D1" w14:textId="77777777" w:rsidR="003D25A1" w:rsidRDefault="001E0DEF" w:rsidP="00213947">
      <w:pPr>
        <w:pStyle w:val="paragraph"/>
        <w:spacing w:before="0" w:beforeAutospacing="0" w:after="0" w:afterAutospacing="0"/>
        <w:jc w:val="both"/>
        <w:textAlignment w:val="baseline"/>
        <w:rPr>
          <w:rStyle w:val="normaltextrun"/>
          <w:rFonts w:asciiTheme="majorBidi" w:eastAsia="Cambria" w:hAnsiTheme="majorBidi" w:cstheme="majorBidi"/>
          <w:sz w:val="16"/>
          <w:szCs w:val="16"/>
        </w:rPr>
        <w:sectPr w:rsidR="003D25A1" w:rsidSect="003D25A1">
          <w:pgSz w:w="11906" w:h="16838"/>
          <w:pgMar w:top="1440" w:right="1440" w:bottom="1440" w:left="1440" w:header="708" w:footer="708" w:gutter="0"/>
          <w:cols w:space="708"/>
          <w:docGrid w:linePitch="360"/>
        </w:sectPr>
      </w:pPr>
      <w:r w:rsidRPr="00392B53">
        <w:rPr>
          <w:rStyle w:val="normaltextrun"/>
          <w:rFonts w:asciiTheme="majorBidi" w:eastAsia="Cambria" w:hAnsiTheme="majorBidi" w:cstheme="majorBidi"/>
          <w:sz w:val="16"/>
          <w:szCs w:val="16"/>
        </w:rPr>
        <w:t>This table shows the</w:t>
      </w:r>
      <w:r w:rsidR="00392B53" w:rsidRPr="00392B53">
        <w:rPr>
          <w:rStyle w:val="normaltextrun"/>
          <w:rFonts w:asciiTheme="majorBidi" w:eastAsia="Cambria" w:hAnsiTheme="majorBidi" w:cstheme="majorBidi"/>
          <w:sz w:val="16"/>
          <w:szCs w:val="16"/>
        </w:rPr>
        <w:t xml:space="preserve"> </w:t>
      </w:r>
      <w:r w:rsidRPr="00392B53">
        <w:rPr>
          <w:rStyle w:val="normaltextrun"/>
          <w:rFonts w:asciiTheme="majorBidi" w:eastAsia="Cambria" w:hAnsiTheme="majorBidi" w:cstheme="majorBidi"/>
          <w:sz w:val="16"/>
          <w:szCs w:val="16"/>
        </w:rPr>
        <w:t>simultaneous equation</w:t>
      </w:r>
      <w:r w:rsidR="00392B53">
        <w:rPr>
          <w:rStyle w:val="normaltextrun"/>
          <w:rFonts w:asciiTheme="majorBidi" w:eastAsia="Cambria" w:hAnsiTheme="majorBidi" w:cstheme="majorBidi"/>
          <w:sz w:val="16"/>
          <w:szCs w:val="16"/>
        </w:rPr>
        <w:t>s models</w:t>
      </w:r>
      <w:r w:rsidRPr="00392B53">
        <w:rPr>
          <w:rStyle w:val="normaltextrun"/>
          <w:rFonts w:asciiTheme="majorBidi" w:eastAsia="Cambria" w:hAnsiTheme="majorBidi" w:cstheme="majorBidi"/>
          <w:sz w:val="16"/>
          <w:szCs w:val="16"/>
        </w:rPr>
        <w:t xml:space="preserve"> regression of </w:t>
      </w:r>
      <w:r w:rsidR="00392B53">
        <w:rPr>
          <w:rStyle w:val="normaltextrun"/>
          <w:rFonts w:asciiTheme="majorBidi" w:eastAsia="Cambria" w:hAnsiTheme="majorBidi" w:cstheme="majorBidi"/>
          <w:sz w:val="16"/>
          <w:szCs w:val="16"/>
        </w:rPr>
        <w:t>firm performance</w:t>
      </w:r>
      <w:r w:rsidRPr="00392B53">
        <w:rPr>
          <w:rStyle w:val="normaltextrun"/>
          <w:rFonts w:asciiTheme="majorBidi" w:eastAsia="Cambria" w:hAnsiTheme="majorBidi" w:cstheme="majorBidi"/>
          <w:sz w:val="16"/>
          <w:szCs w:val="16"/>
        </w:rPr>
        <w:t xml:space="preserve"> (</w:t>
      </w:r>
      <w:r w:rsidR="00392B53">
        <w:rPr>
          <w:rStyle w:val="normaltextrun"/>
          <w:rFonts w:asciiTheme="majorBidi" w:eastAsia="Cambria" w:hAnsiTheme="majorBidi" w:cstheme="majorBidi"/>
          <w:sz w:val="16"/>
          <w:szCs w:val="16"/>
        </w:rPr>
        <w:t>ROA</w:t>
      </w:r>
      <w:r w:rsidRPr="00392B53">
        <w:rPr>
          <w:rStyle w:val="normaltextrun"/>
          <w:rFonts w:asciiTheme="majorBidi" w:eastAsia="Cambria" w:hAnsiTheme="majorBidi" w:cstheme="majorBidi"/>
          <w:sz w:val="16"/>
          <w:szCs w:val="16"/>
        </w:rPr>
        <w:t xml:space="preserve">) and </w:t>
      </w:r>
      <w:r w:rsidR="00634A44">
        <w:rPr>
          <w:rStyle w:val="normaltextrun"/>
          <w:rFonts w:asciiTheme="majorBidi" w:eastAsia="Cambria" w:hAnsiTheme="majorBidi" w:cstheme="majorBidi"/>
          <w:sz w:val="16"/>
          <w:szCs w:val="16"/>
        </w:rPr>
        <w:t>variable compensation</w:t>
      </w:r>
      <w:r w:rsidRPr="00392B53">
        <w:rPr>
          <w:rStyle w:val="normaltextrun"/>
          <w:rFonts w:asciiTheme="majorBidi" w:eastAsia="Cambria" w:hAnsiTheme="majorBidi" w:cstheme="majorBidi"/>
          <w:sz w:val="16"/>
          <w:szCs w:val="16"/>
        </w:rPr>
        <w:t> (</w:t>
      </w:r>
      <w:r w:rsidR="00634A44">
        <w:rPr>
          <w:rStyle w:val="normaltextrun"/>
          <w:rFonts w:asciiTheme="majorBidi" w:eastAsia="Cambria" w:hAnsiTheme="majorBidi" w:cstheme="majorBidi"/>
          <w:sz w:val="16"/>
          <w:szCs w:val="16"/>
        </w:rPr>
        <w:t>TVP</w:t>
      </w:r>
      <w:r w:rsidRPr="00392B53">
        <w:rPr>
          <w:rStyle w:val="normaltextrun"/>
          <w:rFonts w:asciiTheme="majorBidi" w:eastAsia="Cambria" w:hAnsiTheme="majorBidi" w:cstheme="majorBidi"/>
          <w:sz w:val="16"/>
          <w:szCs w:val="16"/>
        </w:rPr>
        <w:t xml:space="preserve">) results. The first stage regression is where each endogenous variable: </w:t>
      </w:r>
      <w:r w:rsidR="00634A44">
        <w:rPr>
          <w:rStyle w:val="normaltextrun"/>
          <w:rFonts w:asciiTheme="majorBidi" w:eastAsia="Cambria" w:hAnsiTheme="majorBidi" w:cstheme="majorBidi"/>
          <w:sz w:val="16"/>
          <w:szCs w:val="16"/>
        </w:rPr>
        <w:t>variable compensation</w:t>
      </w:r>
      <w:r w:rsidRPr="00392B53">
        <w:rPr>
          <w:rStyle w:val="normaltextrun"/>
          <w:rFonts w:asciiTheme="majorBidi" w:eastAsia="Cambria" w:hAnsiTheme="majorBidi" w:cstheme="majorBidi"/>
          <w:sz w:val="16"/>
          <w:szCs w:val="16"/>
        </w:rPr>
        <w:t xml:space="preserve"> (</w:t>
      </w:r>
      <w:r w:rsidR="00634A44">
        <w:rPr>
          <w:rStyle w:val="normaltextrun"/>
          <w:rFonts w:asciiTheme="majorBidi" w:eastAsia="Cambria" w:hAnsiTheme="majorBidi" w:cstheme="majorBidi"/>
          <w:sz w:val="16"/>
          <w:szCs w:val="16"/>
        </w:rPr>
        <w:t>TVP</w:t>
      </w:r>
      <w:r w:rsidRPr="00392B53">
        <w:rPr>
          <w:rStyle w:val="normaltextrun"/>
          <w:rFonts w:asciiTheme="majorBidi" w:eastAsia="Cambria" w:hAnsiTheme="majorBidi" w:cstheme="majorBidi"/>
          <w:sz w:val="16"/>
          <w:szCs w:val="16"/>
        </w:rPr>
        <w:t>) is regressed on </w:t>
      </w:r>
      <w:r w:rsidR="00634A44">
        <w:rPr>
          <w:rStyle w:val="normaltextrun"/>
          <w:rFonts w:asciiTheme="majorBidi" w:eastAsia="Cambria" w:hAnsiTheme="majorBidi" w:cstheme="majorBidi"/>
          <w:sz w:val="16"/>
          <w:szCs w:val="16"/>
        </w:rPr>
        <w:t>ROA</w:t>
      </w:r>
      <w:r w:rsidRPr="00392B53">
        <w:rPr>
          <w:rStyle w:val="normaltextrun"/>
          <w:rFonts w:asciiTheme="majorBidi" w:eastAsia="Cambria" w:hAnsiTheme="majorBidi" w:cstheme="majorBidi"/>
          <w:sz w:val="16"/>
          <w:szCs w:val="16"/>
        </w:rPr>
        <w:t xml:space="preserve">, </w:t>
      </w:r>
      <w:proofErr w:type="gramStart"/>
      <w:r w:rsidRPr="00392B53">
        <w:rPr>
          <w:rStyle w:val="normaltextrun"/>
          <w:rFonts w:asciiTheme="majorBidi" w:eastAsia="Cambria" w:hAnsiTheme="majorBidi" w:cstheme="majorBidi"/>
          <w:sz w:val="16"/>
          <w:szCs w:val="16"/>
        </w:rPr>
        <w:t>controls</w:t>
      </w:r>
      <w:proofErr w:type="gramEnd"/>
      <w:r w:rsidRPr="00392B53">
        <w:rPr>
          <w:rStyle w:val="normaltextrun"/>
          <w:rFonts w:asciiTheme="majorBidi" w:eastAsia="Cambria" w:hAnsiTheme="majorBidi" w:cstheme="majorBidi"/>
          <w:sz w:val="16"/>
          <w:szCs w:val="16"/>
        </w:rPr>
        <w:t xml:space="preserve"> and instrument (industry </w:t>
      </w:r>
      <w:proofErr w:type="spellStart"/>
      <w:r w:rsidRPr="00392B53">
        <w:rPr>
          <w:rStyle w:val="spellingerror"/>
          <w:rFonts w:asciiTheme="majorBidi" w:hAnsiTheme="majorBidi" w:cstheme="majorBidi"/>
          <w:color w:val="000000"/>
          <w:sz w:val="16"/>
          <w:szCs w:val="16"/>
        </w:rPr>
        <w:t>median_IND_</w:t>
      </w:r>
      <w:r w:rsidR="00634A44">
        <w:rPr>
          <w:rStyle w:val="spellingerror"/>
          <w:rFonts w:asciiTheme="majorBidi" w:hAnsiTheme="majorBidi" w:cstheme="majorBidi"/>
          <w:color w:val="000000"/>
          <w:sz w:val="16"/>
          <w:szCs w:val="16"/>
        </w:rPr>
        <w:t>TVP</w:t>
      </w:r>
      <w:proofErr w:type="spellEnd"/>
      <w:r w:rsidRPr="00392B53">
        <w:rPr>
          <w:rStyle w:val="normaltextrun"/>
          <w:rFonts w:asciiTheme="majorBidi" w:eastAsia="Cambria" w:hAnsiTheme="majorBidi" w:cstheme="majorBidi"/>
          <w:sz w:val="16"/>
          <w:szCs w:val="16"/>
        </w:rPr>
        <w:t xml:space="preserve">).  The coefficients on the variable of interests: </w:t>
      </w:r>
      <w:r w:rsidR="00634A44">
        <w:rPr>
          <w:rStyle w:val="normaltextrun"/>
          <w:rFonts w:asciiTheme="majorBidi" w:eastAsia="Cambria" w:hAnsiTheme="majorBidi" w:cstheme="majorBidi"/>
          <w:sz w:val="16"/>
          <w:szCs w:val="16"/>
        </w:rPr>
        <w:t>TVP is</w:t>
      </w:r>
      <w:r w:rsidRPr="00392B53">
        <w:rPr>
          <w:rStyle w:val="normaltextrun"/>
          <w:rFonts w:asciiTheme="majorBidi" w:eastAsia="Cambria" w:hAnsiTheme="majorBidi" w:cstheme="majorBidi"/>
          <w:sz w:val="16"/>
          <w:szCs w:val="16"/>
        </w:rPr>
        <w:t xml:space="preserve"> shown in the </w:t>
      </w:r>
      <w:r w:rsidR="00634A44">
        <w:rPr>
          <w:rStyle w:val="normaltextrun"/>
          <w:rFonts w:asciiTheme="majorBidi" w:eastAsia="Cambria" w:hAnsiTheme="majorBidi" w:cstheme="majorBidi"/>
          <w:sz w:val="16"/>
          <w:szCs w:val="16"/>
        </w:rPr>
        <w:t>ROA</w:t>
      </w:r>
      <w:r w:rsidRPr="00392B53">
        <w:rPr>
          <w:rStyle w:val="normaltextrun"/>
          <w:rFonts w:asciiTheme="majorBidi" w:eastAsia="Cambria" w:hAnsiTheme="majorBidi" w:cstheme="majorBidi"/>
          <w:sz w:val="16"/>
          <w:szCs w:val="16"/>
        </w:rPr>
        <w:t xml:space="preserve"> model. The models included fixed </w:t>
      </w:r>
    </w:p>
    <w:p w14:paraId="252EEC11" w14:textId="5B2389FB" w:rsidR="0053680E" w:rsidRDefault="001E0DEF" w:rsidP="00213947">
      <w:pPr>
        <w:pStyle w:val="paragraph"/>
        <w:spacing w:before="0" w:beforeAutospacing="0" w:after="0" w:afterAutospacing="0"/>
        <w:jc w:val="both"/>
        <w:textAlignment w:val="baseline"/>
        <w:rPr>
          <w:rStyle w:val="normaltextrun"/>
          <w:rFonts w:asciiTheme="majorBidi" w:eastAsia="Cambria" w:hAnsiTheme="majorBidi" w:cstheme="majorBidi"/>
          <w:sz w:val="16"/>
          <w:szCs w:val="16"/>
        </w:rPr>
      </w:pPr>
      <w:r w:rsidRPr="00392B53">
        <w:rPr>
          <w:rStyle w:val="normaltextrun"/>
          <w:rFonts w:asciiTheme="majorBidi" w:eastAsia="Cambria" w:hAnsiTheme="majorBidi" w:cstheme="majorBidi"/>
          <w:sz w:val="16"/>
          <w:szCs w:val="16"/>
        </w:rPr>
        <w:t>effects in all estimations. The reported t-statistics based on robust standard errors. Variable definitions are described in Table I. </w:t>
      </w:r>
      <w:r w:rsidRPr="00392B53">
        <w:rPr>
          <w:rStyle w:val="normaltextrun"/>
          <w:rFonts w:asciiTheme="majorBidi" w:eastAsia="Cambria" w:hAnsiTheme="majorBidi" w:cstheme="majorBidi"/>
          <w:b/>
          <w:bCs/>
          <w:sz w:val="16"/>
          <w:szCs w:val="16"/>
        </w:rPr>
        <w:t>*</w:t>
      </w:r>
      <w:r w:rsidRPr="00392B53">
        <w:rPr>
          <w:rStyle w:val="normaltextrun"/>
          <w:rFonts w:asciiTheme="majorBidi" w:eastAsia="Cambria" w:hAnsiTheme="majorBidi" w:cstheme="majorBidi"/>
          <w:sz w:val="16"/>
          <w:szCs w:val="16"/>
        </w:rPr>
        <w:t>,</w:t>
      </w:r>
      <w:r w:rsidRPr="00392B53">
        <w:rPr>
          <w:rStyle w:val="normaltextrun"/>
          <w:rFonts w:asciiTheme="majorBidi" w:eastAsia="Cambria" w:hAnsiTheme="majorBidi" w:cstheme="majorBidi"/>
          <w:b/>
          <w:bCs/>
          <w:sz w:val="16"/>
          <w:szCs w:val="16"/>
        </w:rPr>
        <w:t> ** </w:t>
      </w:r>
      <w:r w:rsidRPr="00392B53">
        <w:rPr>
          <w:rStyle w:val="normaltextrun"/>
          <w:rFonts w:asciiTheme="majorBidi" w:eastAsia="Cambria" w:hAnsiTheme="majorBidi" w:cstheme="majorBidi"/>
          <w:sz w:val="16"/>
          <w:szCs w:val="16"/>
        </w:rPr>
        <w:t>and *** indicate statistical significance at the 10%, 5% and 1% levels respectively.</w:t>
      </w:r>
    </w:p>
    <w:p w14:paraId="7CE1383E" w14:textId="673797A2" w:rsidR="000B1951" w:rsidRDefault="000B1951" w:rsidP="00213947">
      <w:pPr>
        <w:pStyle w:val="paragraph"/>
        <w:spacing w:before="0" w:beforeAutospacing="0" w:after="0" w:afterAutospacing="0"/>
        <w:jc w:val="both"/>
        <w:textAlignment w:val="baseline"/>
        <w:rPr>
          <w:rStyle w:val="normaltextrun"/>
          <w:rFonts w:asciiTheme="majorBidi" w:eastAsia="Cambria" w:hAnsiTheme="majorBidi" w:cstheme="majorBidi"/>
          <w:sz w:val="16"/>
          <w:szCs w:val="16"/>
        </w:rPr>
      </w:pPr>
    </w:p>
    <w:p w14:paraId="5AC11E75" w14:textId="3DBA4AF7" w:rsidR="000B1951" w:rsidRDefault="000B1951" w:rsidP="00213947">
      <w:pPr>
        <w:pStyle w:val="paragraph"/>
        <w:spacing w:before="0" w:beforeAutospacing="0" w:after="0" w:afterAutospacing="0"/>
        <w:jc w:val="both"/>
        <w:textAlignment w:val="baseline"/>
        <w:rPr>
          <w:rStyle w:val="normaltextrun"/>
          <w:rFonts w:asciiTheme="majorBidi" w:eastAsia="Cambria" w:hAnsiTheme="majorBidi" w:cstheme="majorBidi"/>
          <w:sz w:val="16"/>
          <w:szCs w:val="16"/>
        </w:rPr>
      </w:pPr>
    </w:p>
    <w:p w14:paraId="474C5C6A" w14:textId="77777777" w:rsidR="000B1951" w:rsidRDefault="000B1951" w:rsidP="00213947">
      <w:pPr>
        <w:pStyle w:val="paragraph"/>
        <w:spacing w:before="0" w:beforeAutospacing="0" w:after="0" w:afterAutospacing="0"/>
        <w:jc w:val="both"/>
        <w:textAlignment w:val="baseline"/>
        <w:rPr>
          <w:rStyle w:val="normaltextrun"/>
          <w:rFonts w:asciiTheme="majorBidi" w:eastAsia="Cambria" w:hAnsiTheme="majorBidi" w:cstheme="majorBidi"/>
          <w:sz w:val="16"/>
          <w:szCs w:val="16"/>
        </w:rPr>
      </w:pPr>
    </w:p>
    <w:p w14:paraId="44A5A0B1" w14:textId="6DF683E5" w:rsidR="001E0DEF" w:rsidRPr="0053680E" w:rsidRDefault="001E0DEF" w:rsidP="00213947">
      <w:pPr>
        <w:pStyle w:val="paragraph"/>
        <w:spacing w:before="0" w:beforeAutospacing="0" w:after="0" w:afterAutospacing="0"/>
        <w:jc w:val="both"/>
        <w:textAlignment w:val="baseline"/>
        <w:rPr>
          <w:rFonts w:asciiTheme="majorBidi" w:eastAsia="Cambria" w:hAnsiTheme="majorBidi" w:cstheme="majorBidi"/>
          <w:sz w:val="18"/>
          <w:szCs w:val="18"/>
        </w:rPr>
      </w:pPr>
      <w:r w:rsidRPr="00C75A24">
        <w:rPr>
          <w:rFonts w:asciiTheme="majorBidi" w:hAnsiTheme="majorBidi" w:cstheme="majorBidi"/>
          <w:b/>
          <w:bCs/>
        </w:rPr>
        <w:t>Table 6: Managerial bonus compensation and firm performance: the role of managerial ownership, institutional ownership, board size and non-executive ownership.</w:t>
      </w:r>
    </w:p>
    <w:tbl>
      <w:tblPr>
        <w:tblW w:w="9355" w:type="dxa"/>
        <w:tblLayout w:type="fixed"/>
        <w:tblLook w:val="0000" w:firstRow="0" w:lastRow="0" w:firstColumn="0" w:lastColumn="0" w:noHBand="0" w:noVBand="0"/>
      </w:tblPr>
      <w:tblGrid>
        <w:gridCol w:w="850"/>
        <w:gridCol w:w="1035"/>
        <w:gridCol w:w="1080"/>
        <w:gridCol w:w="1170"/>
        <w:gridCol w:w="1080"/>
        <w:gridCol w:w="1170"/>
        <w:gridCol w:w="990"/>
        <w:gridCol w:w="990"/>
        <w:gridCol w:w="990"/>
      </w:tblGrid>
      <w:tr w:rsidR="001E0DEF" w:rsidRPr="0053680E" w14:paraId="5832B474" w14:textId="77777777" w:rsidTr="003D25A1">
        <w:tc>
          <w:tcPr>
            <w:tcW w:w="850" w:type="dxa"/>
            <w:tcBorders>
              <w:top w:val="single" w:sz="4" w:space="0" w:color="auto"/>
              <w:left w:val="single" w:sz="4" w:space="0" w:color="auto"/>
              <w:bottom w:val="single" w:sz="4" w:space="0" w:color="auto"/>
              <w:right w:val="single" w:sz="4" w:space="0" w:color="auto"/>
            </w:tcBorders>
          </w:tcPr>
          <w:p w14:paraId="21126F82" w14:textId="274E9D9E" w:rsidR="001E0DEF" w:rsidRPr="0053680E" w:rsidRDefault="000B1951" w:rsidP="005E39DE">
            <w:pPr>
              <w:widowControl w:val="0"/>
              <w:autoSpaceDE w:val="0"/>
              <w:autoSpaceDN w:val="0"/>
              <w:adjustRightInd w:val="0"/>
              <w:spacing w:after="0" w:line="276" w:lineRule="auto"/>
              <w:rPr>
                <w:rFonts w:asciiTheme="majorBidi" w:hAnsiTheme="majorBidi" w:cstheme="majorBidi"/>
                <w:b/>
                <w:bCs/>
                <w:sz w:val="20"/>
                <w:szCs w:val="20"/>
                <w:lang w:val="en-US"/>
              </w:rPr>
            </w:pPr>
            <w:r>
              <w:rPr>
                <w:rFonts w:asciiTheme="majorBidi" w:hAnsiTheme="majorBidi" w:cstheme="majorBidi"/>
                <w:b/>
                <w:bCs/>
                <w:sz w:val="20"/>
                <w:szCs w:val="20"/>
                <w:lang w:val="en-US"/>
              </w:rPr>
              <w:t>.</w:t>
            </w:r>
          </w:p>
        </w:tc>
        <w:tc>
          <w:tcPr>
            <w:tcW w:w="1035" w:type="dxa"/>
            <w:tcBorders>
              <w:top w:val="single" w:sz="4" w:space="0" w:color="auto"/>
              <w:left w:val="single" w:sz="4" w:space="0" w:color="auto"/>
              <w:bottom w:val="single" w:sz="4" w:space="0" w:color="auto"/>
              <w:right w:val="single" w:sz="4" w:space="0" w:color="auto"/>
            </w:tcBorders>
          </w:tcPr>
          <w:p w14:paraId="5B4C9375" w14:textId="7B5D2F91" w:rsidR="001E0DEF" w:rsidRPr="0053680E"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w:t>
            </w:r>
            <w:r w:rsidR="00A90894">
              <w:rPr>
                <w:rFonts w:asciiTheme="majorBidi" w:hAnsiTheme="majorBidi" w:cstheme="majorBidi"/>
                <w:b/>
                <w:bCs/>
                <w:sz w:val="20"/>
                <w:szCs w:val="20"/>
                <w:lang w:val="en-US"/>
              </w:rPr>
              <w:t xml:space="preserve">OLS </w:t>
            </w:r>
            <w:r w:rsidRPr="0053680E">
              <w:rPr>
                <w:rFonts w:asciiTheme="majorBidi" w:hAnsiTheme="majorBidi" w:cstheme="majorBidi"/>
                <w:b/>
                <w:bCs/>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tcPr>
          <w:p w14:paraId="23C1E96A" w14:textId="1C7051DA" w:rsidR="001E0DEF" w:rsidRPr="0053680E"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w:t>
            </w:r>
            <w:r w:rsidR="00A90894">
              <w:rPr>
                <w:rFonts w:asciiTheme="majorBidi" w:hAnsiTheme="majorBidi" w:cstheme="majorBidi"/>
                <w:b/>
                <w:bCs/>
                <w:sz w:val="20"/>
                <w:szCs w:val="20"/>
                <w:lang w:val="en-US"/>
              </w:rPr>
              <w:t>OLS</w:t>
            </w:r>
            <w:r w:rsidRPr="0053680E">
              <w:rPr>
                <w:rFonts w:asciiTheme="majorBidi" w:hAnsiTheme="majorBidi" w:cstheme="majorBidi"/>
                <w:b/>
                <w:bCs/>
                <w:sz w:val="20"/>
                <w:szCs w:val="20"/>
                <w:lang w:val="en-US"/>
              </w:rPr>
              <w:t xml:space="preserve"> 2)</w:t>
            </w:r>
          </w:p>
        </w:tc>
        <w:tc>
          <w:tcPr>
            <w:tcW w:w="1170" w:type="dxa"/>
            <w:tcBorders>
              <w:top w:val="single" w:sz="4" w:space="0" w:color="auto"/>
              <w:left w:val="single" w:sz="4" w:space="0" w:color="auto"/>
              <w:bottom w:val="single" w:sz="4" w:space="0" w:color="auto"/>
              <w:right w:val="single" w:sz="4" w:space="0" w:color="auto"/>
            </w:tcBorders>
          </w:tcPr>
          <w:p w14:paraId="61244F4A" w14:textId="51D41E59" w:rsidR="001E0DEF" w:rsidRPr="0053680E"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w:t>
            </w:r>
            <w:r w:rsidR="00A90894">
              <w:rPr>
                <w:rFonts w:asciiTheme="majorBidi" w:hAnsiTheme="majorBidi" w:cstheme="majorBidi"/>
                <w:b/>
                <w:bCs/>
                <w:sz w:val="20"/>
                <w:szCs w:val="20"/>
                <w:lang w:val="en-US"/>
              </w:rPr>
              <w:t>OLS</w:t>
            </w:r>
            <w:r w:rsidRPr="0053680E">
              <w:rPr>
                <w:rFonts w:asciiTheme="majorBidi" w:hAnsiTheme="majorBidi" w:cstheme="majorBidi"/>
                <w:b/>
                <w:bCs/>
                <w:sz w:val="20"/>
                <w:szCs w:val="20"/>
                <w:lang w:val="en-US"/>
              </w:rPr>
              <w:t xml:space="preserve"> 3)</w:t>
            </w:r>
          </w:p>
        </w:tc>
        <w:tc>
          <w:tcPr>
            <w:tcW w:w="1080" w:type="dxa"/>
            <w:tcBorders>
              <w:top w:val="single" w:sz="4" w:space="0" w:color="auto"/>
              <w:left w:val="single" w:sz="4" w:space="0" w:color="auto"/>
              <w:bottom w:val="single" w:sz="4" w:space="0" w:color="auto"/>
              <w:right w:val="single" w:sz="4" w:space="0" w:color="auto"/>
            </w:tcBorders>
          </w:tcPr>
          <w:p w14:paraId="4902A42C" w14:textId="750E043F" w:rsidR="001E0DEF" w:rsidRPr="0053680E"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w:t>
            </w:r>
            <w:r w:rsidR="00A90894">
              <w:rPr>
                <w:rFonts w:asciiTheme="majorBidi" w:hAnsiTheme="majorBidi" w:cstheme="majorBidi"/>
                <w:b/>
                <w:bCs/>
                <w:sz w:val="20"/>
                <w:szCs w:val="20"/>
                <w:lang w:val="en-US"/>
              </w:rPr>
              <w:t>OLS</w:t>
            </w:r>
            <w:r w:rsidRPr="0053680E">
              <w:rPr>
                <w:rFonts w:asciiTheme="majorBidi" w:hAnsiTheme="majorBidi" w:cstheme="majorBidi"/>
                <w:b/>
                <w:bCs/>
                <w:sz w:val="20"/>
                <w:szCs w:val="20"/>
                <w:lang w:val="en-US"/>
              </w:rPr>
              <w:t xml:space="preserve"> 4)</w:t>
            </w:r>
          </w:p>
        </w:tc>
        <w:tc>
          <w:tcPr>
            <w:tcW w:w="1170" w:type="dxa"/>
            <w:tcBorders>
              <w:top w:val="single" w:sz="4" w:space="0" w:color="auto"/>
              <w:left w:val="single" w:sz="4" w:space="0" w:color="auto"/>
              <w:bottom w:val="single" w:sz="4" w:space="0" w:color="auto"/>
              <w:right w:val="single" w:sz="4" w:space="0" w:color="auto"/>
            </w:tcBorders>
          </w:tcPr>
          <w:p w14:paraId="0561011B" w14:textId="4E20CEBE" w:rsidR="001E0DEF" w:rsidRPr="0053680E"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w:t>
            </w:r>
            <w:r w:rsidR="00A90894">
              <w:rPr>
                <w:rFonts w:asciiTheme="majorBidi" w:hAnsiTheme="majorBidi" w:cstheme="majorBidi"/>
                <w:b/>
                <w:bCs/>
                <w:sz w:val="20"/>
                <w:szCs w:val="20"/>
                <w:lang w:val="en-US"/>
              </w:rPr>
              <w:t>OLS</w:t>
            </w:r>
            <w:r w:rsidRPr="0053680E">
              <w:rPr>
                <w:rFonts w:asciiTheme="majorBidi" w:hAnsiTheme="majorBidi" w:cstheme="majorBidi"/>
                <w:b/>
                <w:bCs/>
                <w:sz w:val="20"/>
                <w:szCs w:val="20"/>
                <w:lang w:val="en-US"/>
              </w:rPr>
              <w:t xml:space="preserve"> 5)</w:t>
            </w:r>
          </w:p>
        </w:tc>
        <w:tc>
          <w:tcPr>
            <w:tcW w:w="990" w:type="dxa"/>
            <w:tcBorders>
              <w:top w:val="single" w:sz="4" w:space="0" w:color="auto"/>
              <w:left w:val="single" w:sz="4" w:space="0" w:color="auto"/>
              <w:bottom w:val="single" w:sz="4" w:space="0" w:color="auto"/>
              <w:right w:val="single" w:sz="4" w:space="0" w:color="auto"/>
            </w:tcBorders>
          </w:tcPr>
          <w:p w14:paraId="75742978" w14:textId="7BAE6178" w:rsidR="001E0DEF" w:rsidRPr="0053680E"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w:t>
            </w:r>
            <w:r w:rsidR="00A90894">
              <w:rPr>
                <w:rFonts w:asciiTheme="majorBidi" w:hAnsiTheme="majorBidi" w:cstheme="majorBidi"/>
                <w:b/>
                <w:bCs/>
                <w:sz w:val="20"/>
                <w:szCs w:val="20"/>
                <w:lang w:val="en-US"/>
              </w:rPr>
              <w:t>OLS</w:t>
            </w:r>
            <w:r w:rsidRPr="0053680E">
              <w:rPr>
                <w:rFonts w:asciiTheme="majorBidi" w:hAnsiTheme="majorBidi" w:cstheme="majorBidi"/>
                <w:b/>
                <w:bCs/>
                <w:sz w:val="20"/>
                <w:szCs w:val="20"/>
                <w:lang w:val="en-US"/>
              </w:rPr>
              <w:t xml:space="preserve"> 6)</w:t>
            </w:r>
          </w:p>
        </w:tc>
        <w:tc>
          <w:tcPr>
            <w:tcW w:w="990" w:type="dxa"/>
            <w:tcBorders>
              <w:top w:val="single" w:sz="4" w:space="0" w:color="auto"/>
              <w:left w:val="single" w:sz="4" w:space="0" w:color="auto"/>
              <w:bottom w:val="single" w:sz="4" w:space="0" w:color="auto"/>
              <w:right w:val="single" w:sz="4" w:space="0" w:color="auto"/>
            </w:tcBorders>
          </w:tcPr>
          <w:p w14:paraId="0467D76F" w14:textId="18CB70EE" w:rsidR="001E0DEF" w:rsidRPr="0053680E"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w:t>
            </w:r>
            <w:r w:rsidR="00A90894">
              <w:rPr>
                <w:rFonts w:asciiTheme="majorBidi" w:hAnsiTheme="majorBidi" w:cstheme="majorBidi"/>
                <w:b/>
                <w:bCs/>
                <w:sz w:val="20"/>
                <w:szCs w:val="20"/>
                <w:lang w:val="en-US"/>
              </w:rPr>
              <w:t>OLS</w:t>
            </w:r>
            <w:r w:rsidRPr="0053680E">
              <w:rPr>
                <w:rFonts w:asciiTheme="majorBidi" w:hAnsiTheme="majorBidi" w:cstheme="majorBidi"/>
                <w:b/>
                <w:bCs/>
                <w:sz w:val="20"/>
                <w:szCs w:val="20"/>
                <w:lang w:val="en-US"/>
              </w:rPr>
              <w:t xml:space="preserve"> 7)</w:t>
            </w:r>
          </w:p>
        </w:tc>
        <w:tc>
          <w:tcPr>
            <w:tcW w:w="990" w:type="dxa"/>
            <w:tcBorders>
              <w:top w:val="single" w:sz="4" w:space="0" w:color="auto"/>
              <w:left w:val="single" w:sz="4" w:space="0" w:color="auto"/>
              <w:bottom w:val="single" w:sz="4" w:space="0" w:color="auto"/>
              <w:right w:val="single" w:sz="4" w:space="0" w:color="auto"/>
            </w:tcBorders>
          </w:tcPr>
          <w:p w14:paraId="1EC07419" w14:textId="45F91E69" w:rsidR="001E0DEF" w:rsidRPr="0053680E"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w:t>
            </w:r>
            <w:r w:rsidR="00A90894">
              <w:rPr>
                <w:rFonts w:asciiTheme="majorBidi" w:hAnsiTheme="majorBidi" w:cstheme="majorBidi"/>
                <w:b/>
                <w:bCs/>
                <w:sz w:val="20"/>
                <w:szCs w:val="20"/>
                <w:lang w:val="en-US"/>
              </w:rPr>
              <w:t>OLS</w:t>
            </w:r>
            <w:r w:rsidRPr="0053680E">
              <w:rPr>
                <w:rFonts w:asciiTheme="majorBidi" w:hAnsiTheme="majorBidi" w:cstheme="majorBidi"/>
                <w:b/>
                <w:bCs/>
                <w:sz w:val="20"/>
                <w:szCs w:val="20"/>
                <w:lang w:val="en-US"/>
              </w:rPr>
              <w:t xml:space="preserve"> 8)</w:t>
            </w:r>
          </w:p>
        </w:tc>
      </w:tr>
      <w:tr w:rsidR="001E0DEF" w:rsidRPr="0053680E" w14:paraId="40514218" w14:textId="77777777" w:rsidTr="003D25A1">
        <w:tc>
          <w:tcPr>
            <w:tcW w:w="850" w:type="dxa"/>
            <w:tcBorders>
              <w:top w:val="single" w:sz="4" w:space="0" w:color="auto"/>
              <w:left w:val="single" w:sz="4" w:space="0" w:color="auto"/>
              <w:bottom w:val="single" w:sz="4" w:space="0" w:color="auto"/>
              <w:right w:val="single" w:sz="4" w:space="0" w:color="auto"/>
            </w:tcBorders>
          </w:tcPr>
          <w:p w14:paraId="2C41AA06" w14:textId="77777777" w:rsidR="001E0DEF" w:rsidRPr="0053680E" w:rsidRDefault="001E0DEF" w:rsidP="005E39DE">
            <w:pPr>
              <w:widowControl w:val="0"/>
              <w:autoSpaceDE w:val="0"/>
              <w:autoSpaceDN w:val="0"/>
              <w:adjustRightInd w:val="0"/>
              <w:spacing w:after="0" w:line="276" w:lineRule="auto"/>
              <w:rPr>
                <w:rFonts w:asciiTheme="majorBidi" w:hAnsiTheme="majorBidi" w:cstheme="majorBidi"/>
                <w:b/>
                <w:bCs/>
                <w:sz w:val="20"/>
                <w:szCs w:val="20"/>
                <w:lang w:val="en-US"/>
              </w:rPr>
            </w:pPr>
          </w:p>
        </w:tc>
        <w:tc>
          <w:tcPr>
            <w:tcW w:w="1035" w:type="dxa"/>
            <w:tcBorders>
              <w:top w:val="single" w:sz="4" w:space="0" w:color="auto"/>
              <w:left w:val="single" w:sz="4" w:space="0" w:color="auto"/>
              <w:bottom w:val="single" w:sz="4" w:space="0" w:color="auto"/>
              <w:right w:val="single" w:sz="4" w:space="0" w:color="auto"/>
            </w:tcBorders>
          </w:tcPr>
          <w:p w14:paraId="6E246086" w14:textId="77777777" w:rsidR="001E0DEF" w:rsidRPr="0053680E"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ROA</w:t>
            </w:r>
          </w:p>
        </w:tc>
        <w:tc>
          <w:tcPr>
            <w:tcW w:w="1080" w:type="dxa"/>
            <w:tcBorders>
              <w:top w:val="single" w:sz="4" w:space="0" w:color="auto"/>
              <w:left w:val="single" w:sz="4" w:space="0" w:color="auto"/>
              <w:bottom w:val="single" w:sz="4" w:space="0" w:color="auto"/>
              <w:right w:val="single" w:sz="4" w:space="0" w:color="auto"/>
            </w:tcBorders>
          </w:tcPr>
          <w:p w14:paraId="0497E54D" w14:textId="77777777" w:rsidR="001E0DEF" w:rsidRPr="0053680E"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ROA</w:t>
            </w:r>
          </w:p>
        </w:tc>
        <w:tc>
          <w:tcPr>
            <w:tcW w:w="1170" w:type="dxa"/>
            <w:tcBorders>
              <w:top w:val="single" w:sz="4" w:space="0" w:color="auto"/>
              <w:left w:val="single" w:sz="4" w:space="0" w:color="auto"/>
              <w:bottom w:val="single" w:sz="4" w:space="0" w:color="auto"/>
              <w:right w:val="single" w:sz="4" w:space="0" w:color="auto"/>
            </w:tcBorders>
          </w:tcPr>
          <w:p w14:paraId="52446EBF" w14:textId="77777777" w:rsidR="001E0DEF" w:rsidRPr="0053680E"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ROA</w:t>
            </w:r>
          </w:p>
        </w:tc>
        <w:tc>
          <w:tcPr>
            <w:tcW w:w="1080" w:type="dxa"/>
            <w:tcBorders>
              <w:top w:val="single" w:sz="4" w:space="0" w:color="auto"/>
              <w:left w:val="single" w:sz="4" w:space="0" w:color="auto"/>
              <w:bottom w:val="single" w:sz="4" w:space="0" w:color="auto"/>
              <w:right w:val="single" w:sz="4" w:space="0" w:color="auto"/>
            </w:tcBorders>
          </w:tcPr>
          <w:p w14:paraId="265982EF" w14:textId="77777777" w:rsidR="001E0DEF" w:rsidRPr="0053680E"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ROA</w:t>
            </w:r>
          </w:p>
        </w:tc>
        <w:tc>
          <w:tcPr>
            <w:tcW w:w="1170" w:type="dxa"/>
            <w:tcBorders>
              <w:top w:val="single" w:sz="4" w:space="0" w:color="auto"/>
              <w:left w:val="single" w:sz="4" w:space="0" w:color="auto"/>
              <w:bottom w:val="single" w:sz="4" w:space="0" w:color="auto"/>
              <w:right w:val="single" w:sz="4" w:space="0" w:color="auto"/>
            </w:tcBorders>
          </w:tcPr>
          <w:p w14:paraId="5300D3BB" w14:textId="77777777" w:rsidR="001E0DEF" w:rsidRPr="0053680E"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ROA</w:t>
            </w:r>
          </w:p>
        </w:tc>
        <w:tc>
          <w:tcPr>
            <w:tcW w:w="990" w:type="dxa"/>
            <w:tcBorders>
              <w:top w:val="single" w:sz="4" w:space="0" w:color="auto"/>
              <w:left w:val="single" w:sz="4" w:space="0" w:color="auto"/>
              <w:bottom w:val="single" w:sz="4" w:space="0" w:color="auto"/>
              <w:right w:val="single" w:sz="4" w:space="0" w:color="auto"/>
            </w:tcBorders>
          </w:tcPr>
          <w:p w14:paraId="61C77CA8" w14:textId="77777777" w:rsidR="001E0DEF" w:rsidRPr="0053680E"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ROA</w:t>
            </w:r>
          </w:p>
        </w:tc>
        <w:tc>
          <w:tcPr>
            <w:tcW w:w="990" w:type="dxa"/>
            <w:tcBorders>
              <w:top w:val="single" w:sz="4" w:space="0" w:color="auto"/>
              <w:left w:val="single" w:sz="4" w:space="0" w:color="auto"/>
              <w:bottom w:val="single" w:sz="4" w:space="0" w:color="auto"/>
              <w:right w:val="single" w:sz="4" w:space="0" w:color="auto"/>
            </w:tcBorders>
          </w:tcPr>
          <w:p w14:paraId="3D061D10" w14:textId="77777777" w:rsidR="001E0DEF" w:rsidRPr="0053680E"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ROA</w:t>
            </w:r>
          </w:p>
        </w:tc>
        <w:tc>
          <w:tcPr>
            <w:tcW w:w="990" w:type="dxa"/>
            <w:tcBorders>
              <w:top w:val="single" w:sz="4" w:space="0" w:color="auto"/>
              <w:left w:val="single" w:sz="4" w:space="0" w:color="auto"/>
              <w:bottom w:val="single" w:sz="4" w:space="0" w:color="auto"/>
              <w:right w:val="single" w:sz="4" w:space="0" w:color="auto"/>
            </w:tcBorders>
          </w:tcPr>
          <w:p w14:paraId="2E95B519" w14:textId="77777777" w:rsidR="001E0DEF" w:rsidRPr="0053680E" w:rsidRDefault="001E0DEF" w:rsidP="005E39DE">
            <w:pPr>
              <w:widowControl w:val="0"/>
              <w:autoSpaceDE w:val="0"/>
              <w:autoSpaceDN w:val="0"/>
              <w:adjustRightInd w:val="0"/>
              <w:spacing w:after="0" w:line="276"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ROA</w:t>
            </w:r>
          </w:p>
        </w:tc>
      </w:tr>
      <w:tr w:rsidR="001E0DEF" w:rsidRPr="0053680E" w14:paraId="39407476" w14:textId="77777777" w:rsidTr="003D25A1">
        <w:tc>
          <w:tcPr>
            <w:tcW w:w="850" w:type="dxa"/>
            <w:tcBorders>
              <w:top w:val="single" w:sz="4" w:space="0" w:color="auto"/>
              <w:left w:val="nil"/>
              <w:bottom w:val="nil"/>
              <w:right w:val="nil"/>
            </w:tcBorders>
          </w:tcPr>
          <w:p w14:paraId="08616D8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r w:rsidRPr="0053680E">
              <w:rPr>
                <w:rFonts w:asciiTheme="majorBidi" w:hAnsiTheme="majorBidi" w:cstheme="majorBidi"/>
                <w:b/>
                <w:bCs/>
                <w:sz w:val="20"/>
                <w:szCs w:val="20"/>
                <w:lang w:val="en-US"/>
              </w:rPr>
              <w:t>TVP</w:t>
            </w:r>
          </w:p>
        </w:tc>
        <w:tc>
          <w:tcPr>
            <w:tcW w:w="1035" w:type="dxa"/>
            <w:tcBorders>
              <w:top w:val="single" w:sz="4" w:space="0" w:color="auto"/>
              <w:left w:val="nil"/>
              <w:bottom w:val="nil"/>
              <w:right w:val="nil"/>
            </w:tcBorders>
          </w:tcPr>
          <w:p w14:paraId="1CB3D9F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1.685</w:t>
            </w:r>
            <w:r w:rsidRPr="0053680E">
              <w:rPr>
                <w:rFonts w:asciiTheme="majorBidi" w:hAnsiTheme="majorBidi" w:cstheme="majorBidi"/>
                <w:sz w:val="20"/>
                <w:szCs w:val="20"/>
                <w:vertAlign w:val="superscript"/>
                <w:lang w:val="en-US"/>
              </w:rPr>
              <w:t>***</w:t>
            </w:r>
          </w:p>
        </w:tc>
        <w:tc>
          <w:tcPr>
            <w:tcW w:w="1080" w:type="dxa"/>
            <w:tcBorders>
              <w:top w:val="single" w:sz="4" w:space="0" w:color="auto"/>
              <w:left w:val="nil"/>
              <w:bottom w:val="nil"/>
              <w:right w:val="nil"/>
            </w:tcBorders>
          </w:tcPr>
          <w:p w14:paraId="3ABCBCB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2.055</w:t>
            </w:r>
            <w:r w:rsidRPr="0053680E">
              <w:rPr>
                <w:rFonts w:asciiTheme="majorBidi" w:hAnsiTheme="majorBidi" w:cstheme="majorBidi"/>
                <w:sz w:val="20"/>
                <w:szCs w:val="20"/>
                <w:vertAlign w:val="superscript"/>
                <w:lang w:val="en-US"/>
              </w:rPr>
              <w:t>***</w:t>
            </w:r>
          </w:p>
        </w:tc>
        <w:tc>
          <w:tcPr>
            <w:tcW w:w="1170" w:type="dxa"/>
            <w:tcBorders>
              <w:top w:val="single" w:sz="4" w:space="0" w:color="auto"/>
              <w:left w:val="nil"/>
              <w:bottom w:val="nil"/>
              <w:right w:val="nil"/>
            </w:tcBorders>
          </w:tcPr>
          <w:p w14:paraId="75A1250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1.862</w:t>
            </w:r>
            <w:r w:rsidRPr="0053680E">
              <w:rPr>
                <w:rFonts w:asciiTheme="majorBidi" w:hAnsiTheme="majorBidi" w:cstheme="majorBidi"/>
                <w:sz w:val="20"/>
                <w:szCs w:val="20"/>
                <w:vertAlign w:val="superscript"/>
                <w:lang w:val="en-US"/>
              </w:rPr>
              <w:t>***</w:t>
            </w:r>
          </w:p>
        </w:tc>
        <w:tc>
          <w:tcPr>
            <w:tcW w:w="1080" w:type="dxa"/>
            <w:tcBorders>
              <w:top w:val="single" w:sz="4" w:space="0" w:color="auto"/>
              <w:left w:val="nil"/>
              <w:bottom w:val="nil"/>
              <w:right w:val="nil"/>
            </w:tcBorders>
          </w:tcPr>
          <w:p w14:paraId="4216683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1.502</w:t>
            </w:r>
            <w:r w:rsidRPr="0053680E">
              <w:rPr>
                <w:rFonts w:asciiTheme="majorBidi" w:hAnsiTheme="majorBidi" w:cstheme="majorBidi"/>
                <w:sz w:val="20"/>
                <w:szCs w:val="20"/>
                <w:vertAlign w:val="superscript"/>
                <w:lang w:val="en-US"/>
              </w:rPr>
              <w:t>***</w:t>
            </w:r>
          </w:p>
        </w:tc>
        <w:tc>
          <w:tcPr>
            <w:tcW w:w="1170" w:type="dxa"/>
            <w:tcBorders>
              <w:top w:val="single" w:sz="4" w:space="0" w:color="auto"/>
              <w:left w:val="nil"/>
              <w:bottom w:val="nil"/>
              <w:right w:val="nil"/>
            </w:tcBorders>
          </w:tcPr>
          <w:p w14:paraId="70A9DF2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2.205</w:t>
            </w:r>
            <w:r w:rsidRPr="0053680E">
              <w:rPr>
                <w:rFonts w:asciiTheme="majorBidi" w:hAnsiTheme="majorBidi" w:cstheme="majorBidi"/>
                <w:sz w:val="20"/>
                <w:szCs w:val="20"/>
                <w:vertAlign w:val="superscript"/>
                <w:lang w:val="en-US"/>
              </w:rPr>
              <w:t>***</w:t>
            </w:r>
          </w:p>
        </w:tc>
        <w:tc>
          <w:tcPr>
            <w:tcW w:w="990" w:type="dxa"/>
            <w:tcBorders>
              <w:top w:val="single" w:sz="4" w:space="0" w:color="auto"/>
              <w:left w:val="nil"/>
              <w:bottom w:val="nil"/>
              <w:right w:val="nil"/>
            </w:tcBorders>
          </w:tcPr>
          <w:p w14:paraId="3FE3943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1.254</w:t>
            </w:r>
            <w:r w:rsidRPr="0053680E">
              <w:rPr>
                <w:rFonts w:asciiTheme="majorBidi" w:hAnsiTheme="majorBidi" w:cstheme="majorBidi"/>
                <w:sz w:val="20"/>
                <w:szCs w:val="20"/>
                <w:vertAlign w:val="superscript"/>
                <w:lang w:val="en-US"/>
              </w:rPr>
              <w:t>***</w:t>
            </w:r>
          </w:p>
        </w:tc>
        <w:tc>
          <w:tcPr>
            <w:tcW w:w="990" w:type="dxa"/>
            <w:tcBorders>
              <w:top w:val="single" w:sz="4" w:space="0" w:color="auto"/>
              <w:left w:val="nil"/>
              <w:bottom w:val="nil"/>
              <w:right w:val="nil"/>
            </w:tcBorders>
          </w:tcPr>
          <w:p w14:paraId="18B9FE4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1.967</w:t>
            </w:r>
            <w:r w:rsidRPr="0053680E">
              <w:rPr>
                <w:rFonts w:asciiTheme="majorBidi" w:hAnsiTheme="majorBidi" w:cstheme="majorBidi"/>
                <w:sz w:val="20"/>
                <w:szCs w:val="20"/>
                <w:vertAlign w:val="superscript"/>
                <w:lang w:val="en-US"/>
              </w:rPr>
              <w:t>***</w:t>
            </w:r>
          </w:p>
        </w:tc>
        <w:tc>
          <w:tcPr>
            <w:tcW w:w="990" w:type="dxa"/>
            <w:tcBorders>
              <w:top w:val="single" w:sz="4" w:space="0" w:color="auto"/>
              <w:left w:val="nil"/>
              <w:bottom w:val="nil"/>
              <w:right w:val="nil"/>
            </w:tcBorders>
          </w:tcPr>
          <w:p w14:paraId="325D1D7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1.639</w:t>
            </w:r>
            <w:r w:rsidRPr="0053680E">
              <w:rPr>
                <w:rFonts w:asciiTheme="majorBidi" w:hAnsiTheme="majorBidi" w:cstheme="majorBidi"/>
                <w:sz w:val="20"/>
                <w:szCs w:val="20"/>
                <w:vertAlign w:val="superscript"/>
                <w:lang w:val="en-US"/>
              </w:rPr>
              <w:t>***</w:t>
            </w:r>
          </w:p>
        </w:tc>
      </w:tr>
      <w:tr w:rsidR="001E0DEF" w:rsidRPr="0053680E" w14:paraId="1AE3B1FC" w14:textId="77777777" w:rsidTr="003D25A1">
        <w:tc>
          <w:tcPr>
            <w:tcW w:w="850" w:type="dxa"/>
            <w:tcBorders>
              <w:top w:val="nil"/>
              <w:left w:val="nil"/>
              <w:bottom w:val="nil"/>
              <w:right w:val="nil"/>
            </w:tcBorders>
          </w:tcPr>
          <w:p w14:paraId="78C0B3F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13C540E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(4.09)</w:t>
            </w:r>
          </w:p>
        </w:tc>
        <w:tc>
          <w:tcPr>
            <w:tcW w:w="1080" w:type="dxa"/>
            <w:tcBorders>
              <w:top w:val="nil"/>
              <w:left w:val="nil"/>
              <w:bottom w:val="nil"/>
              <w:right w:val="nil"/>
            </w:tcBorders>
          </w:tcPr>
          <w:p w14:paraId="1156E77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(4.92)</w:t>
            </w:r>
          </w:p>
        </w:tc>
        <w:tc>
          <w:tcPr>
            <w:tcW w:w="1170" w:type="dxa"/>
            <w:tcBorders>
              <w:top w:val="nil"/>
              <w:left w:val="nil"/>
              <w:bottom w:val="nil"/>
              <w:right w:val="nil"/>
            </w:tcBorders>
          </w:tcPr>
          <w:p w14:paraId="4DFA46A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(5.14)</w:t>
            </w:r>
          </w:p>
        </w:tc>
        <w:tc>
          <w:tcPr>
            <w:tcW w:w="1080" w:type="dxa"/>
            <w:tcBorders>
              <w:top w:val="nil"/>
              <w:left w:val="nil"/>
              <w:bottom w:val="nil"/>
              <w:right w:val="nil"/>
            </w:tcBorders>
          </w:tcPr>
          <w:p w14:paraId="1576262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(4.83)</w:t>
            </w:r>
          </w:p>
        </w:tc>
        <w:tc>
          <w:tcPr>
            <w:tcW w:w="1170" w:type="dxa"/>
            <w:tcBorders>
              <w:top w:val="nil"/>
              <w:left w:val="nil"/>
              <w:bottom w:val="nil"/>
              <w:right w:val="nil"/>
            </w:tcBorders>
          </w:tcPr>
          <w:p w14:paraId="70A26EB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(4.94)</w:t>
            </w:r>
          </w:p>
        </w:tc>
        <w:tc>
          <w:tcPr>
            <w:tcW w:w="990" w:type="dxa"/>
            <w:tcBorders>
              <w:top w:val="nil"/>
              <w:left w:val="nil"/>
              <w:bottom w:val="nil"/>
              <w:right w:val="nil"/>
            </w:tcBorders>
          </w:tcPr>
          <w:p w14:paraId="227D9C4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(3.78)</w:t>
            </w:r>
          </w:p>
        </w:tc>
        <w:tc>
          <w:tcPr>
            <w:tcW w:w="990" w:type="dxa"/>
            <w:tcBorders>
              <w:top w:val="nil"/>
              <w:left w:val="nil"/>
              <w:bottom w:val="nil"/>
              <w:right w:val="nil"/>
            </w:tcBorders>
          </w:tcPr>
          <w:p w14:paraId="47E0FBC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(4.94)</w:t>
            </w:r>
          </w:p>
        </w:tc>
        <w:tc>
          <w:tcPr>
            <w:tcW w:w="990" w:type="dxa"/>
            <w:tcBorders>
              <w:top w:val="nil"/>
              <w:left w:val="nil"/>
              <w:bottom w:val="nil"/>
              <w:right w:val="nil"/>
            </w:tcBorders>
          </w:tcPr>
          <w:p w14:paraId="1D27CCA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(3.93)</w:t>
            </w:r>
          </w:p>
        </w:tc>
      </w:tr>
      <w:tr w:rsidR="001E0DEF" w:rsidRPr="0053680E" w14:paraId="70F52AD0" w14:textId="77777777" w:rsidTr="003D25A1">
        <w:tc>
          <w:tcPr>
            <w:tcW w:w="850" w:type="dxa"/>
            <w:tcBorders>
              <w:top w:val="nil"/>
              <w:left w:val="nil"/>
              <w:bottom w:val="nil"/>
              <w:right w:val="nil"/>
            </w:tcBorders>
          </w:tcPr>
          <w:p w14:paraId="2C2FDFA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43A49C2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1D06853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1E325A8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0CC830C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7703470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3C905D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61F15CA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037D175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6EA5E5EE" w14:textId="77777777" w:rsidTr="003D25A1">
        <w:tc>
          <w:tcPr>
            <w:tcW w:w="850" w:type="dxa"/>
            <w:tcBorders>
              <w:top w:val="nil"/>
              <w:left w:val="nil"/>
              <w:bottom w:val="nil"/>
              <w:right w:val="nil"/>
            </w:tcBorders>
          </w:tcPr>
          <w:p w14:paraId="08784EF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TFP</w:t>
            </w:r>
          </w:p>
        </w:tc>
        <w:tc>
          <w:tcPr>
            <w:tcW w:w="1035" w:type="dxa"/>
            <w:tcBorders>
              <w:top w:val="nil"/>
              <w:left w:val="nil"/>
              <w:bottom w:val="nil"/>
              <w:right w:val="nil"/>
            </w:tcBorders>
          </w:tcPr>
          <w:p w14:paraId="0A7A5F0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-1.366</w:t>
            </w:r>
          </w:p>
        </w:tc>
        <w:tc>
          <w:tcPr>
            <w:tcW w:w="1080" w:type="dxa"/>
            <w:tcBorders>
              <w:top w:val="nil"/>
              <w:left w:val="nil"/>
              <w:bottom w:val="nil"/>
              <w:right w:val="nil"/>
            </w:tcBorders>
          </w:tcPr>
          <w:p w14:paraId="139C6EB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-1.328</w:t>
            </w:r>
          </w:p>
        </w:tc>
        <w:tc>
          <w:tcPr>
            <w:tcW w:w="1170" w:type="dxa"/>
            <w:tcBorders>
              <w:top w:val="nil"/>
              <w:left w:val="nil"/>
              <w:bottom w:val="nil"/>
              <w:right w:val="nil"/>
            </w:tcBorders>
          </w:tcPr>
          <w:p w14:paraId="734FBD1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-1.761</w:t>
            </w:r>
          </w:p>
        </w:tc>
        <w:tc>
          <w:tcPr>
            <w:tcW w:w="1080" w:type="dxa"/>
            <w:tcBorders>
              <w:top w:val="nil"/>
              <w:left w:val="nil"/>
              <w:bottom w:val="nil"/>
              <w:right w:val="nil"/>
            </w:tcBorders>
          </w:tcPr>
          <w:p w14:paraId="5516030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-1.220</w:t>
            </w:r>
          </w:p>
        </w:tc>
        <w:tc>
          <w:tcPr>
            <w:tcW w:w="1170" w:type="dxa"/>
            <w:tcBorders>
              <w:top w:val="nil"/>
              <w:left w:val="nil"/>
              <w:bottom w:val="nil"/>
              <w:right w:val="nil"/>
            </w:tcBorders>
          </w:tcPr>
          <w:p w14:paraId="488018E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-1.527</w:t>
            </w:r>
          </w:p>
        </w:tc>
        <w:tc>
          <w:tcPr>
            <w:tcW w:w="990" w:type="dxa"/>
            <w:tcBorders>
              <w:top w:val="nil"/>
              <w:left w:val="nil"/>
              <w:bottom w:val="nil"/>
              <w:right w:val="nil"/>
            </w:tcBorders>
          </w:tcPr>
          <w:p w14:paraId="754880E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-1.387</w:t>
            </w:r>
          </w:p>
        </w:tc>
        <w:tc>
          <w:tcPr>
            <w:tcW w:w="990" w:type="dxa"/>
            <w:tcBorders>
              <w:top w:val="nil"/>
              <w:left w:val="nil"/>
              <w:bottom w:val="nil"/>
              <w:right w:val="nil"/>
            </w:tcBorders>
          </w:tcPr>
          <w:p w14:paraId="79860B1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-1.424</w:t>
            </w:r>
          </w:p>
        </w:tc>
        <w:tc>
          <w:tcPr>
            <w:tcW w:w="990" w:type="dxa"/>
            <w:tcBorders>
              <w:top w:val="nil"/>
              <w:left w:val="nil"/>
              <w:bottom w:val="nil"/>
              <w:right w:val="nil"/>
            </w:tcBorders>
          </w:tcPr>
          <w:p w14:paraId="26643DD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-1.424</w:t>
            </w:r>
          </w:p>
        </w:tc>
      </w:tr>
      <w:tr w:rsidR="001E0DEF" w:rsidRPr="0053680E" w14:paraId="4DD34308" w14:textId="77777777" w:rsidTr="003D25A1">
        <w:tc>
          <w:tcPr>
            <w:tcW w:w="850" w:type="dxa"/>
            <w:tcBorders>
              <w:top w:val="nil"/>
              <w:left w:val="nil"/>
              <w:bottom w:val="nil"/>
              <w:right w:val="nil"/>
            </w:tcBorders>
          </w:tcPr>
          <w:p w14:paraId="6D72C07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664E695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(-0.86)</w:t>
            </w:r>
          </w:p>
        </w:tc>
        <w:tc>
          <w:tcPr>
            <w:tcW w:w="1080" w:type="dxa"/>
            <w:tcBorders>
              <w:top w:val="nil"/>
              <w:left w:val="nil"/>
              <w:bottom w:val="nil"/>
              <w:right w:val="nil"/>
            </w:tcBorders>
          </w:tcPr>
          <w:p w14:paraId="692D611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(-0.86)</w:t>
            </w:r>
          </w:p>
        </w:tc>
        <w:tc>
          <w:tcPr>
            <w:tcW w:w="1170" w:type="dxa"/>
            <w:tcBorders>
              <w:top w:val="nil"/>
              <w:left w:val="nil"/>
              <w:bottom w:val="nil"/>
              <w:right w:val="nil"/>
            </w:tcBorders>
          </w:tcPr>
          <w:p w14:paraId="0CF37C3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(-1.11)</w:t>
            </w:r>
          </w:p>
        </w:tc>
        <w:tc>
          <w:tcPr>
            <w:tcW w:w="1080" w:type="dxa"/>
            <w:tcBorders>
              <w:top w:val="nil"/>
              <w:left w:val="nil"/>
              <w:bottom w:val="nil"/>
              <w:right w:val="nil"/>
            </w:tcBorders>
          </w:tcPr>
          <w:p w14:paraId="73F0116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(-0.79)</w:t>
            </w:r>
          </w:p>
        </w:tc>
        <w:tc>
          <w:tcPr>
            <w:tcW w:w="1170" w:type="dxa"/>
            <w:tcBorders>
              <w:top w:val="nil"/>
              <w:left w:val="nil"/>
              <w:bottom w:val="nil"/>
              <w:right w:val="nil"/>
            </w:tcBorders>
          </w:tcPr>
          <w:p w14:paraId="5BD99A8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(-0.98)</w:t>
            </w:r>
          </w:p>
        </w:tc>
        <w:tc>
          <w:tcPr>
            <w:tcW w:w="990" w:type="dxa"/>
            <w:tcBorders>
              <w:top w:val="nil"/>
              <w:left w:val="nil"/>
              <w:bottom w:val="nil"/>
              <w:right w:val="nil"/>
            </w:tcBorders>
          </w:tcPr>
          <w:p w14:paraId="460AFB2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(-0.90)</w:t>
            </w:r>
          </w:p>
        </w:tc>
        <w:tc>
          <w:tcPr>
            <w:tcW w:w="990" w:type="dxa"/>
            <w:tcBorders>
              <w:top w:val="nil"/>
              <w:left w:val="nil"/>
              <w:bottom w:val="nil"/>
              <w:right w:val="nil"/>
            </w:tcBorders>
          </w:tcPr>
          <w:p w14:paraId="2E51B82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(-0.92)</w:t>
            </w:r>
          </w:p>
        </w:tc>
        <w:tc>
          <w:tcPr>
            <w:tcW w:w="990" w:type="dxa"/>
            <w:tcBorders>
              <w:top w:val="nil"/>
              <w:left w:val="nil"/>
              <w:bottom w:val="nil"/>
              <w:right w:val="nil"/>
            </w:tcBorders>
          </w:tcPr>
          <w:p w14:paraId="101341E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(-0.93)</w:t>
            </w:r>
          </w:p>
        </w:tc>
      </w:tr>
      <w:tr w:rsidR="001E0DEF" w:rsidRPr="0053680E" w14:paraId="05B82C5E" w14:textId="77777777" w:rsidTr="003D25A1">
        <w:tc>
          <w:tcPr>
            <w:tcW w:w="850" w:type="dxa"/>
            <w:tcBorders>
              <w:top w:val="nil"/>
              <w:left w:val="nil"/>
              <w:bottom w:val="nil"/>
              <w:right w:val="nil"/>
            </w:tcBorders>
          </w:tcPr>
          <w:p w14:paraId="3CBF722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178A4F3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300E4BD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2F808D4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71B81D7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3F4FBED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715A13B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27B2BE0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0F31D4A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3781D70C" w14:textId="77777777" w:rsidTr="003D25A1">
        <w:tc>
          <w:tcPr>
            <w:tcW w:w="850" w:type="dxa"/>
            <w:tcBorders>
              <w:top w:val="nil"/>
              <w:left w:val="nil"/>
              <w:bottom w:val="nil"/>
              <w:right w:val="nil"/>
            </w:tcBorders>
          </w:tcPr>
          <w:p w14:paraId="058AC4E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SZ</w:t>
            </w:r>
          </w:p>
        </w:tc>
        <w:tc>
          <w:tcPr>
            <w:tcW w:w="1035" w:type="dxa"/>
            <w:tcBorders>
              <w:top w:val="nil"/>
              <w:left w:val="nil"/>
              <w:bottom w:val="nil"/>
              <w:right w:val="nil"/>
            </w:tcBorders>
          </w:tcPr>
          <w:p w14:paraId="37AF9E1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-3.582</w:t>
            </w:r>
            <w:r w:rsidRPr="0053680E">
              <w:rPr>
                <w:rFonts w:asciiTheme="majorBidi" w:hAnsiTheme="majorBidi" w:cstheme="majorBidi"/>
                <w:sz w:val="20"/>
                <w:szCs w:val="20"/>
                <w:vertAlign w:val="superscript"/>
                <w:lang w:val="en-US"/>
              </w:rPr>
              <w:t>***</w:t>
            </w:r>
          </w:p>
        </w:tc>
        <w:tc>
          <w:tcPr>
            <w:tcW w:w="1080" w:type="dxa"/>
            <w:tcBorders>
              <w:top w:val="nil"/>
              <w:left w:val="nil"/>
              <w:bottom w:val="nil"/>
              <w:right w:val="nil"/>
            </w:tcBorders>
          </w:tcPr>
          <w:p w14:paraId="6750B49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-3.723</w:t>
            </w:r>
            <w:r w:rsidRPr="0053680E">
              <w:rPr>
                <w:rFonts w:asciiTheme="majorBidi" w:hAnsiTheme="majorBidi" w:cstheme="majorBidi"/>
                <w:sz w:val="20"/>
                <w:szCs w:val="20"/>
                <w:vertAlign w:val="superscript"/>
                <w:lang w:val="en-US"/>
              </w:rPr>
              <w:t>***</w:t>
            </w:r>
          </w:p>
        </w:tc>
        <w:tc>
          <w:tcPr>
            <w:tcW w:w="1170" w:type="dxa"/>
            <w:tcBorders>
              <w:top w:val="nil"/>
              <w:left w:val="nil"/>
              <w:bottom w:val="nil"/>
              <w:right w:val="nil"/>
            </w:tcBorders>
          </w:tcPr>
          <w:p w14:paraId="1E2CF5B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-3.431</w:t>
            </w:r>
            <w:r w:rsidRPr="0053680E">
              <w:rPr>
                <w:rFonts w:asciiTheme="majorBidi" w:hAnsiTheme="majorBidi" w:cstheme="majorBidi"/>
                <w:sz w:val="20"/>
                <w:szCs w:val="20"/>
                <w:vertAlign w:val="superscript"/>
                <w:lang w:val="en-US"/>
              </w:rPr>
              <w:t>***</w:t>
            </w:r>
          </w:p>
        </w:tc>
        <w:tc>
          <w:tcPr>
            <w:tcW w:w="1080" w:type="dxa"/>
            <w:tcBorders>
              <w:top w:val="nil"/>
              <w:left w:val="nil"/>
              <w:bottom w:val="nil"/>
              <w:right w:val="nil"/>
            </w:tcBorders>
          </w:tcPr>
          <w:p w14:paraId="3DDA9CA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-3.801</w:t>
            </w:r>
            <w:r w:rsidRPr="0053680E">
              <w:rPr>
                <w:rFonts w:asciiTheme="majorBidi" w:hAnsiTheme="majorBidi" w:cstheme="majorBidi"/>
                <w:sz w:val="20"/>
                <w:szCs w:val="20"/>
                <w:vertAlign w:val="superscript"/>
                <w:lang w:val="en-US"/>
              </w:rPr>
              <w:t>***</w:t>
            </w:r>
          </w:p>
        </w:tc>
        <w:tc>
          <w:tcPr>
            <w:tcW w:w="1170" w:type="dxa"/>
            <w:tcBorders>
              <w:top w:val="nil"/>
              <w:left w:val="nil"/>
              <w:bottom w:val="nil"/>
              <w:right w:val="nil"/>
            </w:tcBorders>
          </w:tcPr>
          <w:p w14:paraId="06B7CD1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-3.720</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5442D35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-3.789</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22B2024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-3.587</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220F141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-4.163</w:t>
            </w:r>
            <w:r w:rsidRPr="0053680E">
              <w:rPr>
                <w:rFonts w:asciiTheme="majorBidi" w:hAnsiTheme="majorBidi" w:cstheme="majorBidi"/>
                <w:sz w:val="20"/>
                <w:szCs w:val="20"/>
                <w:vertAlign w:val="superscript"/>
                <w:lang w:val="en-US"/>
              </w:rPr>
              <w:t>***</w:t>
            </w:r>
          </w:p>
        </w:tc>
      </w:tr>
      <w:tr w:rsidR="001E0DEF" w:rsidRPr="0053680E" w14:paraId="06348754" w14:textId="77777777" w:rsidTr="003D25A1">
        <w:tc>
          <w:tcPr>
            <w:tcW w:w="850" w:type="dxa"/>
            <w:tcBorders>
              <w:top w:val="nil"/>
              <w:left w:val="nil"/>
              <w:bottom w:val="nil"/>
              <w:right w:val="nil"/>
            </w:tcBorders>
          </w:tcPr>
          <w:p w14:paraId="0B23BF6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7572964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(-3.97)</w:t>
            </w:r>
          </w:p>
        </w:tc>
        <w:tc>
          <w:tcPr>
            <w:tcW w:w="1080" w:type="dxa"/>
            <w:tcBorders>
              <w:top w:val="nil"/>
              <w:left w:val="nil"/>
              <w:bottom w:val="nil"/>
              <w:right w:val="nil"/>
            </w:tcBorders>
          </w:tcPr>
          <w:p w14:paraId="47FCF78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(-4.23)</w:t>
            </w:r>
          </w:p>
        </w:tc>
        <w:tc>
          <w:tcPr>
            <w:tcW w:w="1170" w:type="dxa"/>
            <w:tcBorders>
              <w:top w:val="nil"/>
              <w:left w:val="nil"/>
              <w:bottom w:val="nil"/>
              <w:right w:val="nil"/>
            </w:tcBorders>
          </w:tcPr>
          <w:p w14:paraId="4EB154C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(-4.00)</w:t>
            </w:r>
          </w:p>
        </w:tc>
        <w:tc>
          <w:tcPr>
            <w:tcW w:w="1080" w:type="dxa"/>
            <w:tcBorders>
              <w:top w:val="nil"/>
              <w:left w:val="nil"/>
              <w:bottom w:val="nil"/>
              <w:right w:val="nil"/>
            </w:tcBorders>
          </w:tcPr>
          <w:p w14:paraId="040F3D5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(-4.14)</w:t>
            </w:r>
          </w:p>
        </w:tc>
        <w:tc>
          <w:tcPr>
            <w:tcW w:w="1170" w:type="dxa"/>
            <w:tcBorders>
              <w:top w:val="nil"/>
              <w:left w:val="nil"/>
              <w:bottom w:val="nil"/>
              <w:right w:val="nil"/>
            </w:tcBorders>
          </w:tcPr>
          <w:p w14:paraId="57B1695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(-4.20)</w:t>
            </w:r>
          </w:p>
        </w:tc>
        <w:tc>
          <w:tcPr>
            <w:tcW w:w="990" w:type="dxa"/>
            <w:tcBorders>
              <w:top w:val="nil"/>
              <w:left w:val="nil"/>
              <w:bottom w:val="nil"/>
              <w:right w:val="nil"/>
            </w:tcBorders>
          </w:tcPr>
          <w:p w14:paraId="4C23A2B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(-4.27)</w:t>
            </w:r>
          </w:p>
        </w:tc>
        <w:tc>
          <w:tcPr>
            <w:tcW w:w="990" w:type="dxa"/>
            <w:tcBorders>
              <w:top w:val="nil"/>
              <w:left w:val="nil"/>
              <w:bottom w:val="nil"/>
              <w:right w:val="nil"/>
            </w:tcBorders>
          </w:tcPr>
          <w:p w14:paraId="0E2664C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(-4.01)</w:t>
            </w:r>
          </w:p>
        </w:tc>
        <w:tc>
          <w:tcPr>
            <w:tcW w:w="990" w:type="dxa"/>
            <w:tcBorders>
              <w:top w:val="nil"/>
              <w:left w:val="nil"/>
              <w:bottom w:val="nil"/>
              <w:right w:val="nil"/>
            </w:tcBorders>
          </w:tcPr>
          <w:p w14:paraId="71F6054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(-4.88)</w:t>
            </w:r>
          </w:p>
        </w:tc>
      </w:tr>
      <w:tr w:rsidR="001E0DEF" w:rsidRPr="0053680E" w14:paraId="40EDB350" w14:textId="77777777" w:rsidTr="003D25A1">
        <w:tc>
          <w:tcPr>
            <w:tcW w:w="850" w:type="dxa"/>
            <w:tcBorders>
              <w:top w:val="nil"/>
              <w:left w:val="nil"/>
              <w:bottom w:val="nil"/>
              <w:right w:val="nil"/>
            </w:tcBorders>
          </w:tcPr>
          <w:p w14:paraId="2838469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11F97EC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2B81634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1DCB2DA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16A25D3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6DDEFE1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1EC7976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6A07D71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49D30ED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6CA5BF70" w14:textId="77777777" w:rsidTr="003D25A1">
        <w:tc>
          <w:tcPr>
            <w:tcW w:w="850" w:type="dxa"/>
            <w:tcBorders>
              <w:top w:val="nil"/>
              <w:left w:val="nil"/>
              <w:bottom w:val="nil"/>
              <w:right w:val="nil"/>
            </w:tcBorders>
          </w:tcPr>
          <w:p w14:paraId="7A04D00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SUB</w:t>
            </w:r>
          </w:p>
        </w:tc>
        <w:tc>
          <w:tcPr>
            <w:tcW w:w="1035" w:type="dxa"/>
            <w:tcBorders>
              <w:top w:val="nil"/>
              <w:left w:val="nil"/>
              <w:bottom w:val="nil"/>
              <w:right w:val="nil"/>
            </w:tcBorders>
          </w:tcPr>
          <w:p w14:paraId="25ADF08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-0.001</w:t>
            </w:r>
          </w:p>
        </w:tc>
        <w:tc>
          <w:tcPr>
            <w:tcW w:w="1080" w:type="dxa"/>
            <w:tcBorders>
              <w:top w:val="nil"/>
              <w:left w:val="nil"/>
              <w:bottom w:val="nil"/>
              <w:right w:val="nil"/>
            </w:tcBorders>
          </w:tcPr>
          <w:p w14:paraId="1CF0CC8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-0.001</w:t>
            </w:r>
          </w:p>
        </w:tc>
        <w:tc>
          <w:tcPr>
            <w:tcW w:w="1170" w:type="dxa"/>
            <w:tcBorders>
              <w:top w:val="nil"/>
              <w:left w:val="nil"/>
              <w:bottom w:val="nil"/>
              <w:right w:val="nil"/>
            </w:tcBorders>
          </w:tcPr>
          <w:p w14:paraId="5CE3F37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-0.001</w:t>
            </w:r>
          </w:p>
        </w:tc>
        <w:tc>
          <w:tcPr>
            <w:tcW w:w="1080" w:type="dxa"/>
            <w:tcBorders>
              <w:top w:val="nil"/>
              <w:left w:val="nil"/>
              <w:bottom w:val="nil"/>
              <w:right w:val="nil"/>
            </w:tcBorders>
          </w:tcPr>
          <w:p w14:paraId="30002FE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-0.001</w:t>
            </w:r>
          </w:p>
        </w:tc>
        <w:tc>
          <w:tcPr>
            <w:tcW w:w="1170" w:type="dxa"/>
            <w:tcBorders>
              <w:top w:val="nil"/>
              <w:left w:val="nil"/>
              <w:bottom w:val="nil"/>
              <w:right w:val="nil"/>
            </w:tcBorders>
          </w:tcPr>
          <w:p w14:paraId="123AFE6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-0.001</w:t>
            </w:r>
          </w:p>
        </w:tc>
        <w:tc>
          <w:tcPr>
            <w:tcW w:w="990" w:type="dxa"/>
            <w:tcBorders>
              <w:top w:val="nil"/>
              <w:left w:val="nil"/>
              <w:bottom w:val="nil"/>
              <w:right w:val="nil"/>
            </w:tcBorders>
          </w:tcPr>
          <w:p w14:paraId="7C3D5E9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-0.001</w:t>
            </w:r>
          </w:p>
        </w:tc>
        <w:tc>
          <w:tcPr>
            <w:tcW w:w="990" w:type="dxa"/>
            <w:tcBorders>
              <w:top w:val="nil"/>
              <w:left w:val="nil"/>
              <w:bottom w:val="nil"/>
              <w:right w:val="nil"/>
            </w:tcBorders>
          </w:tcPr>
          <w:p w14:paraId="5962F67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-0.001</w:t>
            </w:r>
          </w:p>
        </w:tc>
        <w:tc>
          <w:tcPr>
            <w:tcW w:w="990" w:type="dxa"/>
            <w:tcBorders>
              <w:top w:val="nil"/>
              <w:left w:val="nil"/>
              <w:bottom w:val="nil"/>
              <w:right w:val="nil"/>
            </w:tcBorders>
          </w:tcPr>
          <w:p w14:paraId="4496EA4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-0.000</w:t>
            </w:r>
          </w:p>
        </w:tc>
      </w:tr>
      <w:tr w:rsidR="001E0DEF" w:rsidRPr="0053680E" w14:paraId="61268353" w14:textId="77777777" w:rsidTr="003D25A1">
        <w:tc>
          <w:tcPr>
            <w:tcW w:w="850" w:type="dxa"/>
            <w:tcBorders>
              <w:top w:val="nil"/>
              <w:left w:val="nil"/>
              <w:bottom w:val="nil"/>
              <w:right w:val="nil"/>
            </w:tcBorders>
          </w:tcPr>
          <w:p w14:paraId="2DAE273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0D24639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(-1.29)</w:t>
            </w:r>
          </w:p>
        </w:tc>
        <w:tc>
          <w:tcPr>
            <w:tcW w:w="1080" w:type="dxa"/>
            <w:tcBorders>
              <w:top w:val="nil"/>
              <w:left w:val="nil"/>
              <w:bottom w:val="nil"/>
              <w:right w:val="nil"/>
            </w:tcBorders>
          </w:tcPr>
          <w:p w14:paraId="480D918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(-0.60)</w:t>
            </w:r>
          </w:p>
        </w:tc>
        <w:tc>
          <w:tcPr>
            <w:tcW w:w="1170" w:type="dxa"/>
            <w:tcBorders>
              <w:top w:val="nil"/>
              <w:left w:val="nil"/>
              <w:bottom w:val="nil"/>
              <w:right w:val="nil"/>
            </w:tcBorders>
          </w:tcPr>
          <w:p w14:paraId="4B95345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(-1.41)</w:t>
            </w:r>
          </w:p>
        </w:tc>
        <w:tc>
          <w:tcPr>
            <w:tcW w:w="1080" w:type="dxa"/>
            <w:tcBorders>
              <w:top w:val="nil"/>
              <w:left w:val="nil"/>
              <w:bottom w:val="nil"/>
              <w:right w:val="nil"/>
            </w:tcBorders>
          </w:tcPr>
          <w:p w14:paraId="3607072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(-1.10)</w:t>
            </w:r>
          </w:p>
        </w:tc>
        <w:tc>
          <w:tcPr>
            <w:tcW w:w="1170" w:type="dxa"/>
            <w:tcBorders>
              <w:top w:val="nil"/>
              <w:left w:val="nil"/>
              <w:bottom w:val="nil"/>
              <w:right w:val="nil"/>
            </w:tcBorders>
          </w:tcPr>
          <w:p w14:paraId="46AAAA4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(-1.15)</w:t>
            </w:r>
          </w:p>
        </w:tc>
        <w:tc>
          <w:tcPr>
            <w:tcW w:w="990" w:type="dxa"/>
            <w:tcBorders>
              <w:top w:val="nil"/>
              <w:left w:val="nil"/>
              <w:bottom w:val="nil"/>
              <w:right w:val="nil"/>
            </w:tcBorders>
          </w:tcPr>
          <w:p w14:paraId="1C524AD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(-1.00)</w:t>
            </w:r>
          </w:p>
        </w:tc>
        <w:tc>
          <w:tcPr>
            <w:tcW w:w="990" w:type="dxa"/>
            <w:tcBorders>
              <w:top w:val="nil"/>
              <w:left w:val="nil"/>
              <w:bottom w:val="nil"/>
              <w:right w:val="nil"/>
            </w:tcBorders>
          </w:tcPr>
          <w:p w14:paraId="1C0E020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(-1.16)</w:t>
            </w:r>
          </w:p>
        </w:tc>
        <w:tc>
          <w:tcPr>
            <w:tcW w:w="990" w:type="dxa"/>
            <w:tcBorders>
              <w:top w:val="nil"/>
              <w:left w:val="nil"/>
              <w:bottom w:val="nil"/>
              <w:right w:val="nil"/>
            </w:tcBorders>
          </w:tcPr>
          <w:p w14:paraId="6070C44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(-0.70)</w:t>
            </w:r>
          </w:p>
        </w:tc>
      </w:tr>
      <w:tr w:rsidR="001E0DEF" w:rsidRPr="0053680E" w14:paraId="0A7AC5F2" w14:textId="77777777" w:rsidTr="003D25A1">
        <w:tc>
          <w:tcPr>
            <w:tcW w:w="850" w:type="dxa"/>
            <w:tcBorders>
              <w:top w:val="nil"/>
              <w:left w:val="nil"/>
              <w:bottom w:val="nil"/>
              <w:right w:val="nil"/>
            </w:tcBorders>
          </w:tcPr>
          <w:p w14:paraId="1D88F57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2A3CFEA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0101A67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375B97E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4FDFDBC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5A002D1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3CE176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2465B58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6CF191F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358E79CB" w14:textId="77777777" w:rsidTr="003D25A1">
        <w:tc>
          <w:tcPr>
            <w:tcW w:w="850" w:type="dxa"/>
            <w:tcBorders>
              <w:top w:val="nil"/>
              <w:left w:val="nil"/>
              <w:bottom w:val="nil"/>
              <w:right w:val="nil"/>
            </w:tcBorders>
          </w:tcPr>
          <w:p w14:paraId="2308946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DE</w:t>
            </w:r>
          </w:p>
        </w:tc>
        <w:tc>
          <w:tcPr>
            <w:tcW w:w="1035" w:type="dxa"/>
            <w:tcBorders>
              <w:top w:val="nil"/>
              <w:left w:val="nil"/>
              <w:bottom w:val="nil"/>
              <w:right w:val="nil"/>
            </w:tcBorders>
          </w:tcPr>
          <w:p w14:paraId="1B31214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-1.453</w:t>
            </w:r>
            <w:r w:rsidRPr="0053680E">
              <w:rPr>
                <w:rFonts w:asciiTheme="majorBidi" w:hAnsiTheme="majorBidi" w:cstheme="majorBidi"/>
                <w:sz w:val="20"/>
                <w:szCs w:val="20"/>
                <w:vertAlign w:val="superscript"/>
                <w:lang w:val="en-US"/>
              </w:rPr>
              <w:t>**</w:t>
            </w:r>
          </w:p>
        </w:tc>
        <w:tc>
          <w:tcPr>
            <w:tcW w:w="1080" w:type="dxa"/>
            <w:tcBorders>
              <w:top w:val="nil"/>
              <w:left w:val="nil"/>
              <w:bottom w:val="nil"/>
              <w:right w:val="nil"/>
            </w:tcBorders>
          </w:tcPr>
          <w:p w14:paraId="46D7A5E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-1.432</w:t>
            </w:r>
            <w:r w:rsidRPr="0053680E">
              <w:rPr>
                <w:rFonts w:asciiTheme="majorBidi" w:hAnsiTheme="majorBidi" w:cstheme="majorBidi"/>
                <w:sz w:val="20"/>
                <w:szCs w:val="20"/>
                <w:vertAlign w:val="superscript"/>
                <w:lang w:val="en-US"/>
              </w:rPr>
              <w:t>**</w:t>
            </w:r>
          </w:p>
        </w:tc>
        <w:tc>
          <w:tcPr>
            <w:tcW w:w="1170" w:type="dxa"/>
            <w:tcBorders>
              <w:top w:val="nil"/>
              <w:left w:val="nil"/>
              <w:bottom w:val="nil"/>
              <w:right w:val="nil"/>
            </w:tcBorders>
          </w:tcPr>
          <w:p w14:paraId="5A0425F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-1.338</w:t>
            </w:r>
            <w:r w:rsidRPr="0053680E">
              <w:rPr>
                <w:rFonts w:asciiTheme="majorBidi" w:hAnsiTheme="majorBidi" w:cstheme="majorBidi"/>
                <w:sz w:val="20"/>
                <w:szCs w:val="20"/>
                <w:vertAlign w:val="superscript"/>
                <w:lang w:val="en-US"/>
              </w:rPr>
              <w:t>**</w:t>
            </w:r>
          </w:p>
        </w:tc>
        <w:tc>
          <w:tcPr>
            <w:tcW w:w="1080" w:type="dxa"/>
            <w:tcBorders>
              <w:top w:val="nil"/>
              <w:left w:val="nil"/>
              <w:bottom w:val="nil"/>
              <w:right w:val="nil"/>
            </w:tcBorders>
          </w:tcPr>
          <w:p w14:paraId="6C327F6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-1.452</w:t>
            </w:r>
            <w:r w:rsidRPr="0053680E">
              <w:rPr>
                <w:rFonts w:asciiTheme="majorBidi" w:hAnsiTheme="majorBidi" w:cstheme="majorBidi"/>
                <w:sz w:val="20"/>
                <w:szCs w:val="20"/>
                <w:vertAlign w:val="superscript"/>
                <w:lang w:val="en-US"/>
              </w:rPr>
              <w:t>**</w:t>
            </w:r>
          </w:p>
        </w:tc>
        <w:tc>
          <w:tcPr>
            <w:tcW w:w="1170" w:type="dxa"/>
            <w:tcBorders>
              <w:top w:val="nil"/>
              <w:left w:val="nil"/>
              <w:bottom w:val="nil"/>
              <w:right w:val="nil"/>
            </w:tcBorders>
          </w:tcPr>
          <w:p w14:paraId="684D7A9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-1.575</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7F65B2D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-1.473</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7B8C0D0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-1.721</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46DD5EE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-1.564</w:t>
            </w:r>
            <w:r w:rsidRPr="0053680E">
              <w:rPr>
                <w:rFonts w:asciiTheme="majorBidi" w:hAnsiTheme="majorBidi" w:cstheme="majorBidi"/>
                <w:sz w:val="20"/>
                <w:szCs w:val="20"/>
                <w:vertAlign w:val="superscript"/>
                <w:lang w:val="en-US"/>
              </w:rPr>
              <w:t>**</w:t>
            </w:r>
          </w:p>
        </w:tc>
      </w:tr>
      <w:tr w:rsidR="001E0DEF" w:rsidRPr="0053680E" w14:paraId="0CCD2255" w14:textId="77777777" w:rsidTr="003D25A1">
        <w:tc>
          <w:tcPr>
            <w:tcW w:w="850" w:type="dxa"/>
            <w:tcBorders>
              <w:top w:val="nil"/>
              <w:left w:val="nil"/>
              <w:bottom w:val="nil"/>
              <w:right w:val="nil"/>
            </w:tcBorders>
          </w:tcPr>
          <w:p w14:paraId="35E32B3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66FE18A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(-2.15)</w:t>
            </w:r>
          </w:p>
        </w:tc>
        <w:tc>
          <w:tcPr>
            <w:tcW w:w="1080" w:type="dxa"/>
            <w:tcBorders>
              <w:top w:val="nil"/>
              <w:left w:val="nil"/>
              <w:bottom w:val="nil"/>
              <w:right w:val="nil"/>
            </w:tcBorders>
          </w:tcPr>
          <w:p w14:paraId="3D057F1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(-2.16)</w:t>
            </w:r>
          </w:p>
        </w:tc>
        <w:tc>
          <w:tcPr>
            <w:tcW w:w="1170" w:type="dxa"/>
            <w:tcBorders>
              <w:top w:val="nil"/>
              <w:left w:val="nil"/>
              <w:bottom w:val="nil"/>
              <w:right w:val="nil"/>
            </w:tcBorders>
          </w:tcPr>
          <w:p w14:paraId="16E856F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(-2.06)</w:t>
            </w:r>
          </w:p>
        </w:tc>
        <w:tc>
          <w:tcPr>
            <w:tcW w:w="1080" w:type="dxa"/>
            <w:tcBorders>
              <w:top w:val="nil"/>
              <w:left w:val="nil"/>
              <w:bottom w:val="nil"/>
              <w:right w:val="nil"/>
            </w:tcBorders>
          </w:tcPr>
          <w:p w14:paraId="6A5D068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(-2.23)</w:t>
            </w:r>
          </w:p>
        </w:tc>
        <w:tc>
          <w:tcPr>
            <w:tcW w:w="1170" w:type="dxa"/>
            <w:tcBorders>
              <w:top w:val="nil"/>
              <w:left w:val="nil"/>
              <w:bottom w:val="nil"/>
              <w:right w:val="nil"/>
            </w:tcBorders>
          </w:tcPr>
          <w:p w14:paraId="0DCFC60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(-2.27)</w:t>
            </w:r>
          </w:p>
        </w:tc>
        <w:tc>
          <w:tcPr>
            <w:tcW w:w="990" w:type="dxa"/>
            <w:tcBorders>
              <w:top w:val="nil"/>
              <w:left w:val="nil"/>
              <w:bottom w:val="nil"/>
              <w:right w:val="nil"/>
            </w:tcBorders>
          </w:tcPr>
          <w:p w14:paraId="76EDC13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(-2.21)</w:t>
            </w:r>
          </w:p>
        </w:tc>
        <w:tc>
          <w:tcPr>
            <w:tcW w:w="990" w:type="dxa"/>
            <w:tcBorders>
              <w:top w:val="nil"/>
              <w:left w:val="nil"/>
              <w:bottom w:val="nil"/>
              <w:right w:val="nil"/>
            </w:tcBorders>
          </w:tcPr>
          <w:p w14:paraId="1A1ACC7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(-2.36)</w:t>
            </w:r>
          </w:p>
        </w:tc>
        <w:tc>
          <w:tcPr>
            <w:tcW w:w="990" w:type="dxa"/>
            <w:tcBorders>
              <w:top w:val="nil"/>
              <w:left w:val="nil"/>
              <w:bottom w:val="nil"/>
              <w:right w:val="nil"/>
            </w:tcBorders>
          </w:tcPr>
          <w:p w14:paraId="1123284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(-2.32)</w:t>
            </w:r>
          </w:p>
        </w:tc>
      </w:tr>
      <w:tr w:rsidR="001E0DEF" w:rsidRPr="0053680E" w14:paraId="15E20F73" w14:textId="77777777" w:rsidTr="003D25A1">
        <w:tc>
          <w:tcPr>
            <w:tcW w:w="850" w:type="dxa"/>
            <w:tcBorders>
              <w:top w:val="nil"/>
              <w:left w:val="nil"/>
              <w:bottom w:val="nil"/>
              <w:right w:val="nil"/>
            </w:tcBorders>
          </w:tcPr>
          <w:p w14:paraId="34AAD7F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192CFF3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6E46E56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30DC4C4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0E673D4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29A76FF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177F2B0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04A26C4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6620DD9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6917DD6C" w14:textId="77777777" w:rsidTr="003D25A1">
        <w:tc>
          <w:tcPr>
            <w:tcW w:w="850" w:type="dxa"/>
            <w:tcBorders>
              <w:top w:val="nil"/>
              <w:left w:val="nil"/>
              <w:bottom w:val="nil"/>
              <w:right w:val="nil"/>
            </w:tcBorders>
          </w:tcPr>
          <w:p w14:paraId="1C77729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GR</w:t>
            </w:r>
          </w:p>
        </w:tc>
        <w:tc>
          <w:tcPr>
            <w:tcW w:w="1035" w:type="dxa"/>
            <w:tcBorders>
              <w:top w:val="nil"/>
              <w:left w:val="nil"/>
              <w:bottom w:val="nil"/>
              <w:right w:val="nil"/>
            </w:tcBorders>
          </w:tcPr>
          <w:p w14:paraId="2D73CD1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-0.009</w:t>
            </w:r>
            <w:r w:rsidRPr="0053680E">
              <w:rPr>
                <w:rFonts w:asciiTheme="majorBidi" w:hAnsiTheme="majorBidi" w:cstheme="majorBidi"/>
                <w:sz w:val="20"/>
                <w:szCs w:val="20"/>
                <w:vertAlign w:val="superscript"/>
                <w:lang w:val="en-US"/>
              </w:rPr>
              <w:t>***</w:t>
            </w:r>
          </w:p>
        </w:tc>
        <w:tc>
          <w:tcPr>
            <w:tcW w:w="1080" w:type="dxa"/>
            <w:tcBorders>
              <w:top w:val="nil"/>
              <w:left w:val="nil"/>
              <w:bottom w:val="nil"/>
              <w:right w:val="nil"/>
            </w:tcBorders>
          </w:tcPr>
          <w:p w14:paraId="4E8FDB1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-0.008</w:t>
            </w:r>
            <w:r w:rsidRPr="0053680E">
              <w:rPr>
                <w:rFonts w:asciiTheme="majorBidi" w:hAnsiTheme="majorBidi" w:cstheme="majorBidi"/>
                <w:sz w:val="20"/>
                <w:szCs w:val="20"/>
                <w:vertAlign w:val="superscript"/>
                <w:lang w:val="en-US"/>
              </w:rPr>
              <w:t>***</w:t>
            </w:r>
          </w:p>
        </w:tc>
        <w:tc>
          <w:tcPr>
            <w:tcW w:w="1170" w:type="dxa"/>
            <w:tcBorders>
              <w:top w:val="nil"/>
              <w:left w:val="nil"/>
              <w:bottom w:val="nil"/>
              <w:right w:val="nil"/>
            </w:tcBorders>
          </w:tcPr>
          <w:p w14:paraId="7FD43B1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-0.007</w:t>
            </w:r>
            <w:r w:rsidRPr="0053680E">
              <w:rPr>
                <w:rFonts w:asciiTheme="majorBidi" w:hAnsiTheme="majorBidi" w:cstheme="majorBidi"/>
                <w:sz w:val="20"/>
                <w:szCs w:val="20"/>
                <w:vertAlign w:val="superscript"/>
                <w:lang w:val="en-US"/>
              </w:rPr>
              <w:t>***</w:t>
            </w:r>
          </w:p>
        </w:tc>
        <w:tc>
          <w:tcPr>
            <w:tcW w:w="1080" w:type="dxa"/>
            <w:tcBorders>
              <w:top w:val="nil"/>
              <w:left w:val="nil"/>
              <w:bottom w:val="nil"/>
              <w:right w:val="nil"/>
            </w:tcBorders>
          </w:tcPr>
          <w:p w14:paraId="0BEB133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-0.009</w:t>
            </w:r>
            <w:r w:rsidRPr="0053680E">
              <w:rPr>
                <w:rFonts w:asciiTheme="majorBidi" w:hAnsiTheme="majorBidi" w:cstheme="majorBidi"/>
                <w:sz w:val="20"/>
                <w:szCs w:val="20"/>
                <w:vertAlign w:val="superscript"/>
                <w:lang w:val="en-US"/>
              </w:rPr>
              <w:t>***</w:t>
            </w:r>
          </w:p>
        </w:tc>
        <w:tc>
          <w:tcPr>
            <w:tcW w:w="1170" w:type="dxa"/>
            <w:tcBorders>
              <w:top w:val="nil"/>
              <w:left w:val="nil"/>
              <w:bottom w:val="nil"/>
              <w:right w:val="nil"/>
            </w:tcBorders>
          </w:tcPr>
          <w:p w14:paraId="544CA0D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-0.009</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1AC3F22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-0.009</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6A2CF6D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-0.009</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5A07676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-0.009</w:t>
            </w:r>
            <w:r w:rsidRPr="0053680E">
              <w:rPr>
                <w:rFonts w:asciiTheme="majorBidi" w:hAnsiTheme="majorBidi" w:cstheme="majorBidi"/>
                <w:sz w:val="20"/>
                <w:szCs w:val="20"/>
                <w:vertAlign w:val="superscript"/>
                <w:lang w:val="en-US"/>
              </w:rPr>
              <w:t>***</w:t>
            </w:r>
          </w:p>
        </w:tc>
      </w:tr>
      <w:tr w:rsidR="001E0DEF" w:rsidRPr="0053680E" w14:paraId="63479A0B" w14:textId="77777777" w:rsidTr="003D25A1">
        <w:tc>
          <w:tcPr>
            <w:tcW w:w="850" w:type="dxa"/>
            <w:tcBorders>
              <w:top w:val="nil"/>
              <w:left w:val="nil"/>
              <w:bottom w:val="nil"/>
              <w:right w:val="nil"/>
            </w:tcBorders>
          </w:tcPr>
          <w:p w14:paraId="539658B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49D7491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(-3.87)</w:t>
            </w:r>
          </w:p>
        </w:tc>
        <w:tc>
          <w:tcPr>
            <w:tcW w:w="1080" w:type="dxa"/>
            <w:tcBorders>
              <w:top w:val="nil"/>
              <w:left w:val="nil"/>
              <w:bottom w:val="nil"/>
              <w:right w:val="nil"/>
            </w:tcBorders>
          </w:tcPr>
          <w:p w14:paraId="631AD50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(-3.27)</w:t>
            </w:r>
          </w:p>
        </w:tc>
        <w:tc>
          <w:tcPr>
            <w:tcW w:w="1170" w:type="dxa"/>
            <w:tcBorders>
              <w:top w:val="nil"/>
              <w:left w:val="nil"/>
              <w:bottom w:val="nil"/>
              <w:right w:val="nil"/>
            </w:tcBorders>
          </w:tcPr>
          <w:p w14:paraId="176C900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(-2.99)</w:t>
            </w:r>
          </w:p>
        </w:tc>
        <w:tc>
          <w:tcPr>
            <w:tcW w:w="1080" w:type="dxa"/>
            <w:tcBorders>
              <w:top w:val="nil"/>
              <w:left w:val="nil"/>
              <w:bottom w:val="nil"/>
              <w:right w:val="nil"/>
            </w:tcBorders>
          </w:tcPr>
          <w:p w14:paraId="3ADDD50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(-3.44)</w:t>
            </w:r>
          </w:p>
        </w:tc>
        <w:tc>
          <w:tcPr>
            <w:tcW w:w="1170" w:type="dxa"/>
            <w:tcBorders>
              <w:top w:val="nil"/>
              <w:left w:val="nil"/>
              <w:bottom w:val="nil"/>
              <w:right w:val="nil"/>
            </w:tcBorders>
          </w:tcPr>
          <w:p w14:paraId="6B43274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(-4.03)</w:t>
            </w:r>
          </w:p>
        </w:tc>
        <w:tc>
          <w:tcPr>
            <w:tcW w:w="990" w:type="dxa"/>
            <w:tcBorders>
              <w:top w:val="nil"/>
              <w:left w:val="nil"/>
              <w:bottom w:val="nil"/>
              <w:right w:val="nil"/>
            </w:tcBorders>
          </w:tcPr>
          <w:p w14:paraId="0A4649D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(-3.93)</w:t>
            </w:r>
          </w:p>
        </w:tc>
        <w:tc>
          <w:tcPr>
            <w:tcW w:w="990" w:type="dxa"/>
            <w:tcBorders>
              <w:top w:val="nil"/>
              <w:left w:val="nil"/>
              <w:bottom w:val="nil"/>
              <w:right w:val="nil"/>
            </w:tcBorders>
          </w:tcPr>
          <w:p w14:paraId="458BE44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(-3.34)</w:t>
            </w:r>
          </w:p>
        </w:tc>
        <w:tc>
          <w:tcPr>
            <w:tcW w:w="990" w:type="dxa"/>
            <w:tcBorders>
              <w:top w:val="nil"/>
              <w:left w:val="nil"/>
              <w:bottom w:val="nil"/>
              <w:right w:val="nil"/>
            </w:tcBorders>
          </w:tcPr>
          <w:p w14:paraId="22C10E2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(-3.47)</w:t>
            </w:r>
          </w:p>
        </w:tc>
      </w:tr>
      <w:tr w:rsidR="001E0DEF" w:rsidRPr="0053680E" w14:paraId="31C6CD00" w14:textId="77777777" w:rsidTr="003D25A1">
        <w:tc>
          <w:tcPr>
            <w:tcW w:w="850" w:type="dxa"/>
            <w:tcBorders>
              <w:top w:val="nil"/>
              <w:left w:val="nil"/>
              <w:bottom w:val="nil"/>
              <w:right w:val="nil"/>
            </w:tcBorders>
          </w:tcPr>
          <w:p w14:paraId="4CED8F9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50AA1D1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292A227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507A054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742955E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70D141F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26DD038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07DD986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B2B938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5B637466" w14:textId="77777777" w:rsidTr="003D25A1">
        <w:tc>
          <w:tcPr>
            <w:tcW w:w="850" w:type="dxa"/>
            <w:tcBorders>
              <w:top w:val="nil"/>
              <w:left w:val="nil"/>
              <w:bottom w:val="nil"/>
              <w:right w:val="nil"/>
            </w:tcBorders>
          </w:tcPr>
          <w:p w14:paraId="32B34C9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LQ</w:t>
            </w:r>
          </w:p>
        </w:tc>
        <w:tc>
          <w:tcPr>
            <w:tcW w:w="1035" w:type="dxa"/>
            <w:tcBorders>
              <w:top w:val="nil"/>
              <w:left w:val="nil"/>
              <w:bottom w:val="nil"/>
              <w:right w:val="nil"/>
            </w:tcBorders>
          </w:tcPr>
          <w:p w14:paraId="238F3E8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-0.014</w:t>
            </w:r>
          </w:p>
        </w:tc>
        <w:tc>
          <w:tcPr>
            <w:tcW w:w="1080" w:type="dxa"/>
            <w:tcBorders>
              <w:top w:val="nil"/>
              <w:left w:val="nil"/>
              <w:bottom w:val="nil"/>
              <w:right w:val="nil"/>
            </w:tcBorders>
          </w:tcPr>
          <w:p w14:paraId="495DFDC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0.120</w:t>
            </w:r>
          </w:p>
        </w:tc>
        <w:tc>
          <w:tcPr>
            <w:tcW w:w="1170" w:type="dxa"/>
            <w:tcBorders>
              <w:top w:val="nil"/>
              <w:left w:val="nil"/>
              <w:bottom w:val="nil"/>
              <w:right w:val="nil"/>
            </w:tcBorders>
          </w:tcPr>
          <w:p w14:paraId="35DCD0F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-0.145</w:t>
            </w:r>
          </w:p>
        </w:tc>
        <w:tc>
          <w:tcPr>
            <w:tcW w:w="1080" w:type="dxa"/>
            <w:tcBorders>
              <w:top w:val="nil"/>
              <w:left w:val="nil"/>
              <w:bottom w:val="nil"/>
              <w:right w:val="nil"/>
            </w:tcBorders>
          </w:tcPr>
          <w:p w14:paraId="73499D9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-0.045</w:t>
            </w:r>
          </w:p>
        </w:tc>
        <w:tc>
          <w:tcPr>
            <w:tcW w:w="1170" w:type="dxa"/>
            <w:tcBorders>
              <w:top w:val="nil"/>
              <w:left w:val="nil"/>
              <w:bottom w:val="nil"/>
              <w:right w:val="nil"/>
            </w:tcBorders>
          </w:tcPr>
          <w:p w14:paraId="6A2FD8D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-0.098</w:t>
            </w:r>
          </w:p>
        </w:tc>
        <w:tc>
          <w:tcPr>
            <w:tcW w:w="990" w:type="dxa"/>
            <w:tcBorders>
              <w:top w:val="nil"/>
              <w:left w:val="nil"/>
              <w:bottom w:val="nil"/>
              <w:right w:val="nil"/>
            </w:tcBorders>
          </w:tcPr>
          <w:p w14:paraId="489D827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-0.075</w:t>
            </w:r>
          </w:p>
        </w:tc>
        <w:tc>
          <w:tcPr>
            <w:tcW w:w="990" w:type="dxa"/>
            <w:tcBorders>
              <w:top w:val="nil"/>
              <w:left w:val="nil"/>
              <w:bottom w:val="nil"/>
              <w:right w:val="nil"/>
            </w:tcBorders>
          </w:tcPr>
          <w:p w14:paraId="5DA4214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-0.016</w:t>
            </w:r>
          </w:p>
        </w:tc>
        <w:tc>
          <w:tcPr>
            <w:tcW w:w="990" w:type="dxa"/>
            <w:tcBorders>
              <w:top w:val="nil"/>
              <w:left w:val="nil"/>
              <w:bottom w:val="nil"/>
              <w:right w:val="nil"/>
            </w:tcBorders>
          </w:tcPr>
          <w:p w14:paraId="7C9E2E4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-0.023</w:t>
            </w:r>
          </w:p>
        </w:tc>
      </w:tr>
      <w:tr w:rsidR="001E0DEF" w:rsidRPr="0053680E" w14:paraId="0EC8A994" w14:textId="77777777" w:rsidTr="003D25A1">
        <w:tc>
          <w:tcPr>
            <w:tcW w:w="850" w:type="dxa"/>
            <w:tcBorders>
              <w:top w:val="nil"/>
              <w:left w:val="nil"/>
              <w:bottom w:val="nil"/>
              <w:right w:val="nil"/>
            </w:tcBorders>
          </w:tcPr>
          <w:p w14:paraId="117555E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5D6C76F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(-0.03)</w:t>
            </w:r>
          </w:p>
        </w:tc>
        <w:tc>
          <w:tcPr>
            <w:tcW w:w="1080" w:type="dxa"/>
            <w:tcBorders>
              <w:top w:val="nil"/>
              <w:left w:val="nil"/>
              <w:bottom w:val="nil"/>
              <w:right w:val="nil"/>
            </w:tcBorders>
          </w:tcPr>
          <w:p w14:paraId="251E01C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(0.27)</w:t>
            </w:r>
          </w:p>
        </w:tc>
        <w:tc>
          <w:tcPr>
            <w:tcW w:w="1170" w:type="dxa"/>
            <w:tcBorders>
              <w:top w:val="nil"/>
              <w:left w:val="nil"/>
              <w:bottom w:val="nil"/>
              <w:right w:val="nil"/>
            </w:tcBorders>
          </w:tcPr>
          <w:p w14:paraId="0B382EA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(-0.31)</w:t>
            </w:r>
          </w:p>
        </w:tc>
        <w:tc>
          <w:tcPr>
            <w:tcW w:w="1080" w:type="dxa"/>
            <w:tcBorders>
              <w:top w:val="nil"/>
              <w:left w:val="nil"/>
              <w:bottom w:val="nil"/>
              <w:right w:val="nil"/>
            </w:tcBorders>
          </w:tcPr>
          <w:p w14:paraId="0561947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(-0.10)</w:t>
            </w:r>
          </w:p>
        </w:tc>
        <w:tc>
          <w:tcPr>
            <w:tcW w:w="1170" w:type="dxa"/>
            <w:tcBorders>
              <w:top w:val="nil"/>
              <w:left w:val="nil"/>
              <w:bottom w:val="nil"/>
              <w:right w:val="nil"/>
            </w:tcBorders>
          </w:tcPr>
          <w:p w14:paraId="0B89084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(-0.22)</w:t>
            </w:r>
          </w:p>
        </w:tc>
        <w:tc>
          <w:tcPr>
            <w:tcW w:w="990" w:type="dxa"/>
            <w:tcBorders>
              <w:top w:val="nil"/>
              <w:left w:val="nil"/>
              <w:bottom w:val="nil"/>
              <w:right w:val="nil"/>
            </w:tcBorders>
          </w:tcPr>
          <w:p w14:paraId="2310238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(-0.17)</w:t>
            </w:r>
          </w:p>
        </w:tc>
        <w:tc>
          <w:tcPr>
            <w:tcW w:w="990" w:type="dxa"/>
            <w:tcBorders>
              <w:top w:val="nil"/>
              <w:left w:val="nil"/>
              <w:bottom w:val="nil"/>
              <w:right w:val="nil"/>
            </w:tcBorders>
          </w:tcPr>
          <w:p w14:paraId="3D2EC1D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(-0.04)</w:t>
            </w:r>
          </w:p>
        </w:tc>
        <w:tc>
          <w:tcPr>
            <w:tcW w:w="990" w:type="dxa"/>
            <w:tcBorders>
              <w:top w:val="nil"/>
              <w:left w:val="nil"/>
              <w:bottom w:val="nil"/>
              <w:right w:val="nil"/>
            </w:tcBorders>
          </w:tcPr>
          <w:p w14:paraId="45CE1A0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(-0.05)</w:t>
            </w:r>
          </w:p>
        </w:tc>
      </w:tr>
      <w:tr w:rsidR="001E0DEF" w:rsidRPr="0053680E" w14:paraId="50702DDB" w14:textId="77777777" w:rsidTr="003D25A1">
        <w:tc>
          <w:tcPr>
            <w:tcW w:w="850" w:type="dxa"/>
            <w:tcBorders>
              <w:top w:val="nil"/>
              <w:left w:val="nil"/>
              <w:bottom w:val="nil"/>
              <w:right w:val="nil"/>
            </w:tcBorders>
          </w:tcPr>
          <w:p w14:paraId="431E46F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7B9648E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4F779C7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3ABA2CE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1359E2E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7A618B5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0B2C160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3556AB1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8EE7E4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7D26BD0C" w14:textId="77777777" w:rsidTr="003D25A1">
        <w:tc>
          <w:tcPr>
            <w:tcW w:w="850" w:type="dxa"/>
            <w:tcBorders>
              <w:top w:val="nil"/>
              <w:left w:val="nil"/>
              <w:bottom w:val="nil"/>
              <w:right w:val="nil"/>
            </w:tcBorders>
          </w:tcPr>
          <w:p w14:paraId="7A9C1B3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RD</w:t>
            </w:r>
          </w:p>
        </w:tc>
        <w:tc>
          <w:tcPr>
            <w:tcW w:w="1035" w:type="dxa"/>
            <w:tcBorders>
              <w:top w:val="nil"/>
              <w:left w:val="nil"/>
              <w:bottom w:val="nil"/>
              <w:right w:val="nil"/>
            </w:tcBorders>
          </w:tcPr>
          <w:p w14:paraId="51CE474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0.041</w:t>
            </w:r>
          </w:p>
        </w:tc>
        <w:tc>
          <w:tcPr>
            <w:tcW w:w="1080" w:type="dxa"/>
            <w:tcBorders>
              <w:top w:val="nil"/>
              <w:left w:val="nil"/>
              <w:bottom w:val="nil"/>
              <w:right w:val="nil"/>
            </w:tcBorders>
          </w:tcPr>
          <w:p w14:paraId="719177A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0.067</w:t>
            </w:r>
          </w:p>
        </w:tc>
        <w:tc>
          <w:tcPr>
            <w:tcW w:w="1170" w:type="dxa"/>
            <w:tcBorders>
              <w:top w:val="nil"/>
              <w:left w:val="nil"/>
              <w:bottom w:val="nil"/>
              <w:right w:val="nil"/>
            </w:tcBorders>
          </w:tcPr>
          <w:p w14:paraId="74A96F4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0.105</w:t>
            </w:r>
          </w:p>
        </w:tc>
        <w:tc>
          <w:tcPr>
            <w:tcW w:w="1080" w:type="dxa"/>
            <w:tcBorders>
              <w:top w:val="nil"/>
              <w:left w:val="nil"/>
              <w:bottom w:val="nil"/>
              <w:right w:val="nil"/>
            </w:tcBorders>
          </w:tcPr>
          <w:p w14:paraId="231FF18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0.076</w:t>
            </w:r>
          </w:p>
        </w:tc>
        <w:tc>
          <w:tcPr>
            <w:tcW w:w="1170" w:type="dxa"/>
            <w:tcBorders>
              <w:top w:val="nil"/>
              <w:left w:val="nil"/>
              <w:bottom w:val="nil"/>
              <w:right w:val="nil"/>
            </w:tcBorders>
          </w:tcPr>
          <w:p w14:paraId="1B82B5E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0.068</w:t>
            </w:r>
          </w:p>
        </w:tc>
        <w:tc>
          <w:tcPr>
            <w:tcW w:w="990" w:type="dxa"/>
            <w:tcBorders>
              <w:top w:val="nil"/>
              <w:left w:val="nil"/>
              <w:bottom w:val="nil"/>
              <w:right w:val="nil"/>
            </w:tcBorders>
          </w:tcPr>
          <w:p w14:paraId="0089D05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0.059</w:t>
            </w:r>
          </w:p>
        </w:tc>
        <w:tc>
          <w:tcPr>
            <w:tcW w:w="990" w:type="dxa"/>
            <w:tcBorders>
              <w:top w:val="nil"/>
              <w:left w:val="nil"/>
              <w:bottom w:val="nil"/>
              <w:right w:val="nil"/>
            </w:tcBorders>
          </w:tcPr>
          <w:p w14:paraId="420A568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0.062</w:t>
            </w:r>
          </w:p>
        </w:tc>
        <w:tc>
          <w:tcPr>
            <w:tcW w:w="990" w:type="dxa"/>
            <w:tcBorders>
              <w:top w:val="nil"/>
              <w:left w:val="nil"/>
              <w:bottom w:val="nil"/>
              <w:right w:val="nil"/>
            </w:tcBorders>
          </w:tcPr>
          <w:p w14:paraId="21A6200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0.0239</w:t>
            </w:r>
          </w:p>
        </w:tc>
      </w:tr>
      <w:tr w:rsidR="001E0DEF" w:rsidRPr="0053680E" w14:paraId="7FB44B5C" w14:textId="77777777" w:rsidTr="003D25A1">
        <w:tc>
          <w:tcPr>
            <w:tcW w:w="850" w:type="dxa"/>
            <w:tcBorders>
              <w:top w:val="nil"/>
              <w:left w:val="nil"/>
              <w:bottom w:val="nil"/>
              <w:right w:val="nil"/>
            </w:tcBorders>
          </w:tcPr>
          <w:p w14:paraId="522F6AC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001FF9B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(0.49)</w:t>
            </w:r>
          </w:p>
        </w:tc>
        <w:tc>
          <w:tcPr>
            <w:tcW w:w="1080" w:type="dxa"/>
            <w:tcBorders>
              <w:top w:val="nil"/>
              <w:left w:val="nil"/>
              <w:bottom w:val="nil"/>
              <w:right w:val="nil"/>
            </w:tcBorders>
          </w:tcPr>
          <w:p w14:paraId="65BA7A8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(0.85)</w:t>
            </w:r>
          </w:p>
        </w:tc>
        <w:tc>
          <w:tcPr>
            <w:tcW w:w="1170" w:type="dxa"/>
            <w:tcBorders>
              <w:top w:val="nil"/>
              <w:left w:val="nil"/>
              <w:bottom w:val="nil"/>
              <w:right w:val="nil"/>
            </w:tcBorders>
          </w:tcPr>
          <w:p w14:paraId="3DFC541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(1.26)</w:t>
            </w:r>
          </w:p>
        </w:tc>
        <w:tc>
          <w:tcPr>
            <w:tcW w:w="1080" w:type="dxa"/>
            <w:tcBorders>
              <w:top w:val="nil"/>
              <w:left w:val="nil"/>
              <w:bottom w:val="nil"/>
              <w:right w:val="nil"/>
            </w:tcBorders>
          </w:tcPr>
          <w:p w14:paraId="143372B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(0.91)</w:t>
            </w:r>
          </w:p>
        </w:tc>
        <w:tc>
          <w:tcPr>
            <w:tcW w:w="1170" w:type="dxa"/>
            <w:tcBorders>
              <w:top w:val="nil"/>
              <w:left w:val="nil"/>
              <w:bottom w:val="nil"/>
              <w:right w:val="nil"/>
            </w:tcBorders>
          </w:tcPr>
          <w:p w14:paraId="14C4A75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(0.84)</w:t>
            </w:r>
          </w:p>
        </w:tc>
        <w:tc>
          <w:tcPr>
            <w:tcW w:w="990" w:type="dxa"/>
            <w:tcBorders>
              <w:top w:val="nil"/>
              <w:left w:val="nil"/>
              <w:bottom w:val="nil"/>
              <w:right w:val="nil"/>
            </w:tcBorders>
          </w:tcPr>
          <w:p w14:paraId="57541AF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(0.73)</w:t>
            </w:r>
          </w:p>
        </w:tc>
        <w:tc>
          <w:tcPr>
            <w:tcW w:w="990" w:type="dxa"/>
            <w:tcBorders>
              <w:top w:val="nil"/>
              <w:left w:val="nil"/>
              <w:bottom w:val="nil"/>
              <w:right w:val="nil"/>
            </w:tcBorders>
          </w:tcPr>
          <w:p w14:paraId="509BE46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(0.76)</w:t>
            </w:r>
          </w:p>
        </w:tc>
        <w:tc>
          <w:tcPr>
            <w:tcW w:w="990" w:type="dxa"/>
            <w:tcBorders>
              <w:top w:val="nil"/>
              <w:left w:val="nil"/>
              <w:bottom w:val="nil"/>
              <w:right w:val="nil"/>
            </w:tcBorders>
          </w:tcPr>
          <w:p w14:paraId="079524E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(0.31)</w:t>
            </w:r>
          </w:p>
        </w:tc>
      </w:tr>
      <w:tr w:rsidR="001E0DEF" w:rsidRPr="0053680E" w14:paraId="2601E0BE" w14:textId="77777777" w:rsidTr="003D25A1">
        <w:tc>
          <w:tcPr>
            <w:tcW w:w="850" w:type="dxa"/>
            <w:tcBorders>
              <w:top w:val="nil"/>
              <w:left w:val="nil"/>
              <w:bottom w:val="nil"/>
              <w:right w:val="nil"/>
            </w:tcBorders>
          </w:tcPr>
          <w:p w14:paraId="42BC0C2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432ACDD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5C28A31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1E05F40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656FE41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108D687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1BEDACF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0810823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7C60BB6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68CD795C" w14:textId="77777777" w:rsidTr="003D25A1">
        <w:tc>
          <w:tcPr>
            <w:tcW w:w="850" w:type="dxa"/>
            <w:tcBorders>
              <w:top w:val="nil"/>
              <w:left w:val="nil"/>
              <w:bottom w:val="nil"/>
              <w:right w:val="nil"/>
            </w:tcBorders>
          </w:tcPr>
          <w:p w14:paraId="3117A4C7" w14:textId="64224A3F"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MO</w:t>
            </w:r>
          </w:p>
        </w:tc>
        <w:tc>
          <w:tcPr>
            <w:tcW w:w="1035" w:type="dxa"/>
            <w:tcBorders>
              <w:top w:val="nil"/>
              <w:left w:val="nil"/>
              <w:bottom w:val="nil"/>
              <w:right w:val="nil"/>
            </w:tcBorders>
          </w:tcPr>
          <w:p w14:paraId="7319324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1.808</w:t>
            </w:r>
            <w:r w:rsidRPr="0053680E">
              <w:rPr>
                <w:rFonts w:asciiTheme="majorBidi" w:hAnsiTheme="majorBidi" w:cstheme="majorBidi"/>
                <w:sz w:val="20"/>
                <w:szCs w:val="20"/>
                <w:vertAlign w:val="superscript"/>
                <w:lang w:val="en-US"/>
              </w:rPr>
              <w:t>**</w:t>
            </w:r>
          </w:p>
        </w:tc>
        <w:tc>
          <w:tcPr>
            <w:tcW w:w="1080" w:type="dxa"/>
            <w:tcBorders>
              <w:top w:val="nil"/>
              <w:left w:val="nil"/>
              <w:bottom w:val="nil"/>
              <w:right w:val="nil"/>
            </w:tcBorders>
          </w:tcPr>
          <w:p w14:paraId="28AA61F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1.985</w:t>
            </w:r>
            <w:r w:rsidRPr="0053680E">
              <w:rPr>
                <w:rFonts w:asciiTheme="majorBidi" w:hAnsiTheme="majorBidi" w:cstheme="majorBidi"/>
                <w:sz w:val="20"/>
                <w:szCs w:val="20"/>
                <w:vertAlign w:val="superscript"/>
                <w:lang w:val="en-US"/>
              </w:rPr>
              <w:t>**</w:t>
            </w:r>
          </w:p>
        </w:tc>
        <w:tc>
          <w:tcPr>
            <w:tcW w:w="1170" w:type="dxa"/>
            <w:tcBorders>
              <w:top w:val="nil"/>
              <w:left w:val="nil"/>
              <w:bottom w:val="nil"/>
              <w:right w:val="nil"/>
            </w:tcBorders>
          </w:tcPr>
          <w:p w14:paraId="2B7C7BD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1.828</w:t>
            </w:r>
            <w:r w:rsidRPr="0053680E">
              <w:rPr>
                <w:rFonts w:asciiTheme="majorBidi" w:hAnsiTheme="majorBidi" w:cstheme="majorBidi"/>
                <w:sz w:val="20"/>
                <w:szCs w:val="20"/>
                <w:vertAlign w:val="superscript"/>
                <w:lang w:val="en-US"/>
              </w:rPr>
              <w:t>**</w:t>
            </w:r>
          </w:p>
        </w:tc>
        <w:tc>
          <w:tcPr>
            <w:tcW w:w="1080" w:type="dxa"/>
            <w:tcBorders>
              <w:top w:val="nil"/>
              <w:left w:val="nil"/>
              <w:bottom w:val="nil"/>
              <w:right w:val="nil"/>
            </w:tcBorders>
          </w:tcPr>
          <w:p w14:paraId="61A8F69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1.432</w:t>
            </w:r>
            <w:r w:rsidRPr="0053680E">
              <w:rPr>
                <w:rFonts w:asciiTheme="majorBidi" w:hAnsiTheme="majorBidi" w:cstheme="majorBidi"/>
                <w:sz w:val="20"/>
                <w:szCs w:val="20"/>
                <w:vertAlign w:val="superscript"/>
                <w:lang w:val="en-US"/>
              </w:rPr>
              <w:t>**</w:t>
            </w:r>
          </w:p>
        </w:tc>
        <w:tc>
          <w:tcPr>
            <w:tcW w:w="1170" w:type="dxa"/>
            <w:tcBorders>
              <w:top w:val="nil"/>
              <w:left w:val="nil"/>
              <w:bottom w:val="nil"/>
              <w:right w:val="nil"/>
            </w:tcBorders>
          </w:tcPr>
          <w:p w14:paraId="2A0A1F1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1.386</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615742F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1.363</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6BB1E65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1.198*</w:t>
            </w:r>
          </w:p>
        </w:tc>
        <w:tc>
          <w:tcPr>
            <w:tcW w:w="990" w:type="dxa"/>
            <w:tcBorders>
              <w:top w:val="nil"/>
              <w:left w:val="nil"/>
              <w:bottom w:val="nil"/>
              <w:right w:val="nil"/>
            </w:tcBorders>
          </w:tcPr>
          <w:p w14:paraId="22DF3A5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1.282*</w:t>
            </w:r>
          </w:p>
        </w:tc>
      </w:tr>
      <w:tr w:rsidR="001E0DEF" w:rsidRPr="0053680E" w14:paraId="7EA34A4A" w14:textId="77777777" w:rsidTr="003D25A1">
        <w:tc>
          <w:tcPr>
            <w:tcW w:w="850" w:type="dxa"/>
            <w:tcBorders>
              <w:top w:val="nil"/>
              <w:left w:val="nil"/>
              <w:bottom w:val="nil"/>
              <w:right w:val="nil"/>
            </w:tcBorders>
          </w:tcPr>
          <w:p w14:paraId="2DB5BE40"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3050727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(2.20)</w:t>
            </w:r>
          </w:p>
        </w:tc>
        <w:tc>
          <w:tcPr>
            <w:tcW w:w="1080" w:type="dxa"/>
            <w:tcBorders>
              <w:top w:val="nil"/>
              <w:left w:val="nil"/>
              <w:bottom w:val="nil"/>
              <w:right w:val="nil"/>
            </w:tcBorders>
          </w:tcPr>
          <w:p w14:paraId="1943470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(2.04)</w:t>
            </w:r>
          </w:p>
        </w:tc>
        <w:tc>
          <w:tcPr>
            <w:tcW w:w="1170" w:type="dxa"/>
            <w:tcBorders>
              <w:top w:val="nil"/>
              <w:left w:val="nil"/>
              <w:bottom w:val="nil"/>
              <w:right w:val="nil"/>
            </w:tcBorders>
          </w:tcPr>
          <w:p w14:paraId="450963B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(2.50)</w:t>
            </w:r>
          </w:p>
        </w:tc>
        <w:tc>
          <w:tcPr>
            <w:tcW w:w="1080" w:type="dxa"/>
            <w:tcBorders>
              <w:top w:val="nil"/>
              <w:left w:val="nil"/>
              <w:bottom w:val="nil"/>
              <w:right w:val="nil"/>
            </w:tcBorders>
          </w:tcPr>
          <w:p w14:paraId="14431A7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(2.13)</w:t>
            </w:r>
          </w:p>
        </w:tc>
        <w:tc>
          <w:tcPr>
            <w:tcW w:w="1170" w:type="dxa"/>
            <w:tcBorders>
              <w:top w:val="nil"/>
              <w:left w:val="nil"/>
              <w:bottom w:val="nil"/>
              <w:right w:val="nil"/>
            </w:tcBorders>
          </w:tcPr>
          <w:p w14:paraId="6D5BA09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(2.09)</w:t>
            </w:r>
          </w:p>
        </w:tc>
        <w:tc>
          <w:tcPr>
            <w:tcW w:w="990" w:type="dxa"/>
            <w:tcBorders>
              <w:top w:val="nil"/>
              <w:left w:val="nil"/>
              <w:bottom w:val="nil"/>
              <w:right w:val="nil"/>
            </w:tcBorders>
          </w:tcPr>
          <w:p w14:paraId="6F2CE51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(2.07)</w:t>
            </w:r>
          </w:p>
        </w:tc>
        <w:tc>
          <w:tcPr>
            <w:tcW w:w="990" w:type="dxa"/>
            <w:tcBorders>
              <w:top w:val="nil"/>
              <w:left w:val="nil"/>
              <w:bottom w:val="nil"/>
              <w:right w:val="nil"/>
            </w:tcBorders>
          </w:tcPr>
          <w:p w14:paraId="285DCFE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(1.84)</w:t>
            </w:r>
          </w:p>
        </w:tc>
        <w:tc>
          <w:tcPr>
            <w:tcW w:w="990" w:type="dxa"/>
            <w:tcBorders>
              <w:top w:val="nil"/>
              <w:left w:val="nil"/>
              <w:bottom w:val="nil"/>
              <w:right w:val="nil"/>
            </w:tcBorders>
          </w:tcPr>
          <w:p w14:paraId="31FE2A2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(1.95)</w:t>
            </w:r>
          </w:p>
        </w:tc>
      </w:tr>
      <w:tr w:rsidR="001E0DEF" w:rsidRPr="0053680E" w14:paraId="4FC5C6D2" w14:textId="77777777" w:rsidTr="003D25A1">
        <w:tc>
          <w:tcPr>
            <w:tcW w:w="850" w:type="dxa"/>
            <w:tcBorders>
              <w:top w:val="nil"/>
              <w:left w:val="nil"/>
              <w:bottom w:val="nil"/>
              <w:right w:val="nil"/>
            </w:tcBorders>
          </w:tcPr>
          <w:p w14:paraId="5966075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3A33BA2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6D79D43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75D0397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5038AC0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292D15E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41AE656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A7537D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DEC5D5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45D60AD5" w14:textId="77777777" w:rsidTr="003D25A1">
        <w:tc>
          <w:tcPr>
            <w:tcW w:w="850" w:type="dxa"/>
            <w:tcBorders>
              <w:top w:val="nil"/>
              <w:left w:val="nil"/>
              <w:bottom w:val="nil"/>
              <w:right w:val="nil"/>
            </w:tcBorders>
          </w:tcPr>
          <w:p w14:paraId="7169358F" w14:textId="686C7A7D"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IO</w:t>
            </w:r>
          </w:p>
        </w:tc>
        <w:tc>
          <w:tcPr>
            <w:tcW w:w="1035" w:type="dxa"/>
            <w:tcBorders>
              <w:top w:val="nil"/>
              <w:left w:val="nil"/>
              <w:bottom w:val="nil"/>
              <w:right w:val="nil"/>
            </w:tcBorders>
          </w:tcPr>
          <w:p w14:paraId="6C38B5E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-0.113</w:t>
            </w:r>
          </w:p>
        </w:tc>
        <w:tc>
          <w:tcPr>
            <w:tcW w:w="1080" w:type="dxa"/>
            <w:tcBorders>
              <w:top w:val="nil"/>
              <w:left w:val="nil"/>
              <w:bottom w:val="nil"/>
              <w:right w:val="nil"/>
            </w:tcBorders>
          </w:tcPr>
          <w:p w14:paraId="56A6F14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-0.074</w:t>
            </w:r>
          </w:p>
        </w:tc>
        <w:tc>
          <w:tcPr>
            <w:tcW w:w="1170" w:type="dxa"/>
            <w:tcBorders>
              <w:top w:val="nil"/>
              <w:left w:val="nil"/>
              <w:bottom w:val="nil"/>
              <w:right w:val="nil"/>
            </w:tcBorders>
          </w:tcPr>
          <w:p w14:paraId="5D82F79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0.350</w:t>
            </w:r>
            <w:r w:rsidRPr="0053680E">
              <w:rPr>
                <w:rFonts w:asciiTheme="majorBidi" w:hAnsiTheme="majorBidi" w:cstheme="majorBidi"/>
                <w:sz w:val="20"/>
                <w:szCs w:val="20"/>
                <w:vertAlign w:val="superscript"/>
                <w:lang w:val="en-US"/>
              </w:rPr>
              <w:t>**</w:t>
            </w:r>
          </w:p>
        </w:tc>
        <w:tc>
          <w:tcPr>
            <w:tcW w:w="1080" w:type="dxa"/>
            <w:tcBorders>
              <w:top w:val="nil"/>
              <w:left w:val="nil"/>
              <w:bottom w:val="nil"/>
              <w:right w:val="nil"/>
            </w:tcBorders>
          </w:tcPr>
          <w:p w14:paraId="04619B6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-0.088</w:t>
            </w:r>
          </w:p>
        </w:tc>
        <w:tc>
          <w:tcPr>
            <w:tcW w:w="1170" w:type="dxa"/>
            <w:tcBorders>
              <w:top w:val="nil"/>
              <w:left w:val="nil"/>
              <w:bottom w:val="nil"/>
              <w:right w:val="nil"/>
            </w:tcBorders>
          </w:tcPr>
          <w:p w14:paraId="2F926FD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-0.116</w:t>
            </w:r>
          </w:p>
        </w:tc>
        <w:tc>
          <w:tcPr>
            <w:tcW w:w="990" w:type="dxa"/>
            <w:tcBorders>
              <w:top w:val="nil"/>
              <w:left w:val="nil"/>
              <w:bottom w:val="nil"/>
              <w:right w:val="nil"/>
            </w:tcBorders>
          </w:tcPr>
          <w:p w14:paraId="1FD96D4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-0.110</w:t>
            </w:r>
          </w:p>
        </w:tc>
        <w:tc>
          <w:tcPr>
            <w:tcW w:w="990" w:type="dxa"/>
            <w:tcBorders>
              <w:top w:val="nil"/>
              <w:left w:val="nil"/>
              <w:bottom w:val="nil"/>
              <w:right w:val="nil"/>
            </w:tcBorders>
          </w:tcPr>
          <w:p w14:paraId="73417B3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-0.124</w:t>
            </w:r>
          </w:p>
        </w:tc>
        <w:tc>
          <w:tcPr>
            <w:tcW w:w="990" w:type="dxa"/>
            <w:tcBorders>
              <w:top w:val="nil"/>
              <w:left w:val="nil"/>
              <w:bottom w:val="nil"/>
              <w:right w:val="nil"/>
            </w:tcBorders>
          </w:tcPr>
          <w:p w14:paraId="322162B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-0.131</w:t>
            </w:r>
          </w:p>
        </w:tc>
      </w:tr>
      <w:tr w:rsidR="001E0DEF" w:rsidRPr="0053680E" w14:paraId="6FAA4AEF" w14:textId="77777777" w:rsidTr="003D25A1">
        <w:tc>
          <w:tcPr>
            <w:tcW w:w="850" w:type="dxa"/>
            <w:tcBorders>
              <w:top w:val="nil"/>
              <w:left w:val="nil"/>
              <w:bottom w:val="nil"/>
              <w:right w:val="nil"/>
            </w:tcBorders>
          </w:tcPr>
          <w:p w14:paraId="3F6A783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729323A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(-1.17)</w:t>
            </w:r>
          </w:p>
        </w:tc>
        <w:tc>
          <w:tcPr>
            <w:tcW w:w="1080" w:type="dxa"/>
            <w:tcBorders>
              <w:top w:val="nil"/>
              <w:left w:val="nil"/>
              <w:bottom w:val="nil"/>
              <w:right w:val="nil"/>
            </w:tcBorders>
          </w:tcPr>
          <w:p w14:paraId="11CBD50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(-0.73)</w:t>
            </w:r>
          </w:p>
        </w:tc>
        <w:tc>
          <w:tcPr>
            <w:tcW w:w="1170" w:type="dxa"/>
            <w:tcBorders>
              <w:top w:val="nil"/>
              <w:left w:val="nil"/>
              <w:bottom w:val="nil"/>
              <w:right w:val="nil"/>
            </w:tcBorders>
          </w:tcPr>
          <w:p w14:paraId="53B81DB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(2.22)</w:t>
            </w:r>
          </w:p>
        </w:tc>
        <w:tc>
          <w:tcPr>
            <w:tcW w:w="1080" w:type="dxa"/>
            <w:tcBorders>
              <w:top w:val="nil"/>
              <w:left w:val="nil"/>
              <w:bottom w:val="nil"/>
              <w:right w:val="nil"/>
            </w:tcBorders>
          </w:tcPr>
          <w:p w14:paraId="5959142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(-1.01)</w:t>
            </w:r>
          </w:p>
        </w:tc>
        <w:tc>
          <w:tcPr>
            <w:tcW w:w="1170" w:type="dxa"/>
            <w:tcBorders>
              <w:top w:val="nil"/>
              <w:left w:val="nil"/>
              <w:bottom w:val="nil"/>
              <w:right w:val="nil"/>
            </w:tcBorders>
          </w:tcPr>
          <w:p w14:paraId="4967F79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(-1.20)</w:t>
            </w:r>
          </w:p>
        </w:tc>
        <w:tc>
          <w:tcPr>
            <w:tcW w:w="990" w:type="dxa"/>
            <w:tcBorders>
              <w:top w:val="nil"/>
              <w:left w:val="nil"/>
              <w:bottom w:val="nil"/>
              <w:right w:val="nil"/>
            </w:tcBorders>
          </w:tcPr>
          <w:p w14:paraId="3492FFC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(-1.14)</w:t>
            </w:r>
          </w:p>
        </w:tc>
        <w:tc>
          <w:tcPr>
            <w:tcW w:w="990" w:type="dxa"/>
            <w:tcBorders>
              <w:top w:val="nil"/>
              <w:left w:val="nil"/>
              <w:bottom w:val="nil"/>
              <w:right w:val="nil"/>
            </w:tcBorders>
          </w:tcPr>
          <w:p w14:paraId="066B428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(-1.24)</w:t>
            </w:r>
          </w:p>
        </w:tc>
        <w:tc>
          <w:tcPr>
            <w:tcW w:w="990" w:type="dxa"/>
            <w:tcBorders>
              <w:top w:val="nil"/>
              <w:left w:val="nil"/>
              <w:bottom w:val="nil"/>
              <w:right w:val="nil"/>
            </w:tcBorders>
          </w:tcPr>
          <w:p w14:paraId="5BE4B2C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(-1.34)</w:t>
            </w:r>
          </w:p>
        </w:tc>
      </w:tr>
      <w:tr w:rsidR="001E0DEF" w:rsidRPr="0053680E" w14:paraId="034A952D" w14:textId="77777777" w:rsidTr="003D25A1">
        <w:tc>
          <w:tcPr>
            <w:tcW w:w="850" w:type="dxa"/>
            <w:tcBorders>
              <w:top w:val="nil"/>
              <w:left w:val="nil"/>
              <w:bottom w:val="nil"/>
              <w:right w:val="nil"/>
            </w:tcBorders>
          </w:tcPr>
          <w:p w14:paraId="7309B53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5679417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04D1474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6BA8287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2D26180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2973BB0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7DBAFA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21EE498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4D885C5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33CA20B8" w14:textId="77777777" w:rsidTr="003D25A1">
        <w:tc>
          <w:tcPr>
            <w:tcW w:w="850" w:type="dxa"/>
            <w:tcBorders>
              <w:top w:val="nil"/>
              <w:left w:val="nil"/>
              <w:bottom w:val="nil"/>
              <w:right w:val="nil"/>
            </w:tcBorders>
          </w:tcPr>
          <w:p w14:paraId="5F499B97" w14:textId="1829D8C1"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NE</w:t>
            </w:r>
          </w:p>
        </w:tc>
        <w:tc>
          <w:tcPr>
            <w:tcW w:w="1035" w:type="dxa"/>
            <w:tcBorders>
              <w:top w:val="nil"/>
              <w:left w:val="nil"/>
              <w:bottom w:val="nil"/>
              <w:right w:val="nil"/>
            </w:tcBorders>
          </w:tcPr>
          <w:p w14:paraId="25E2CB3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0.127</w:t>
            </w:r>
          </w:p>
        </w:tc>
        <w:tc>
          <w:tcPr>
            <w:tcW w:w="1080" w:type="dxa"/>
            <w:tcBorders>
              <w:top w:val="nil"/>
              <w:left w:val="nil"/>
              <w:bottom w:val="nil"/>
              <w:right w:val="nil"/>
            </w:tcBorders>
          </w:tcPr>
          <w:p w14:paraId="089A17C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0.159</w:t>
            </w:r>
          </w:p>
        </w:tc>
        <w:tc>
          <w:tcPr>
            <w:tcW w:w="1170" w:type="dxa"/>
            <w:tcBorders>
              <w:top w:val="nil"/>
              <w:left w:val="nil"/>
              <w:bottom w:val="nil"/>
              <w:right w:val="nil"/>
            </w:tcBorders>
          </w:tcPr>
          <w:p w14:paraId="1A8E11B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0.237</w:t>
            </w:r>
          </w:p>
        </w:tc>
        <w:tc>
          <w:tcPr>
            <w:tcW w:w="1080" w:type="dxa"/>
            <w:tcBorders>
              <w:top w:val="nil"/>
              <w:left w:val="nil"/>
              <w:bottom w:val="nil"/>
              <w:right w:val="nil"/>
            </w:tcBorders>
          </w:tcPr>
          <w:p w14:paraId="574B7C9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0.209</w:t>
            </w:r>
          </w:p>
        </w:tc>
        <w:tc>
          <w:tcPr>
            <w:tcW w:w="1170" w:type="dxa"/>
            <w:tcBorders>
              <w:top w:val="nil"/>
              <w:left w:val="nil"/>
              <w:bottom w:val="nil"/>
              <w:right w:val="nil"/>
            </w:tcBorders>
          </w:tcPr>
          <w:p w14:paraId="05F698A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0.149</w:t>
            </w:r>
          </w:p>
        </w:tc>
        <w:tc>
          <w:tcPr>
            <w:tcW w:w="990" w:type="dxa"/>
            <w:tcBorders>
              <w:top w:val="nil"/>
              <w:left w:val="nil"/>
              <w:bottom w:val="nil"/>
              <w:right w:val="nil"/>
            </w:tcBorders>
          </w:tcPr>
          <w:p w14:paraId="604AE73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0.164</w:t>
            </w:r>
          </w:p>
        </w:tc>
        <w:tc>
          <w:tcPr>
            <w:tcW w:w="990" w:type="dxa"/>
            <w:tcBorders>
              <w:top w:val="nil"/>
              <w:left w:val="nil"/>
              <w:bottom w:val="nil"/>
              <w:right w:val="nil"/>
            </w:tcBorders>
          </w:tcPr>
          <w:p w14:paraId="349499F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0.301</w:t>
            </w:r>
          </w:p>
        </w:tc>
        <w:tc>
          <w:tcPr>
            <w:tcW w:w="990" w:type="dxa"/>
            <w:tcBorders>
              <w:top w:val="nil"/>
              <w:left w:val="nil"/>
              <w:bottom w:val="nil"/>
              <w:right w:val="nil"/>
            </w:tcBorders>
          </w:tcPr>
          <w:p w14:paraId="43E498E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-0.489</w:t>
            </w:r>
          </w:p>
        </w:tc>
      </w:tr>
      <w:tr w:rsidR="001E0DEF" w:rsidRPr="0053680E" w14:paraId="252A38BA" w14:textId="77777777" w:rsidTr="003D25A1">
        <w:tc>
          <w:tcPr>
            <w:tcW w:w="850" w:type="dxa"/>
            <w:tcBorders>
              <w:top w:val="nil"/>
              <w:left w:val="nil"/>
              <w:bottom w:val="nil"/>
              <w:right w:val="nil"/>
            </w:tcBorders>
          </w:tcPr>
          <w:p w14:paraId="6C560E0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3C6524E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(0.48)</w:t>
            </w:r>
          </w:p>
        </w:tc>
        <w:tc>
          <w:tcPr>
            <w:tcW w:w="1080" w:type="dxa"/>
            <w:tcBorders>
              <w:top w:val="nil"/>
              <w:left w:val="nil"/>
              <w:bottom w:val="nil"/>
              <w:right w:val="nil"/>
            </w:tcBorders>
          </w:tcPr>
          <w:p w14:paraId="0F46275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(0.61)</w:t>
            </w:r>
          </w:p>
        </w:tc>
        <w:tc>
          <w:tcPr>
            <w:tcW w:w="1170" w:type="dxa"/>
            <w:tcBorders>
              <w:top w:val="nil"/>
              <w:left w:val="nil"/>
              <w:bottom w:val="nil"/>
              <w:right w:val="nil"/>
            </w:tcBorders>
          </w:tcPr>
          <w:p w14:paraId="115ED6A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(0.91)</w:t>
            </w:r>
          </w:p>
        </w:tc>
        <w:tc>
          <w:tcPr>
            <w:tcW w:w="1080" w:type="dxa"/>
            <w:tcBorders>
              <w:top w:val="nil"/>
              <w:left w:val="nil"/>
              <w:bottom w:val="nil"/>
              <w:right w:val="nil"/>
            </w:tcBorders>
          </w:tcPr>
          <w:p w14:paraId="7E5E373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(0.80)</w:t>
            </w:r>
          </w:p>
        </w:tc>
        <w:tc>
          <w:tcPr>
            <w:tcW w:w="1170" w:type="dxa"/>
            <w:tcBorders>
              <w:top w:val="nil"/>
              <w:left w:val="nil"/>
              <w:bottom w:val="nil"/>
              <w:right w:val="nil"/>
            </w:tcBorders>
          </w:tcPr>
          <w:p w14:paraId="7F78EB5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(0.56)</w:t>
            </w:r>
          </w:p>
        </w:tc>
        <w:tc>
          <w:tcPr>
            <w:tcW w:w="990" w:type="dxa"/>
            <w:tcBorders>
              <w:top w:val="nil"/>
              <w:left w:val="nil"/>
              <w:bottom w:val="nil"/>
              <w:right w:val="nil"/>
            </w:tcBorders>
          </w:tcPr>
          <w:p w14:paraId="5CE8F81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(0.61)</w:t>
            </w:r>
          </w:p>
        </w:tc>
        <w:tc>
          <w:tcPr>
            <w:tcW w:w="990" w:type="dxa"/>
            <w:tcBorders>
              <w:top w:val="nil"/>
              <w:left w:val="nil"/>
              <w:bottom w:val="nil"/>
              <w:right w:val="nil"/>
            </w:tcBorders>
          </w:tcPr>
          <w:p w14:paraId="7083617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(1.13)</w:t>
            </w:r>
          </w:p>
        </w:tc>
        <w:tc>
          <w:tcPr>
            <w:tcW w:w="990" w:type="dxa"/>
            <w:tcBorders>
              <w:top w:val="nil"/>
              <w:left w:val="nil"/>
              <w:bottom w:val="nil"/>
              <w:right w:val="nil"/>
            </w:tcBorders>
          </w:tcPr>
          <w:p w14:paraId="7B3E6EB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(-1.28)</w:t>
            </w:r>
          </w:p>
        </w:tc>
      </w:tr>
      <w:tr w:rsidR="001E0DEF" w:rsidRPr="0053680E" w14:paraId="6CDC36CC" w14:textId="77777777" w:rsidTr="003D25A1">
        <w:tc>
          <w:tcPr>
            <w:tcW w:w="850" w:type="dxa"/>
            <w:tcBorders>
              <w:top w:val="nil"/>
              <w:left w:val="nil"/>
              <w:bottom w:val="nil"/>
              <w:right w:val="nil"/>
            </w:tcBorders>
          </w:tcPr>
          <w:p w14:paraId="5FCEEDB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2083786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6EADD95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1E787A2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0EF250C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0111C7C0"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2228C1F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10A67AA0"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DBB133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7D5B83AD" w14:textId="77777777" w:rsidTr="003D25A1">
        <w:tc>
          <w:tcPr>
            <w:tcW w:w="850" w:type="dxa"/>
            <w:tcBorders>
              <w:top w:val="nil"/>
              <w:left w:val="nil"/>
              <w:bottom w:val="nil"/>
              <w:right w:val="nil"/>
            </w:tcBorders>
          </w:tcPr>
          <w:p w14:paraId="572F1928" w14:textId="3A736AEB"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BS</w:t>
            </w:r>
          </w:p>
        </w:tc>
        <w:tc>
          <w:tcPr>
            <w:tcW w:w="1035" w:type="dxa"/>
            <w:tcBorders>
              <w:top w:val="nil"/>
              <w:left w:val="nil"/>
              <w:bottom w:val="nil"/>
              <w:right w:val="nil"/>
            </w:tcBorders>
          </w:tcPr>
          <w:p w14:paraId="44E506D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-0.412*</w:t>
            </w:r>
          </w:p>
        </w:tc>
        <w:tc>
          <w:tcPr>
            <w:tcW w:w="1080" w:type="dxa"/>
            <w:tcBorders>
              <w:top w:val="nil"/>
              <w:left w:val="nil"/>
              <w:bottom w:val="nil"/>
              <w:right w:val="nil"/>
            </w:tcBorders>
          </w:tcPr>
          <w:p w14:paraId="21447B3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-0.421*</w:t>
            </w:r>
          </w:p>
        </w:tc>
        <w:tc>
          <w:tcPr>
            <w:tcW w:w="1170" w:type="dxa"/>
            <w:tcBorders>
              <w:top w:val="nil"/>
              <w:left w:val="nil"/>
              <w:bottom w:val="nil"/>
              <w:right w:val="nil"/>
            </w:tcBorders>
          </w:tcPr>
          <w:p w14:paraId="5B37B24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-0.510</w:t>
            </w:r>
            <w:r w:rsidRPr="0053680E">
              <w:rPr>
                <w:rFonts w:asciiTheme="majorBidi" w:hAnsiTheme="majorBidi" w:cstheme="majorBidi"/>
                <w:sz w:val="20"/>
                <w:szCs w:val="20"/>
                <w:vertAlign w:val="superscript"/>
                <w:lang w:val="en-US"/>
              </w:rPr>
              <w:t>**</w:t>
            </w:r>
          </w:p>
        </w:tc>
        <w:tc>
          <w:tcPr>
            <w:tcW w:w="1080" w:type="dxa"/>
            <w:tcBorders>
              <w:top w:val="nil"/>
              <w:left w:val="nil"/>
              <w:bottom w:val="nil"/>
              <w:right w:val="nil"/>
            </w:tcBorders>
          </w:tcPr>
          <w:p w14:paraId="02BF9B6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-0.535</w:t>
            </w:r>
            <w:r w:rsidRPr="0053680E">
              <w:rPr>
                <w:rFonts w:asciiTheme="majorBidi" w:hAnsiTheme="majorBidi" w:cstheme="majorBidi"/>
                <w:sz w:val="20"/>
                <w:szCs w:val="20"/>
                <w:vertAlign w:val="superscript"/>
                <w:lang w:val="en-US"/>
              </w:rPr>
              <w:t>**</w:t>
            </w:r>
          </w:p>
        </w:tc>
        <w:tc>
          <w:tcPr>
            <w:tcW w:w="1170" w:type="dxa"/>
            <w:tcBorders>
              <w:top w:val="nil"/>
              <w:left w:val="nil"/>
              <w:bottom w:val="nil"/>
              <w:right w:val="nil"/>
            </w:tcBorders>
          </w:tcPr>
          <w:p w14:paraId="0BB95BB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-0.472*</w:t>
            </w:r>
          </w:p>
        </w:tc>
        <w:tc>
          <w:tcPr>
            <w:tcW w:w="990" w:type="dxa"/>
            <w:tcBorders>
              <w:top w:val="nil"/>
              <w:left w:val="nil"/>
              <w:bottom w:val="nil"/>
              <w:right w:val="nil"/>
            </w:tcBorders>
          </w:tcPr>
          <w:p w14:paraId="6100562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-0.627</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64F5B20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-0.476</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40BBBD5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-0.385*</w:t>
            </w:r>
          </w:p>
        </w:tc>
      </w:tr>
      <w:tr w:rsidR="001E0DEF" w:rsidRPr="0053680E" w14:paraId="4061A3F4" w14:textId="77777777" w:rsidTr="003D25A1">
        <w:tc>
          <w:tcPr>
            <w:tcW w:w="850" w:type="dxa"/>
            <w:tcBorders>
              <w:top w:val="nil"/>
              <w:left w:val="nil"/>
              <w:bottom w:val="nil"/>
              <w:right w:val="nil"/>
            </w:tcBorders>
          </w:tcPr>
          <w:p w14:paraId="3AD7723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7645973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(-1.79)</w:t>
            </w:r>
          </w:p>
        </w:tc>
        <w:tc>
          <w:tcPr>
            <w:tcW w:w="1080" w:type="dxa"/>
            <w:tcBorders>
              <w:top w:val="nil"/>
              <w:left w:val="nil"/>
              <w:bottom w:val="nil"/>
              <w:right w:val="nil"/>
            </w:tcBorders>
          </w:tcPr>
          <w:p w14:paraId="66C841F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(-1.86)</w:t>
            </w:r>
          </w:p>
        </w:tc>
        <w:tc>
          <w:tcPr>
            <w:tcW w:w="1170" w:type="dxa"/>
            <w:tcBorders>
              <w:top w:val="nil"/>
              <w:left w:val="nil"/>
              <w:bottom w:val="nil"/>
              <w:right w:val="nil"/>
            </w:tcBorders>
          </w:tcPr>
          <w:p w14:paraId="2B97D17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(-2.18)</w:t>
            </w:r>
          </w:p>
        </w:tc>
        <w:tc>
          <w:tcPr>
            <w:tcW w:w="1080" w:type="dxa"/>
            <w:tcBorders>
              <w:top w:val="nil"/>
              <w:left w:val="nil"/>
              <w:bottom w:val="nil"/>
              <w:right w:val="nil"/>
            </w:tcBorders>
          </w:tcPr>
          <w:p w14:paraId="7A4C6EB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(-2.21)</w:t>
            </w:r>
          </w:p>
        </w:tc>
        <w:tc>
          <w:tcPr>
            <w:tcW w:w="1170" w:type="dxa"/>
            <w:tcBorders>
              <w:top w:val="nil"/>
              <w:left w:val="nil"/>
              <w:bottom w:val="nil"/>
              <w:right w:val="nil"/>
            </w:tcBorders>
          </w:tcPr>
          <w:p w14:paraId="613F64A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(-1.67)</w:t>
            </w:r>
          </w:p>
        </w:tc>
        <w:tc>
          <w:tcPr>
            <w:tcW w:w="990" w:type="dxa"/>
            <w:tcBorders>
              <w:top w:val="nil"/>
              <w:left w:val="nil"/>
              <w:bottom w:val="nil"/>
              <w:right w:val="nil"/>
            </w:tcBorders>
          </w:tcPr>
          <w:p w14:paraId="58061BB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(-2.06)</w:t>
            </w:r>
          </w:p>
        </w:tc>
        <w:tc>
          <w:tcPr>
            <w:tcW w:w="990" w:type="dxa"/>
            <w:tcBorders>
              <w:top w:val="nil"/>
              <w:left w:val="nil"/>
              <w:bottom w:val="nil"/>
              <w:right w:val="nil"/>
            </w:tcBorders>
          </w:tcPr>
          <w:p w14:paraId="7D62E1C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(-2.01)</w:t>
            </w:r>
          </w:p>
        </w:tc>
        <w:tc>
          <w:tcPr>
            <w:tcW w:w="990" w:type="dxa"/>
            <w:tcBorders>
              <w:top w:val="nil"/>
              <w:left w:val="nil"/>
              <w:bottom w:val="nil"/>
              <w:right w:val="nil"/>
            </w:tcBorders>
          </w:tcPr>
          <w:p w14:paraId="557D3B8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(-1.65)</w:t>
            </w:r>
          </w:p>
        </w:tc>
      </w:tr>
      <w:tr w:rsidR="001E0DEF" w:rsidRPr="0053680E" w14:paraId="05EA642A" w14:textId="77777777" w:rsidTr="003D25A1">
        <w:tc>
          <w:tcPr>
            <w:tcW w:w="850" w:type="dxa"/>
            <w:tcBorders>
              <w:top w:val="nil"/>
              <w:left w:val="nil"/>
              <w:bottom w:val="nil"/>
              <w:right w:val="nil"/>
            </w:tcBorders>
          </w:tcPr>
          <w:p w14:paraId="7CDB8F6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0E19FC8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15F975E0"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1E2BDA0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13574B1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16E81BA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6178AF6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6DEDD9E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8CE85A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6D77074E" w14:textId="77777777" w:rsidTr="003D25A1">
        <w:tc>
          <w:tcPr>
            <w:tcW w:w="850" w:type="dxa"/>
            <w:tcBorders>
              <w:top w:val="nil"/>
              <w:left w:val="nil"/>
              <w:bottom w:val="nil"/>
              <w:right w:val="nil"/>
            </w:tcBorders>
          </w:tcPr>
          <w:p w14:paraId="0C11427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AGE</w:t>
            </w:r>
          </w:p>
        </w:tc>
        <w:tc>
          <w:tcPr>
            <w:tcW w:w="1035" w:type="dxa"/>
            <w:tcBorders>
              <w:top w:val="nil"/>
              <w:left w:val="nil"/>
              <w:bottom w:val="nil"/>
              <w:right w:val="nil"/>
            </w:tcBorders>
          </w:tcPr>
          <w:p w14:paraId="0D30040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0.336</w:t>
            </w:r>
            <w:r w:rsidRPr="0053680E">
              <w:rPr>
                <w:rFonts w:asciiTheme="majorBidi" w:hAnsiTheme="majorBidi" w:cstheme="majorBidi"/>
                <w:sz w:val="20"/>
                <w:szCs w:val="20"/>
                <w:vertAlign w:val="superscript"/>
                <w:lang w:val="en-US"/>
              </w:rPr>
              <w:t>***</w:t>
            </w:r>
          </w:p>
        </w:tc>
        <w:tc>
          <w:tcPr>
            <w:tcW w:w="1080" w:type="dxa"/>
            <w:tcBorders>
              <w:top w:val="nil"/>
              <w:left w:val="nil"/>
              <w:bottom w:val="nil"/>
              <w:right w:val="nil"/>
            </w:tcBorders>
          </w:tcPr>
          <w:p w14:paraId="06178C3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0.296</w:t>
            </w:r>
            <w:r w:rsidRPr="0053680E">
              <w:rPr>
                <w:rFonts w:asciiTheme="majorBidi" w:hAnsiTheme="majorBidi" w:cstheme="majorBidi"/>
                <w:sz w:val="20"/>
                <w:szCs w:val="20"/>
                <w:vertAlign w:val="superscript"/>
                <w:lang w:val="en-US"/>
              </w:rPr>
              <w:t>**</w:t>
            </w:r>
          </w:p>
        </w:tc>
        <w:tc>
          <w:tcPr>
            <w:tcW w:w="1170" w:type="dxa"/>
            <w:tcBorders>
              <w:top w:val="nil"/>
              <w:left w:val="nil"/>
              <w:bottom w:val="nil"/>
              <w:right w:val="nil"/>
            </w:tcBorders>
          </w:tcPr>
          <w:p w14:paraId="506ABD4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0.332</w:t>
            </w:r>
            <w:r w:rsidRPr="0053680E">
              <w:rPr>
                <w:rFonts w:asciiTheme="majorBidi" w:hAnsiTheme="majorBidi" w:cstheme="majorBidi"/>
                <w:sz w:val="20"/>
                <w:szCs w:val="20"/>
                <w:vertAlign w:val="superscript"/>
                <w:lang w:val="en-US"/>
              </w:rPr>
              <w:t>***</w:t>
            </w:r>
          </w:p>
        </w:tc>
        <w:tc>
          <w:tcPr>
            <w:tcW w:w="1080" w:type="dxa"/>
            <w:tcBorders>
              <w:top w:val="nil"/>
              <w:left w:val="nil"/>
              <w:bottom w:val="nil"/>
              <w:right w:val="nil"/>
            </w:tcBorders>
          </w:tcPr>
          <w:p w14:paraId="29EBEF1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0.344</w:t>
            </w:r>
            <w:r w:rsidRPr="0053680E">
              <w:rPr>
                <w:rFonts w:asciiTheme="majorBidi" w:hAnsiTheme="majorBidi" w:cstheme="majorBidi"/>
                <w:sz w:val="20"/>
                <w:szCs w:val="20"/>
                <w:vertAlign w:val="superscript"/>
                <w:lang w:val="en-US"/>
              </w:rPr>
              <w:t>***</w:t>
            </w:r>
          </w:p>
        </w:tc>
        <w:tc>
          <w:tcPr>
            <w:tcW w:w="1170" w:type="dxa"/>
            <w:tcBorders>
              <w:top w:val="nil"/>
              <w:left w:val="nil"/>
              <w:bottom w:val="nil"/>
              <w:right w:val="nil"/>
            </w:tcBorders>
          </w:tcPr>
          <w:p w14:paraId="5B40E65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0.339</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63D1FB1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0.334</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099A668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0.310</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035BA28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0.326</w:t>
            </w:r>
            <w:r w:rsidRPr="0053680E">
              <w:rPr>
                <w:rFonts w:asciiTheme="majorBidi" w:hAnsiTheme="majorBidi" w:cstheme="majorBidi"/>
                <w:sz w:val="20"/>
                <w:szCs w:val="20"/>
                <w:vertAlign w:val="superscript"/>
                <w:lang w:val="en-US"/>
              </w:rPr>
              <w:t>***</w:t>
            </w:r>
          </w:p>
        </w:tc>
      </w:tr>
      <w:tr w:rsidR="001E0DEF" w:rsidRPr="0053680E" w14:paraId="6851DDA0" w14:textId="77777777" w:rsidTr="003D25A1">
        <w:tc>
          <w:tcPr>
            <w:tcW w:w="850" w:type="dxa"/>
            <w:tcBorders>
              <w:top w:val="nil"/>
              <w:left w:val="nil"/>
              <w:bottom w:val="nil"/>
              <w:right w:val="nil"/>
            </w:tcBorders>
          </w:tcPr>
          <w:p w14:paraId="0A603B9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28DBCEA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(2.71)</w:t>
            </w:r>
          </w:p>
        </w:tc>
        <w:tc>
          <w:tcPr>
            <w:tcW w:w="1080" w:type="dxa"/>
            <w:tcBorders>
              <w:top w:val="nil"/>
              <w:left w:val="nil"/>
              <w:bottom w:val="nil"/>
              <w:right w:val="nil"/>
            </w:tcBorders>
          </w:tcPr>
          <w:p w14:paraId="1394981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(2.48)</w:t>
            </w:r>
          </w:p>
        </w:tc>
        <w:tc>
          <w:tcPr>
            <w:tcW w:w="1170" w:type="dxa"/>
            <w:tcBorders>
              <w:top w:val="nil"/>
              <w:left w:val="nil"/>
              <w:bottom w:val="nil"/>
              <w:right w:val="nil"/>
            </w:tcBorders>
          </w:tcPr>
          <w:p w14:paraId="469C858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(2.74)</w:t>
            </w:r>
          </w:p>
        </w:tc>
        <w:tc>
          <w:tcPr>
            <w:tcW w:w="1080" w:type="dxa"/>
            <w:tcBorders>
              <w:top w:val="nil"/>
              <w:left w:val="nil"/>
              <w:bottom w:val="nil"/>
              <w:right w:val="nil"/>
            </w:tcBorders>
          </w:tcPr>
          <w:p w14:paraId="7DBA47B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(2.81)</w:t>
            </w:r>
          </w:p>
        </w:tc>
        <w:tc>
          <w:tcPr>
            <w:tcW w:w="1170" w:type="dxa"/>
            <w:tcBorders>
              <w:top w:val="nil"/>
              <w:left w:val="nil"/>
              <w:bottom w:val="nil"/>
              <w:right w:val="nil"/>
            </w:tcBorders>
          </w:tcPr>
          <w:p w14:paraId="6E5EAEA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(2.90)</w:t>
            </w:r>
          </w:p>
        </w:tc>
        <w:tc>
          <w:tcPr>
            <w:tcW w:w="990" w:type="dxa"/>
            <w:tcBorders>
              <w:top w:val="nil"/>
              <w:left w:val="nil"/>
              <w:bottom w:val="nil"/>
              <w:right w:val="nil"/>
            </w:tcBorders>
          </w:tcPr>
          <w:p w14:paraId="415FB8F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(2.86)</w:t>
            </w:r>
          </w:p>
        </w:tc>
        <w:tc>
          <w:tcPr>
            <w:tcW w:w="990" w:type="dxa"/>
            <w:tcBorders>
              <w:top w:val="nil"/>
              <w:left w:val="nil"/>
              <w:bottom w:val="nil"/>
              <w:right w:val="nil"/>
            </w:tcBorders>
          </w:tcPr>
          <w:p w14:paraId="1047329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(2.63)</w:t>
            </w:r>
          </w:p>
        </w:tc>
        <w:tc>
          <w:tcPr>
            <w:tcW w:w="990" w:type="dxa"/>
            <w:tcBorders>
              <w:top w:val="nil"/>
              <w:left w:val="nil"/>
              <w:bottom w:val="nil"/>
              <w:right w:val="nil"/>
            </w:tcBorders>
          </w:tcPr>
          <w:p w14:paraId="166CD5C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(2.79)</w:t>
            </w:r>
          </w:p>
        </w:tc>
      </w:tr>
      <w:tr w:rsidR="001E0DEF" w:rsidRPr="0053680E" w14:paraId="1113D618" w14:textId="77777777" w:rsidTr="003D25A1">
        <w:tc>
          <w:tcPr>
            <w:tcW w:w="850" w:type="dxa"/>
            <w:tcBorders>
              <w:top w:val="nil"/>
              <w:left w:val="nil"/>
              <w:bottom w:val="nil"/>
              <w:right w:val="nil"/>
            </w:tcBorders>
          </w:tcPr>
          <w:p w14:paraId="27B0350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2DEEB7E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3A116CB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4984558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74D162C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1FC80EA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8E67E0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1D7D7AD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71DEF2C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63B30A1D" w14:textId="77777777" w:rsidTr="003D25A1">
        <w:tc>
          <w:tcPr>
            <w:tcW w:w="850" w:type="dxa"/>
            <w:tcBorders>
              <w:top w:val="nil"/>
              <w:left w:val="nil"/>
              <w:bottom w:val="nil"/>
              <w:right w:val="nil"/>
            </w:tcBorders>
          </w:tcPr>
          <w:p w14:paraId="4109137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TEN</w:t>
            </w:r>
          </w:p>
        </w:tc>
        <w:tc>
          <w:tcPr>
            <w:tcW w:w="1035" w:type="dxa"/>
            <w:tcBorders>
              <w:top w:val="nil"/>
              <w:left w:val="nil"/>
              <w:bottom w:val="nil"/>
              <w:right w:val="nil"/>
            </w:tcBorders>
          </w:tcPr>
          <w:p w14:paraId="143D61C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0.010</w:t>
            </w:r>
          </w:p>
        </w:tc>
        <w:tc>
          <w:tcPr>
            <w:tcW w:w="1080" w:type="dxa"/>
            <w:tcBorders>
              <w:top w:val="nil"/>
              <w:left w:val="nil"/>
              <w:bottom w:val="nil"/>
              <w:right w:val="nil"/>
            </w:tcBorders>
          </w:tcPr>
          <w:p w14:paraId="11DDC29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0.031</w:t>
            </w:r>
          </w:p>
        </w:tc>
        <w:tc>
          <w:tcPr>
            <w:tcW w:w="1170" w:type="dxa"/>
            <w:tcBorders>
              <w:top w:val="nil"/>
              <w:left w:val="nil"/>
              <w:bottom w:val="nil"/>
              <w:right w:val="nil"/>
            </w:tcBorders>
          </w:tcPr>
          <w:p w14:paraId="037E57B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-0.059</w:t>
            </w:r>
          </w:p>
        </w:tc>
        <w:tc>
          <w:tcPr>
            <w:tcW w:w="1080" w:type="dxa"/>
            <w:tcBorders>
              <w:top w:val="nil"/>
              <w:left w:val="nil"/>
              <w:bottom w:val="nil"/>
              <w:right w:val="nil"/>
            </w:tcBorders>
          </w:tcPr>
          <w:p w14:paraId="20F8114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-0.016</w:t>
            </w:r>
          </w:p>
        </w:tc>
        <w:tc>
          <w:tcPr>
            <w:tcW w:w="1170" w:type="dxa"/>
            <w:tcBorders>
              <w:top w:val="nil"/>
              <w:left w:val="nil"/>
              <w:bottom w:val="nil"/>
              <w:right w:val="nil"/>
            </w:tcBorders>
          </w:tcPr>
          <w:p w14:paraId="67BB85B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-0.004</w:t>
            </w:r>
          </w:p>
        </w:tc>
        <w:tc>
          <w:tcPr>
            <w:tcW w:w="990" w:type="dxa"/>
            <w:tcBorders>
              <w:top w:val="nil"/>
              <w:left w:val="nil"/>
              <w:bottom w:val="nil"/>
              <w:right w:val="nil"/>
            </w:tcBorders>
          </w:tcPr>
          <w:p w14:paraId="2004BA4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-0.009</w:t>
            </w:r>
          </w:p>
        </w:tc>
        <w:tc>
          <w:tcPr>
            <w:tcW w:w="990" w:type="dxa"/>
            <w:tcBorders>
              <w:top w:val="nil"/>
              <w:left w:val="nil"/>
              <w:bottom w:val="nil"/>
              <w:right w:val="nil"/>
            </w:tcBorders>
          </w:tcPr>
          <w:p w14:paraId="706B33F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0.000</w:t>
            </w:r>
          </w:p>
        </w:tc>
        <w:tc>
          <w:tcPr>
            <w:tcW w:w="990" w:type="dxa"/>
            <w:tcBorders>
              <w:top w:val="nil"/>
              <w:left w:val="nil"/>
              <w:bottom w:val="nil"/>
              <w:right w:val="nil"/>
            </w:tcBorders>
          </w:tcPr>
          <w:p w14:paraId="5BB5ACC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-0.007</w:t>
            </w:r>
          </w:p>
        </w:tc>
      </w:tr>
      <w:tr w:rsidR="001E0DEF" w:rsidRPr="0053680E" w14:paraId="1C54E437" w14:textId="77777777" w:rsidTr="003D25A1">
        <w:tc>
          <w:tcPr>
            <w:tcW w:w="850" w:type="dxa"/>
            <w:tcBorders>
              <w:top w:val="nil"/>
              <w:left w:val="nil"/>
              <w:bottom w:val="nil"/>
              <w:right w:val="nil"/>
            </w:tcBorders>
          </w:tcPr>
          <w:p w14:paraId="6697EBF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6D44AFC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(0.09)</w:t>
            </w:r>
          </w:p>
        </w:tc>
        <w:tc>
          <w:tcPr>
            <w:tcW w:w="1080" w:type="dxa"/>
            <w:tcBorders>
              <w:top w:val="nil"/>
              <w:left w:val="nil"/>
              <w:bottom w:val="nil"/>
              <w:right w:val="nil"/>
            </w:tcBorders>
          </w:tcPr>
          <w:p w14:paraId="7F1977C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(0.28)</w:t>
            </w:r>
          </w:p>
        </w:tc>
        <w:tc>
          <w:tcPr>
            <w:tcW w:w="1170" w:type="dxa"/>
            <w:tcBorders>
              <w:top w:val="nil"/>
              <w:left w:val="nil"/>
              <w:bottom w:val="nil"/>
              <w:right w:val="nil"/>
            </w:tcBorders>
          </w:tcPr>
          <w:p w14:paraId="0F16115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(-0.54)</w:t>
            </w:r>
          </w:p>
        </w:tc>
        <w:tc>
          <w:tcPr>
            <w:tcW w:w="1080" w:type="dxa"/>
            <w:tcBorders>
              <w:top w:val="nil"/>
              <w:left w:val="nil"/>
              <w:bottom w:val="nil"/>
              <w:right w:val="nil"/>
            </w:tcBorders>
          </w:tcPr>
          <w:p w14:paraId="5CA4526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(-0.15)</w:t>
            </w:r>
          </w:p>
        </w:tc>
        <w:tc>
          <w:tcPr>
            <w:tcW w:w="1170" w:type="dxa"/>
            <w:tcBorders>
              <w:top w:val="nil"/>
              <w:left w:val="nil"/>
              <w:bottom w:val="nil"/>
              <w:right w:val="nil"/>
            </w:tcBorders>
          </w:tcPr>
          <w:p w14:paraId="26F9454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(-0.03)</w:t>
            </w:r>
          </w:p>
        </w:tc>
        <w:tc>
          <w:tcPr>
            <w:tcW w:w="990" w:type="dxa"/>
            <w:tcBorders>
              <w:top w:val="nil"/>
              <w:left w:val="nil"/>
              <w:bottom w:val="nil"/>
              <w:right w:val="nil"/>
            </w:tcBorders>
          </w:tcPr>
          <w:p w14:paraId="43E3A02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(-0.08)</w:t>
            </w:r>
          </w:p>
        </w:tc>
        <w:tc>
          <w:tcPr>
            <w:tcW w:w="990" w:type="dxa"/>
            <w:tcBorders>
              <w:top w:val="nil"/>
              <w:left w:val="nil"/>
              <w:bottom w:val="nil"/>
              <w:right w:val="nil"/>
            </w:tcBorders>
          </w:tcPr>
          <w:p w14:paraId="0E84504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(0.00)</w:t>
            </w:r>
          </w:p>
        </w:tc>
        <w:tc>
          <w:tcPr>
            <w:tcW w:w="990" w:type="dxa"/>
            <w:tcBorders>
              <w:top w:val="nil"/>
              <w:left w:val="nil"/>
              <w:bottom w:val="nil"/>
              <w:right w:val="nil"/>
            </w:tcBorders>
          </w:tcPr>
          <w:p w14:paraId="0507EE7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(-0.06)</w:t>
            </w:r>
          </w:p>
        </w:tc>
      </w:tr>
      <w:tr w:rsidR="001E0DEF" w:rsidRPr="0053680E" w14:paraId="5BB283E3" w14:textId="77777777" w:rsidTr="003D25A1">
        <w:tc>
          <w:tcPr>
            <w:tcW w:w="850" w:type="dxa"/>
            <w:tcBorders>
              <w:top w:val="nil"/>
              <w:left w:val="nil"/>
              <w:bottom w:val="nil"/>
              <w:right w:val="nil"/>
            </w:tcBorders>
          </w:tcPr>
          <w:p w14:paraId="7FC3CB4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155B211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64113A3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03F2EEB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19BC3500"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644A110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087BECB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15352B0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33BFAF3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42CAFC1E" w14:textId="77777777" w:rsidTr="003D25A1">
        <w:tc>
          <w:tcPr>
            <w:tcW w:w="850" w:type="dxa"/>
            <w:tcBorders>
              <w:top w:val="nil"/>
              <w:left w:val="nil"/>
              <w:bottom w:val="nil"/>
              <w:right w:val="nil"/>
            </w:tcBorders>
          </w:tcPr>
          <w:p w14:paraId="6A7A754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GDR</w:t>
            </w:r>
          </w:p>
        </w:tc>
        <w:tc>
          <w:tcPr>
            <w:tcW w:w="1035" w:type="dxa"/>
            <w:tcBorders>
              <w:top w:val="nil"/>
              <w:left w:val="nil"/>
              <w:bottom w:val="nil"/>
              <w:right w:val="nil"/>
            </w:tcBorders>
          </w:tcPr>
          <w:p w14:paraId="76F3030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0.760*</w:t>
            </w:r>
          </w:p>
        </w:tc>
        <w:tc>
          <w:tcPr>
            <w:tcW w:w="1080" w:type="dxa"/>
            <w:tcBorders>
              <w:top w:val="nil"/>
              <w:left w:val="nil"/>
              <w:bottom w:val="nil"/>
              <w:right w:val="nil"/>
            </w:tcBorders>
          </w:tcPr>
          <w:p w14:paraId="63C73D1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0.851</w:t>
            </w:r>
            <w:r w:rsidRPr="0053680E">
              <w:rPr>
                <w:rFonts w:asciiTheme="majorBidi" w:hAnsiTheme="majorBidi" w:cstheme="majorBidi"/>
                <w:sz w:val="20"/>
                <w:szCs w:val="20"/>
                <w:vertAlign w:val="superscript"/>
                <w:lang w:val="en-US"/>
              </w:rPr>
              <w:t>**</w:t>
            </w:r>
          </w:p>
        </w:tc>
        <w:tc>
          <w:tcPr>
            <w:tcW w:w="1170" w:type="dxa"/>
            <w:tcBorders>
              <w:top w:val="nil"/>
              <w:left w:val="nil"/>
              <w:bottom w:val="nil"/>
              <w:right w:val="nil"/>
            </w:tcBorders>
          </w:tcPr>
          <w:p w14:paraId="6D80763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0.926</w:t>
            </w:r>
            <w:r w:rsidRPr="0053680E">
              <w:rPr>
                <w:rFonts w:asciiTheme="majorBidi" w:hAnsiTheme="majorBidi" w:cstheme="majorBidi"/>
                <w:sz w:val="20"/>
                <w:szCs w:val="20"/>
                <w:vertAlign w:val="superscript"/>
                <w:lang w:val="en-US"/>
              </w:rPr>
              <w:t>**</w:t>
            </w:r>
          </w:p>
        </w:tc>
        <w:tc>
          <w:tcPr>
            <w:tcW w:w="1080" w:type="dxa"/>
            <w:tcBorders>
              <w:top w:val="nil"/>
              <w:left w:val="nil"/>
              <w:bottom w:val="nil"/>
              <w:right w:val="nil"/>
            </w:tcBorders>
          </w:tcPr>
          <w:p w14:paraId="7443553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0.826*</w:t>
            </w:r>
          </w:p>
        </w:tc>
        <w:tc>
          <w:tcPr>
            <w:tcW w:w="1170" w:type="dxa"/>
            <w:tcBorders>
              <w:top w:val="nil"/>
              <w:left w:val="nil"/>
              <w:bottom w:val="nil"/>
              <w:right w:val="nil"/>
            </w:tcBorders>
          </w:tcPr>
          <w:p w14:paraId="562A401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0.893</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2DEA2D2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0.836</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0BD2960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0.915</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28D3074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0.978</w:t>
            </w:r>
            <w:r w:rsidRPr="0053680E">
              <w:rPr>
                <w:rFonts w:asciiTheme="majorBidi" w:hAnsiTheme="majorBidi" w:cstheme="majorBidi"/>
                <w:sz w:val="20"/>
                <w:szCs w:val="20"/>
                <w:vertAlign w:val="superscript"/>
                <w:lang w:val="en-US"/>
              </w:rPr>
              <w:t>**</w:t>
            </w:r>
          </w:p>
        </w:tc>
      </w:tr>
      <w:tr w:rsidR="001E0DEF" w:rsidRPr="0053680E" w14:paraId="265CA8FD" w14:textId="77777777" w:rsidTr="003D25A1">
        <w:tc>
          <w:tcPr>
            <w:tcW w:w="850" w:type="dxa"/>
            <w:tcBorders>
              <w:top w:val="nil"/>
              <w:left w:val="nil"/>
              <w:bottom w:val="nil"/>
              <w:right w:val="nil"/>
            </w:tcBorders>
          </w:tcPr>
          <w:p w14:paraId="0036F620"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578CDA5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(1.77)</w:t>
            </w:r>
          </w:p>
        </w:tc>
        <w:tc>
          <w:tcPr>
            <w:tcW w:w="1080" w:type="dxa"/>
            <w:tcBorders>
              <w:top w:val="nil"/>
              <w:left w:val="nil"/>
              <w:bottom w:val="nil"/>
              <w:right w:val="nil"/>
            </w:tcBorders>
          </w:tcPr>
          <w:p w14:paraId="51A0A4E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(2.01)</w:t>
            </w:r>
          </w:p>
        </w:tc>
        <w:tc>
          <w:tcPr>
            <w:tcW w:w="1170" w:type="dxa"/>
            <w:tcBorders>
              <w:top w:val="nil"/>
              <w:left w:val="nil"/>
              <w:bottom w:val="nil"/>
              <w:right w:val="nil"/>
            </w:tcBorders>
          </w:tcPr>
          <w:p w14:paraId="1AE318B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(2.19)</w:t>
            </w:r>
          </w:p>
        </w:tc>
        <w:tc>
          <w:tcPr>
            <w:tcW w:w="1080" w:type="dxa"/>
            <w:tcBorders>
              <w:top w:val="nil"/>
              <w:left w:val="nil"/>
              <w:bottom w:val="nil"/>
              <w:right w:val="nil"/>
            </w:tcBorders>
          </w:tcPr>
          <w:p w14:paraId="15382CC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(1.93)</w:t>
            </w:r>
          </w:p>
        </w:tc>
        <w:tc>
          <w:tcPr>
            <w:tcW w:w="1170" w:type="dxa"/>
            <w:tcBorders>
              <w:top w:val="nil"/>
              <w:left w:val="nil"/>
              <w:bottom w:val="nil"/>
              <w:right w:val="nil"/>
            </w:tcBorders>
          </w:tcPr>
          <w:p w14:paraId="271A914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(2.13)</w:t>
            </w:r>
          </w:p>
        </w:tc>
        <w:tc>
          <w:tcPr>
            <w:tcW w:w="990" w:type="dxa"/>
            <w:tcBorders>
              <w:top w:val="nil"/>
              <w:left w:val="nil"/>
              <w:bottom w:val="nil"/>
              <w:right w:val="nil"/>
            </w:tcBorders>
          </w:tcPr>
          <w:p w14:paraId="4144397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(2.08)</w:t>
            </w:r>
          </w:p>
        </w:tc>
        <w:tc>
          <w:tcPr>
            <w:tcW w:w="990" w:type="dxa"/>
            <w:tcBorders>
              <w:top w:val="nil"/>
              <w:left w:val="nil"/>
              <w:bottom w:val="nil"/>
              <w:right w:val="nil"/>
            </w:tcBorders>
          </w:tcPr>
          <w:p w14:paraId="715D80E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(2.17)</w:t>
            </w:r>
          </w:p>
        </w:tc>
        <w:tc>
          <w:tcPr>
            <w:tcW w:w="990" w:type="dxa"/>
            <w:tcBorders>
              <w:top w:val="nil"/>
              <w:left w:val="nil"/>
              <w:bottom w:val="nil"/>
              <w:right w:val="nil"/>
            </w:tcBorders>
          </w:tcPr>
          <w:p w14:paraId="2B27866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(2.33)</w:t>
            </w:r>
          </w:p>
        </w:tc>
      </w:tr>
      <w:tr w:rsidR="001E0DEF" w:rsidRPr="0053680E" w14:paraId="19040D7A" w14:textId="77777777" w:rsidTr="003D25A1">
        <w:tc>
          <w:tcPr>
            <w:tcW w:w="850" w:type="dxa"/>
            <w:tcBorders>
              <w:top w:val="nil"/>
              <w:left w:val="nil"/>
              <w:bottom w:val="nil"/>
              <w:right w:val="nil"/>
            </w:tcBorders>
          </w:tcPr>
          <w:p w14:paraId="4BCBBDE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62408E5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61A1C0D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157040D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0E744330"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1D423C1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1107116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7342D6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07BDD79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36A691AE" w14:textId="77777777" w:rsidTr="003D25A1">
        <w:tc>
          <w:tcPr>
            <w:tcW w:w="850" w:type="dxa"/>
            <w:tcBorders>
              <w:top w:val="nil"/>
              <w:left w:val="nil"/>
              <w:bottom w:val="nil"/>
              <w:right w:val="nil"/>
            </w:tcBorders>
          </w:tcPr>
          <w:p w14:paraId="4B85CA7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MO25</w:t>
            </w:r>
          </w:p>
        </w:tc>
        <w:tc>
          <w:tcPr>
            <w:tcW w:w="1035" w:type="dxa"/>
            <w:tcBorders>
              <w:top w:val="nil"/>
              <w:left w:val="nil"/>
              <w:bottom w:val="nil"/>
              <w:right w:val="nil"/>
            </w:tcBorders>
          </w:tcPr>
          <w:p w14:paraId="66B4826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-0.421</w:t>
            </w:r>
          </w:p>
        </w:tc>
        <w:tc>
          <w:tcPr>
            <w:tcW w:w="1080" w:type="dxa"/>
            <w:tcBorders>
              <w:top w:val="nil"/>
              <w:left w:val="nil"/>
              <w:bottom w:val="nil"/>
              <w:right w:val="nil"/>
            </w:tcBorders>
          </w:tcPr>
          <w:p w14:paraId="35FBA77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1253AE3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2F4E1EE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6303ADD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1F305CC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1D652CE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4D79044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25AED167" w14:textId="77777777" w:rsidTr="003D25A1">
        <w:tc>
          <w:tcPr>
            <w:tcW w:w="850" w:type="dxa"/>
            <w:tcBorders>
              <w:top w:val="nil"/>
              <w:left w:val="nil"/>
              <w:bottom w:val="nil"/>
              <w:right w:val="nil"/>
            </w:tcBorders>
          </w:tcPr>
          <w:p w14:paraId="2F2F914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4EE5658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(-0.04)</w:t>
            </w:r>
          </w:p>
        </w:tc>
        <w:tc>
          <w:tcPr>
            <w:tcW w:w="1080" w:type="dxa"/>
            <w:tcBorders>
              <w:top w:val="nil"/>
              <w:left w:val="nil"/>
              <w:bottom w:val="nil"/>
              <w:right w:val="nil"/>
            </w:tcBorders>
          </w:tcPr>
          <w:p w14:paraId="5174B4D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054BBE2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45C9E02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6CA88AF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18E8D17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36B7CB7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4405984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57A4D7C7" w14:textId="77777777" w:rsidTr="003D25A1">
        <w:tc>
          <w:tcPr>
            <w:tcW w:w="850" w:type="dxa"/>
            <w:tcBorders>
              <w:top w:val="nil"/>
              <w:left w:val="nil"/>
              <w:bottom w:val="nil"/>
              <w:right w:val="nil"/>
            </w:tcBorders>
          </w:tcPr>
          <w:p w14:paraId="3EA4237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39F0D41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67060E2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6E5937F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6FC5FEF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19D30E9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0E38DF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44CB52F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473BAE9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64DA5F50" w14:textId="77777777" w:rsidTr="003D25A1">
        <w:tc>
          <w:tcPr>
            <w:tcW w:w="850" w:type="dxa"/>
            <w:tcBorders>
              <w:top w:val="nil"/>
              <w:left w:val="nil"/>
              <w:bottom w:val="nil"/>
              <w:right w:val="nil"/>
            </w:tcBorders>
          </w:tcPr>
          <w:p w14:paraId="69F6C4BB" w14:textId="4BF15D64" w:rsidR="001E0DEF" w:rsidRPr="0053680E"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r w:rsidRPr="0053680E">
              <w:rPr>
                <w:rFonts w:asciiTheme="majorBidi" w:hAnsiTheme="majorBidi" w:cstheme="majorBidi"/>
                <w:b/>
                <w:bCs/>
                <w:sz w:val="20"/>
                <w:szCs w:val="20"/>
                <w:lang w:val="en-US"/>
              </w:rPr>
              <w:t>MO</w:t>
            </w:r>
            <w:r w:rsidR="001E1586">
              <w:rPr>
                <w:rFonts w:asciiTheme="majorBidi" w:hAnsiTheme="majorBidi" w:cstheme="majorBidi"/>
                <w:b/>
                <w:bCs/>
                <w:sz w:val="20"/>
                <w:szCs w:val="20"/>
                <w:lang w:val="en-US"/>
              </w:rPr>
              <w:t>25</w:t>
            </w:r>
            <w:r w:rsidR="00857648" w:rsidRPr="0053680E">
              <w:rPr>
                <w:rFonts w:asciiTheme="majorBidi" w:hAnsiTheme="majorBidi" w:cstheme="majorBidi"/>
                <w:b/>
                <w:bCs/>
                <w:sz w:val="20"/>
                <w:szCs w:val="20"/>
                <w:lang w:val="en-US"/>
              </w:rPr>
              <w:t>*</w:t>
            </w:r>
            <w:r w:rsidRPr="0053680E">
              <w:rPr>
                <w:rFonts w:asciiTheme="majorBidi" w:hAnsiTheme="majorBidi" w:cstheme="majorBidi"/>
                <w:b/>
                <w:bCs/>
                <w:sz w:val="20"/>
                <w:szCs w:val="20"/>
                <w:lang w:val="en-US"/>
              </w:rPr>
              <w:t>TVP</w:t>
            </w:r>
          </w:p>
        </w:tc>
        <w:tc>
          <w:tcPr>
            <w:tcW w:w="1035" w:type="dxa"/>
            <w:tcBorders>
              <w:top w:val="nil"/>
              <w:left w:val="nil"/>
              <w:bottom w:val="nil"/>
              <w:right w:val="nil"/>
            </w:tcBorders>
          </w:tcPr>
          <w:p w14:paraId="3AE6392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0.107</w:t>
            </w:r>
          </w:p>
        </w:tc>
        <w:tc>
          <w:tcPr>
            <w:tcW w:w="1080" w:type="dxa"/>
            <w:tcBorders>
              <w:top w:val="nil"/>
              <w:left w:val="nil"/>
              <w:bottom w:val="nil"/>
              <w:right w:val="nil"/>
            </w:tcBorders>
          </w:tcPr>
          <w:p w14:paraId="2D2BC41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030DA8C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3E10A3A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1F62EA7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30CA2CA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571EDBF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55E8F3B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6654DF70" w14:textId="77777777" w:rsidTr="003D25A1">
        <w:tc>
          <w:tcPr>
            <w:tcW w:w="850" w:type="dxa"/>
            <w:tcBorders>
              <w:top w:val="nil"/>
              <w:left w:val="nil"/>
              <w:bottom w:val="nil"/>
              <w:right w:val="nil"/>
            </w:tcBorders>
          </w:tcPr>
          <w:p w14:paraId="288763D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6D0F136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(0.18)</w:t>
            </w:r>
          </w:p>
        </w:tc>
        <w:tc>
          <w:tcPr>
            <w:tcW w:w="1080" w:type="dxa"/>
            <w:tcBorders>
              <w:top w:val="nil"/>
              <w:left w:val="nil"/>
              <w:bottom w:val="nil"/>
              <w:right w:val="nil"/>
            </w:tcBorders>
          </w:tcPr>
          <w:p w14:paraId="7667B1B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0319203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75F6492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04624A1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49C075B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7771043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45BC5D5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5DC63DC5" w14:textId="77777777" w:rsidTr="003D25A1">
        <w:tc>
          <w:tcPr>
            <w:tcW w:w="850" w:type="dxa"/>
            <w:tcBorders>
              <w:top w:val="nil"/>
              <w:left w:val="nil"/>
              <w:bottom w:val="nil"/>
              <w:right w:val="nil"/>
            </w:tcBorders>
          </w:tcPr>
          <w:p w14:paraId="610CC4E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41EB678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7EEF7F0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44EA343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67E1429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47C4B8A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60ECCD0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7782C17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6E44BAF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5254AAFD" w14:textId="77777777" w:rsidTr="003D25A1">
        <w:tc>
          <w:tcPr>
            <w:tcW w:w="850" w:type="dxa"/>
            <w:tcBorders>
              <w:top w:val="nil"/>
              <w:left w:val="nil"/>
              <w:bottom w:val="nil"/>
              <w:right w:val="nil"/>
            </w:tcBorders>
          </w:tcPr>
          <w:p w14:paraId="193CA1E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MO75</w:t>
            </w:r>
          </w:p>
        </w:tc>
        <w:tc>
          <w:tcPr>
            <w:tcW w:w="1035" w:type="dxa"/>
            <w:tcBorders>
              <w:top w:val="nil"/>
              <w:left w:val="nil"/>
              <w:bottom w:val="nil"/>
              <w:right w:val="nil"/>
            </w:tcBorders>
          </w:tcPr>
          <w:p w14:paraId="461B237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1A2D115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18.72</w:t>
            </w:r>
            <w:r w:rsidRPr="0053680E">
              <w:rPr>
                <w:rFonts w:asciiTheme="majorBidi" w:hAnsiTheme="majorBidi" w:cstheme="majorBidi"/>
                <w:sz w:val="20"/>
                <w:szCs w:val="20"/>
                <w:vertAlign w:val="superscript"/>
                <w:lang w:val="en-US"/>
              </w:rPr>
              <w:t>**</w:t>
            </w:r>
          </w:p>
        </w:tc>
        <w:tc>
          <w:tcPr>
            <w:tcW w:w="1170" w:type="dxa"/>
            <w:tcBorders>
              <w:top w:val="nil"/>
              <w:left w:val="nil"/>
              <w:bottom w:val="nil"/>
              <w:right w:val="nil"/>
            </w:tcBorders>
          </w:tcPr>
          <w:p w14:paraId="4DFFAA9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643F8D1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7513797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07280EE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26D11FD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3FC060F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0D6D540E" w14:textId="77777777" w:rsidTr="003D25A1">
        <w:tc>
          <w:tcPr>
            <w:tcW w:w="850" w:type="dxa"/>
            <w:tcBorders>
              <w:top w:val="nil"/>
              <w:left w:val="nil"/>
              <w:bottom w:val="nil"/>
              <w:right w:val="nil"/>
            </w:tcBorders>
          </w:tcPr>
          <w:p w14:paraId="15307BC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000999A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0B574D2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(2.14)</w:t>
            </w:r>
          </w:p>
        </w:tc>
        <w:tc>
          <w:tcPr>
            <w:tcW w:w="1170" w:type="dxa"/>
            <w:tcBorders>
              <w:top w:val="nil"/>
              <w:left w:val="nil"/>
              <w:bottom w:val="nil"/>
              <w:right w:val="nil"/>
            </w:tcBorders>
          </w:tcPr>
          <w:p w14:paraId="2F382D6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1931EA0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2AEBE59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36D46E0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0E8F0DD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2113BE0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4F846F8C" w14:textId="77777777" w:rsidTr="003D25A1">
        <w:tc>
          <w:tcPr>
            <w:tcW w:w="850" w:type="dxa"/>
            <w:tcBorders>
              <w:top w:val="nil"/>
              <w:left w:val="nil"/>
              <w:bottom w:val="nil"/>
              <w:right w:val="nil"/>
            </w:tcBorders>
          </w:tcPr>
          <w:p w14:paraId="363E643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1296941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35BC7D4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1B1F638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1E3A6EF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42BEC3C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2B6A8EC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31F4331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00581E0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4926E5A4" w14:textId="77777777" w:rsidTr="003D25A1">
        <w:tc>
          <w:tcPr>
            <w:tcW w:w="850" w:type="dxa"/>
            <w:tcBorders>
              <w:top w:val="nil"/>
              <w:left w:val="nil"/>
              <w:bottom w:val="nil"/>
              <w:right w:val="nil"/>
            </w:tcBorders>
          </w:tcPr>
          <w:p w14:paraId="26B81D83" w14:textId="0DDAD709" w:rsidR="001E0DEF" w:rsidRPr="0053680E"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r w:rsidRPr="0053680E">
              <w:rPr>
                <w:rFonts w:asciiTheme="majorBidi" w:hAnsiTheme="majorBidi" w:cstheme="majorBidi"/>
                <w:b/>
                <w:bCs/>
                <w:sz w:val="20"/>
                <w:szCs w:val="20"/>
                <w:lang w:val="en-US"/>
              </w:rPr>
              <w:t>MO75</w:t>
            </w:r>
            <w:r w:rsidR="00857648" w:rsidRPr="0053680E">
              <w:rPr>
                <w:rFonts w:asciiTheme="majorBidi" w:hAnsiTheme="majorBidi" w:cstheme="majorBidi"/>
                <w:b/>
                <w:bCs/>
                <w:sz w:val="20"/>
                <w:szCs w:val="20"/>
                <w:lang w:val="en-US"/>
              </w:rPr>
              <w:t>*</w:t>
            </w:r>
            <w:r w:rsidRPr="0053680E">
              <w:rPr>
                <w:rFonts w:asciiTheme="majorBidi" w:hAnsiTheme="majorBidi" w:cstheme="majorBidi"/>
                <w:b/>
                <w:bCs/>
                <w:sz w:val="20"/>
                <w:szCs w:val="20"/>
                <w:lang w:val="en-US"/>
              </w:rPr>
              <w:t>TVP</w:t>
            </w:r>
          </w:p>
        </w:tc>
        <w:tc>
          <w:tcPr>
            <w:tcW w:w="1035" w:type="dxa"/>
            <w:tcBorders>
              <w:top w:val="nil"/>
              <w:left w:val="nil"/>
              <w:bottom w:val="nil"/>
              <w:right w:val="nil"/>
            </w:tcBorders>
          </w:tcPr>
          <w:p w14:paraId="0050EFA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3C07857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-1.227</w:t>
            </w:r>
            <w:r w:rsidRPr="0053680E">
              <w:rPr>
                <w:rFonts w:asciiTheme="majorBidi" w:hAnsiTheme="majorBidi" w:cstheme="majorBidi"/>
                <w:sz w:val="20"/>
                <w:szCs w:val="20"/>
                <w:vertAlign w:val="superscript"/>
                <w:lang w:val="en-US"/>
              </w:rPr>
              <w:t>**</w:t>
            </w:r>
          </w:p>
        </w:tc>
        <w:tc>
          <w:tcPr>
            <w:tcW w:w="1170" w:type="dxa"/>
            <w:tcBorders>
              <w:top w:val="nil"/>
              <w:left w:val="nil"/>
              <w:bottom w:val="nil"/>
              <w:right w:val="nil"/>
            </w:tcBorders>
          </w:tcPr>
          <w:p w14:paraId="0797A98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604F87F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66200C7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768ADCC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4844132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769EE79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7D582408" w14:textId="77777777" w:rsidTr="003D25A1">
        <w:tc>
          <w:tcPr>
            <w:tcW w:w="850" w:type="dxa"/>
            <w:tcBorders>
              <w:top w:val="nil"/>
              <w:left w:val="nil"/>
              <w:bottom w:val="nil"/>
              <w:right w:val="nil"/>
            </w:tcBorders>
          </w:tcPr>
          <w:p w14:paraId="7444AC80"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099AA83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0D34B17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(-2.48)</w:t>
            </w:r>
          </w:p>
        </w:tc>
        <w:tc>
          <w:tcPr>
            <w:tcW w:w="1170" w:type="dxa"/>
            <w:tcBorders>
              <w:top w:val="nil"/>
              <w:left w:val="nil"/>
              <w:bottom w:val="nil"/>
              <w:right w:val="nil"/>
            </w:tcBorders>
          </w:tcPr>
          <w:p w14:paraId="3989918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6DA1AE3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6EA4F4E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49533C7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1943B49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5574CFE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2EA4595E" w14:textId="77777777" w:rsidTr="003D25A1">
        <w:tc>
          <w:tcPr>
            <w:tcW w:w="850" w:type="dxa"/>
            <w:tcBorders>
              <w:top w:val="nil"/>
              <w:left w:val="nil"/>
              <w:bottom w:val="nil"/>
              <w:right w:val="nil"/>
            </w:tcBorders>
          </w:tcPr>
          <w:p w14:paraId="396B4EA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64B621C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3A3AD4D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7E03239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597A98D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4F45BF7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41CF899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1DDDFE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47E4C69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250A9E7F" w14:textId="77777777" w:rsidTr="003D25A1">
        <w:tc>
          <w:tcPr>
            <w:tcW w:w="850" w:type="dxa"/>
            <w:tcBorders>
              <w:top w:val="nil"/>
              <w:left w:val="nil"/>
              <w:bottom w:val="nil"/>
              <w:right w:val="nil"/>
            </w:tcBorders>
          </w:tcPr>
          <w:p w14:paraId="720526F0"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IO25</w:t>
            </w:r>
          </w:p>
        </w:tc>
        <w:tc>
          <w:tcPr>
            <w:tcW w:w="1035" w:type="dxa"/>
            <w:tcBorders>
              <w:top w:val="nil"/>
              <w:left w:val="nil"/>
              <w:bottom w:val="nil"/>
              <w:right w:val="nil"/>
            </w:tcBorders>
          </w:tcPr>
          <w:p w14:paraId="4AB3C37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6D5DA26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3C2D7B1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6.624</w:t>
            </w:r>
          </w:p>
        </w:tc>
        <w:tc>
          <w:tcPr>
            <w:tcW w:w="1080" w:type="dxa"/>
            <w:tcBorders>
              <w:top w:val="nil"/>
              <w:left w:val="nil"/>
              <w:bottom w:val="nil"/>
              <w:right w:val="nil"/>
            </w:tcBorders>
          </w:tcPr>
          <w:p w14:paraId="37D87B2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06FA21F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44F52E6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0D014DE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06166AC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4CC6BC2A" w14:textId="77777777" w:rsidTr="003D25A1">
        <w:tc>
          <w:tcPr>
            <w:tcW w:w="850" w:type="dxa"/>
            <w:tcBorders>
              <w:top w:val="nil"/>
              <w:left w:val="nil"/>
              <w:bottom w:val="nil"/>
              <w:right w:val="nil"/>
            </w:tcBorders>
          </w:tcPr>
          <w:p w14:paraId="236F37F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7CC1EF2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37011D9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40D7E82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(0.35)</w:t>
            </w:r>
          </w:p>
        </w:tc>
        <w:tc>
          <w:tcPr>
            <w:tcW w:w="1080" w:type="dxa"/>
            <w:tcBorders>
              <w:top w:val="nil"/>
              <w:left w:val="nil"/>
              <w:bottom w:val="nil"/>
              <w:right w:val="nil"/>
            </w:tcBorders>
          </w:tcPr>
          <w:p w14:paraId="35F27EB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32F3AB5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4901DEC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67CD84B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526A22D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50B822FA" w14:textId="77777777" w:rsidTr="003D25A1">
        <w:tc>
          <w:tcPr>
            <w:tcW w:w="850" w:type="dxa"/>
            <w:tcBorders>
              <w:top w:val="nil"/>
              <w:left w:val="nil"/>
              <w:bottom w:val="nil"/>
              <w:right w:val="nil"/>
            </w:tcBorders>
          </w:tcPr>
          <w:p w14:paraId="7F2D63F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0B61946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39866BB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74DF057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2AE1E36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36DE98C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1498BFE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4306A2B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709CF6E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4F44D186" w14:textId="77777777" w:rsidTr="003D25A1">
        <w:tc>
          <w:tcPr>
            <w:tcW w:w="850" w:type="dxa"/>
            <w:tcBorders>
              <w:top w:val="nil"/>
              <w:left w:val="nil"/>
              <w:bottom w:val="nil"/>
              <w:right w:val="nil"/>
            </w:tcBorders>
          </w:tcPr>
          <w:p w14:paraId="4322B9CC" w14:textId="4709F646" w:rsidR="001E0DEF" w:rsidRPr="0053680E"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r w:rsidRPr="0053680E">
              <w:rPr>
                <w:rFonts w:asciiTheme="majorBidi" w:hAnsiTheme="majorBidi" w:cstheme="majorBidi"/>
                <w:b/>
                <w:bCs/>
                <w:sz w:val="20"/>
                <w:szCs w:val="20"/>
                <w:lang w:val="en-US"/>
              </w:rPr>
              <w:t>IO2</w:t>
            </w:r>
            <w:r w:rsidR="00857648" w:rsidRPr="0053680E">
              <w:rPr>
                <w:rFonts w:asciiTheme="majorBidi" w:hAnsiTheme="majorBidi" w:cstheme="majorBidi"/>
                <w:b/>
                <w:bCs/>
                <w:sz w:val="20"/>
                <w:szCs w:val="20"/>
                <w:lang w:val="en-US"/>
              </w:rPr>
              <w:t>5*</w:t>
            </w:r>
            <w:r w:rsidRPr="0053680E">
              <w:rPr>
                <w:rFonts w:asciiTheme="majorBidi" w:hAnsiTheme="majorBidi" w:cstheme="majorBidi"/>
                <w:b/>
                <w:bCs/>
                <w:sz w:val="20"/>
                <w:szCs w:val="20"/>
                <w:lang w:val="en-US"/>
              </w:rPr>
              <w:t>TVP</w:t>
            </w:r>
          </w:p>
        </w:tc>
        <w:tc>
          <w:tcPr>
            <w:tcW w:w="1035" w:type="dxa"/>
            <w:tcBorders>
              <w:top w:val="nil"/>
              <w:left w:val="nil"/>
              <w:bottom w:val="nil"/>
              <w:right w:val="nil"/>
            </w:tcBorders>
          </w:tcPr>
          <w:p w14:paraId="263E8CF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48B1DE7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6AB0E1D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-0.161</w:t>
            </w:r>
          </w:p>
        </w:tc>
        <w:tc>
          <w:tcPr>
            <w:tcW w:w="1080" w:type="dxa"/>
            <w:tcBorders>
              <w:top w:val="nil"/>
              <w:left w:val="nil"/>
              <w:bottom w:val="nil"/>
              <w:right w:val="nil"/>
            </w:tcBorders>
          </w:tcPr>
          <w:p w14:paraId="1ED5923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0256DA9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590BA1F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2E50C6B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6BE51AD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2EB7A248" w14:textId="77777777" w:rsidTr="003D25A1">
        <w:tc>
          <w:tcPr>
            <w:tcW w:w="850" w:type="dxa"/>
            <w:tcBorders>
              <w:top w:val="nil"/>
              <w:left w:val="nil"/>
              <w:bottom w:val="nil"/>
              <w:right w:val="nil"/>
            </w:tcBorders>
          </w:tcPr>
          <w:p w14:paraId="1E26ECE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565B30F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03730FF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70371C3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(-0.14)</w:t>
            </w:r>
          </w:p>
        </w:tc>
        <w:tc>
          <w:tcPr>
            <w:tcW w:w="1080" w:type="dxa"/>
            <w:tcBorders>
              <w:top w:val="nil"/>
              <w:left w:val="nil"/>
              <w:bottom w:val="nil"/>
              <w:right w:val="nil"/>
            </w:tcBorders>
          </w:tcPr>
          <w:p w14:paraId="0D4336E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669D7D8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42E48BF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54D95A5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316C9C5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16AA3B17" w14:textId="77777777" w:rsidTr="003D25A1">
        <w:tc>
          <w:tcPr>
            <w:tcW w:w="850" w:type="dxa"/>
            <w:tcBorders>
              <w:top w:val="nil"/>
              <w:left w:val="nil"/>
              <w:bottom w:val="nil"/>
              <w:right w:val="nil"/>
            </w:tcBorders>
          </w:tcPr>
          <w:p w14:paraId="55D97FB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14058E5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3432409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06E41E3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78691E5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73BEE0E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7CC7C9C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17949D8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3B6B18F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0FEE404A" w14:textId="77777777" w:rsidTr="003D25A1">
        <w:tc>
          <w:tcPr>
            <w:tcW w:w="850" w:type="dxa"/>
            <w:tcBorders>
              <w:top w:val="nil"/>
              <w:left w:val="nil"/>
              <w:bottom w:val="nil"/>
              <w:right w:val="nil"/>
            </w:tcBorders>
          </w:tcPr>
          <w:p w14:paraId="1BA9960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IO75</w:t>
            </w:r>
          </w:p>
        </w:tc>
        <w:tc>
          <w:tcPr>
            <w:tcW w:w="1035" w:type="dxa"/>
            <w:tcBorders>
              <w:top w:val="nil"/>
              <w:left w:val="nil"/>
              <w:bottom w:val="nil"/>
              <w:right w:val="nil"/>
            </w:tcBorders>
          </w:tcPr>
          <w:p w14:paraId="53ED7EF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592D475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39178F0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57D5F97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-13.26</w:t>
            </w:r>
          </w:p>
        </w:tc>
        <w:tc>
          <w:tcPr>
            <w:tcW w:w="1170" w:type="dxa"/>
            <w:tcBorders>
              <w:top w:val="nil"/>
              <w:left w:val="nil"/>
              <w:bottom w:val="nil"/>
              <w:right w:val="nil"/>
            </w:tcBorders>
          </w:tcPr>
          <w:p w14:paraId="46D158B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6844A38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2C41ECA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7820732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6CF9DA5D" w14:textId="77777777" w:rsidTr="003D25A1">
        <w:tc>
          <w:tcPr>
            <w:tcW w:w="850" w:type="dxa"/>
            <w:tcBorders>
              <w:top w:val="nil"/>
              <w:left w:val="nil"/>
              <w:bottom w:val="nil"/>
              <w:right w:val="nil"/>
            </w:tcBorders>
          </w:tcPr>
          <w:p w14:paraId="4225157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23B4A9F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64E8D2E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52F0AD6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76394A6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(-1.05)</w:t>
            </w:r>
          </w:p>
        </w:tc>
        <w:tc>
          <w:tcPr>
            <w:tcW w:w="1170" w:type="dxa"/>
            <w:tcBorders>
              <w:top w:val="nil"/>
              <w:left w:val="nil"/>
              <w:bottom w:val="nil"/>
              <w:right w:val="nil"/>
            </w:tcBorders>
          </w:tcPr>
          <w:p w14:paraId="0EE8CA5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13A6E23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0442235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7851962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0C20414F" w14:textId="77777777" w:rsidTr="003D25A1">
        <w:tc>
          <w:tcPr>
            <w:tcW w:w="850" w:type="dxa"/>
            <w:tcBorders>
              <w:top w:val="nil"/>
              <w:left w:val="nil"/>
              <w:bottom w:val="nil"/>
              <w:right w:val="nil"/>
            </w:tcBorders>
          </w:tcPr>
          <w:p w14:paraId="483B023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1AD0EF7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5C8083B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494B217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624F74F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1D483F4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77AFEB5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32E562E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2510AF4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2E429B72" w14:textId="77777777" w:rsidTr="003D25A1">
        <w:tc>
          <w:tcPr>
            <w:tcW w:w="850" w:type="dxa"/>
            <w:tcBorders>
              <w:top w:val="nil"/>
              <w:left w:val="nil"/>
              <w:bottom w:val="nil"/>
              <w:right w:val="nil"/>
            </w:tcBorders>
          </w:tcPr>
          <w:p w14:paraId="4C762E5E" w14:textId="179DCAB4" w:rsidR="001E0DEF" w:rsidRPr="0053680E"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r w:rsidRPr="0053680E">
              <w:rPr>
                <w:rFonts w:asciiTheme="majorBidi" w:hAnsiTheme="majorBidi" w:cstheme="majorBidi"/>
                <w:b/>
                <w:bCs/>
                <w:sz w:val="20"/>
                <w:szCs w:val="20"/>
                <w:lang w:val="en-US"/>
              </w:rPr>
              <w:t>IO75</w:t>
            </w:r>
            <w:r w:rsidR="00857648" w:rsidRPr="0053680E">
              <w:rPr>
                <w:rFonts w:asciiTheme="majorBidi" w:hAnsiTheme="majorBidi" w:cstheme="majorBidi"/>
                <w:b/>
                <w:bCs/>
                <w:sz w:val="20"/>
                <w:szCs w:val="20"/>
                <w:lang w:val="en-US"/>
              </w:rPr>
              <w:t>*</w:t>
            </w:r>
            <w:r w:rsidRPr="0053680E">
              <w:rPr>
                <w:rFonts w:asciiTheme="majorBidi" w:hAnsiTheme="majorBidi" w:cstheme="majorBidi"/>
                <w:b/>
                <w:bCs/>
                <w:sz w:val="20"/>
                <w:szCs w:val="20"/>
                <w:lang w:val="en-US"/>
              </w:rPr>
              <w:t>TVP</w:t>
            </w:r>
          </w:p>
        </w:tc>
        <w:tc>
          <w:tcPr>
            <w:tcW w:w="1035" w:type="dxa"/>
            <w:tcBorders>
              <w:top w:val="nil"/>
              <w:left w:val="nil"/>
              <w:bottom w:val="nil"/>
              <w:right w:val="nil"/>
            </w:tcBorders>
          </w:tcPr>
          <w:p w14:paraId="6CDDAE9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0F803DB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45CC3B0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470108B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0.780</w:t>
            </w:r>
          </w:p>
        </w:tc>
        <w:tc>
          <w:tcPr>
            <w:tcW w:w="1170" w:type="dxa"/>
            <w:tcBorders>
              <w:top w:val="nil"/>
              <w:left w:val="nil"/>
              <w:bottom w:val="nil"/>
              <w:right w:val="nil"/>
            </w:tcBorders>
          </w:tcPr>
          <w:p w14:paraId="0DB8C69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04A6CAA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0DB9F71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3248CF3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115B6B95" w14:textId="77777777" w:rsidTr="003D25A1">
        <w:tc>
          <w:tcPr>
            <w:tcW w:w="850" w:type="dxa"/>
            <w:tcBorders>
              <w:top w:val="nil"/>
              <w:left w:val="nil"/>
              <w:bottom w:val="nil"/>
              <w:right w:val="nil"/>
            </w:tcBorders>
          </w:tcPr>
          <w:p w14:paraId="4C5220C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05C1681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67C3DBE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5FD71B2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5A3AA8B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(1.11)</w:t>
            </w:r>
          </w:p>
        </w:tc>
        <w:tc>
          <w:tcPr>
            <w:tcW w:w="1170" w:type="dxa"/>
            <w:tcBorders>
              <w:top w:val="nil"/>
              <w:left w:val="nil"/>
              <w:bottom w:val="nil"/>
              <w:right w:val="nil"/>
            </w:tcBorders>
          </w:tcPr>
          <w:p w14:paraId="17689CF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2359EFE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4C54E0F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6F46FCC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39D32784" w14:textId="77777777" w:rsidTr="003D25A1">
        <w:tc>
          <w:tcPr>
            <w:tcW w:w="850" w:type="dxa"/>
            <w:tcBorders>
              <w:top w:val="nil"/>
              <w:left w:val="nil"/>
              <w:bottom w:val="nil"/>
              <w:right w:val="nil"/>
            </w:tcBorders>
          </w:tcPr>
          <w:p w14:paraId="7B3AE32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1D295FE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5752049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00876B4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662C3D4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4A3740C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44BE01B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4855A6D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18EF927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6BEFF701" w14:textId="77777777" w:rsidTr="003D25A1">
        <w:tc>
          <w:tcPr>
            <w:tcW w:w="850" w:type="dxa"/>
            <w:tcBorders>
              <w:top w:val="nil"/>
              <w:left w:val="nil"/>
              <w:bottom w:val="nil"/>
              <w:right w:val="nil"/>
            </w:tcBorders>
          </w:tcPr>
          <w:p w14:paraId="749FBA9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BS25</w:t>
            </w:r>
          </w:p>
        </w:tc>
        <w:tc>
          <w:tcPr>
            <w:tcW w:w="1035" w:type="dxa"/>
            <w:tcBorders>
              <w:top w:val="nil"/>
              <w:left w:val="nil"/>
              <w:bottom w:val="nil"/>
              <w:right w:val="nil"/>
            </w:tcBorders>
          </w:tcPr>
          <w:p w14:paraId="2EC5D8D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771CB3E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232E922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4CAA28C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36EC2E9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24.62</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1DC53DB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32DC5E0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4B11261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0AC8AF3E" w14:textId="77777777" w:rsidTr="003D25A1">
        <w:tc>
          <w:tcPr>
            <w:tcW w:w="850" w:type="dxa"/>
            <w:tcBorders>
              <w:top w:val="nil"/>
              <w:left w:val="nil"/>
              <w:bottom w:val="nil"/>
              <w:right w:val="nil"/>
            </w:tcBorders>
          </w:tcPr>
          <w:p w14:paraId="6FE3E4B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14CA03F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2507F41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3D2B5DB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43B6DCA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593C65E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(2.43)</w:t>
            </w:r>
          </w:p>
        </w:tc>
        <w:tc>
          <w:tcPr>
            <w:tcW w:w="990" w:type="dxa"/>
            <w:tcBorders>
              <w:top w:val="nil"/>
              <w:left w:val="nil"/>
              <w:bottom w:val="nil"/>
              <w:right w:val="nil"/>
            </w:tcBorders>
          </w:tcPr>
          <w:p w14:paraId="7D1D802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6FCACF2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5279193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58A9C50C" w14:textId="77777777" w:rsidTr="003D25A1">
        <w:tc>
          <w:tcPr>
            <w:tcW w:w="850" w:type="dxa"/>
            <w:tcBorders>
              <w:top w:val="nil"/>
              <w:left w:val="nil"/>
              <w:bottom w:val="nil"/>
              <w:right w:val="nil"/>
            </w:tcBorders>
          </w:tcPr>
          <w:p w14:paraId="4FF79EB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6990870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689817D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2DD865B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61C2A43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032305E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71A58D8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7732AF5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6E7D516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4EC50294" w14:textId="77777777" w:rsidTr="003D25A1">
        <w:tc>
          <w:tcPr>
            <w:tcW w:w="850" w:type="dxa"/>
            <w:tcBorders>
              <w:top w:val="nil"/>
              <w:left w:val="nil"/>
              <w:bottom w:val="nil"/>
              <w:right w:val="nil"/>
            </w:tcBorders>
          </w:tcPr>
          <w:p w14:paraId="03F94058" w14:textId="21AC2B6E" w:rsidR="001E0DEF" w:rsidRPr="0053680E"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r w:rsidRPr="0053680E">
              <w:rPr>
                <w:rFonts w:asciiTheme="majorBidi" w:hAnsiTheme="majorBidi" w:cstheme="majorBidi"/>
                <w:b/>
                <w:bCs/>
                <w:sz w:val="20"/>
                <w:szCs w:val="20"/>
                <w:lang w:val="en-US"/>
              </w:rPr>
              <w:t>BS25</w:t>
            </w:r>
            <w:r w:rsidR="00857648" w:rsidRPr="0053680E">
              <w:rPr>
                <w:rFonts w:asciiTheme="majorBidi" w:hAnsiTheme="majorBidi" w:cstheme="majorBidi"/>
                <w:b/>
                <w:bCs/>
                <w:sz w:val="20"/>
                <w:szCs w:val="20"/>
                <w:lang w:val="en-US"/>
              </w:rPr>
              <w:t>*</w:t>
            </w:r>
            <w:r w:rsidRPr="0053680E">
              <w:rPr>
                <w:rFonts w:asciiTheme="majorBidi" w:hAnsiTheme="majorBidi" w:cstheme="majorBidi"/>
                <w:b/>
                <w:bCs/>
                <w:sz w:val="20"/>
                <w:szCs w:val="20"/>
                <w:lang w:val="en-US"/>
              </w:rPr>
              <w:t>TVP</w:t>
            </w:r>
          </w:p>
        </w:tc>
        <w:tc>
          <w:tcPr>
            <w:tcW w:w="1035" w:type="dxa"/>
            <w:tcBorders>
              <w:top w:val="nil"/>
              <w:left w:val="nil"/>
              <w:bottom w:val="nil"/>
              <w:right w:val="nil"/>
            </w:tcBorders>
          </w:tcPr>
          <w:p w14:paraId="0C26216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2DDD019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1292605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1486875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080365C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-1.466</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05656F1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1F62DA3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2E5A06D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4D41D7F9" w14:textId="77777777" w:rsidTr="003D25A1">
        <w:tc>
          <w:tcPr>
            <w:tcW w:w="850" w:type="dxa"/>
            <w:tcBorders>
              <w:top w:val="nil"/>
              <w:left w:val="nil"/>
              <w:bottom w:val="nil"/>
              <w:right w:val="nil"/>
            </w:tcBorders>
          </w:tcPr>
          <w:p w14:paraId="7700C280"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p>
        </w:tc>
        <w:tc>
          <w:tcPr>
            <w:tcW w:w="1035" w:type="dxa"/>
            <w:tcBorders>
              <w:top w:val="nil"/>
              <w:left w:val="nil"/>
              <w:bottom w:val="nil"/>
              <w:right w:val="nil"/>
            </w:tcBorders>
          </w:tcPr>
          <w:p w14:paraId="7332A76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794DF56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3ECC9DE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4AD1876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6344128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(-2.40)</w:t>
            </w:r>
          </w:p>
        </w:tc>
        <w:tc>
          <w:tcPr>
            <w:tcW w:w="990" w:type="dxa"/>
            <w:tcBorders>
              <w:top w:val="nil"/>
              <w:left w:val="nil"/>
              <w:bottom w:val="nil"/>
              <w:right w:val="nil"/>
            </w:tcBorders>
          </w:tcPr>
          <w:p w14:paraId="45884B1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18B4AC9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664DAF1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5AFCE5C4" w14:textId="77777777" w:rsidTr="003D25A1">
        <w:tc>
          <w:tcPr>
            <w:tcW w:w="850" w:type="dxa"/>
            <w:tcBorders>
              <w:top w:val="nil"/>
              <w:left w:val="nil"/>
              <w:bottom w:val="nil"/>
              <w:right w:val="nil"/>
            </w:tcBorders>
          </w:tcPr>
          <w:p w14:paraId="7207392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1A289B3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22D80F4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55CE353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62DD2BF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59EC958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6430F3A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44FFE31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27B80DF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070AB8B3" w14:textId="77777777" w:rsidTr="003D25A1">
        <w:tc>
          <w:tcPr>
            <w:tcW w:w="850" w:type="dxa"/>
            <w:tcBorders>
              <w:top w:val="nil"/>
              <w:left w:val="nil"/>
              <w:bottom w:val="nil"/>
              <w:right w:val="nil"/>
            </w:tcBorders>
          </w:tcPr>
          <w:p w14:paraId="3307880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BS75</w:t>
            </w:r>
          </w:p>
        </w:tc>
        <w:tc>
          <w:tcPr>
            <w:tcW w:w="1035" w:type="dxa"/>
            <w:tcBorders>
              <w:top w:val="nil"/>
              <w:left w:val="nil"/>
              <w:bottom w:val="nil"/>
              <w:right w:val="nil"/>
            </w:tcBorders>
          </w:tcPr>
          <w:p w14:paraId="42F9C5F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032B62C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327936E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6F3CD24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0B5BD6C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5D4B097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-20.38*</w:t>
            </w:r>
          </w:p>
        </w:tc>
        <w:tc>
          <w:tcPr>
            <w:tcW w:w="990" w:type="dxa"/>
            <w:tcBorders>
              <w:top w:val="nil"/>
              <w:left w:val="nil"/>
              <w:bottom w:val="nil"/>
              <w:right w:val="nil"/>
            </w:tcBorders>
          </w:tcPr>
          <w:p w14:paraId="22B752D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6DF2649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05AA6EFB" w14:textId="77777777" w:rsidTr="003D25A1">
        <w:tc>
          <w:tcPr>
            <w:tcW w:w="850" w:type="dxa"/>
            <w:tcBorders>
              <w:top w:val="nil"/>
              <w:left w:val="nil"/>
              <w:bottom w:val="nil"/>
              <w:right w:val="nil"/>
            </w:tcBorders>
          </w:tcPr>
          <w:p w14:paraId="415C609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0FF2C8E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7012921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137BA1C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08FAEB5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1D237FD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75EB172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(-1.64)</w:t>
            </w:r>
          </w:p>
        </w:tc>
        <w:tc>
          <w:tcPr>
            <w:tcW w:w="990" w:type="dxa"/>
            <w:tcBorders>
              <w:top w:val="nil"/>
              <w:left w:val="nil"/>
              <w:bottom w:val="nil"/>
              <w:right w:val="nil"/>
            </w:tcBorders>
          </w:tcPr>
          <w:p w14:paraId="56E4A6D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1CE12DE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204A5778" w14:textId="77777777" w:rsidTr="003D25A1">
        <w:tc>
          <w:tcPr>
            <w:tcW w:w="850" w:type="dxa"/>
            <w:tcBorders>
              <w:top w:val="nil"/>
              <w:left w:val="nil"/>
              <w:bottom w:val="nil"/>
              <w:right w:val="nil"/>
            </w:tcBorders>
          </w:tcPr>
          <w:p w14:paraId="76703CE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4ADDE3E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3D7C06C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5A1CEA8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225E9FB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232181A0"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776AAA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7E7E504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4EDA1AF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1E5DEB39" w14:textId="77777777" w:rsidTr="003D25A1">
        <w:tc>
          <w:tcPr>
            <w:tcW w:w="850" w:type="dxa"/>
            <w:tcBorders>
              <w:top w:val="nil"/>
              <w:left w:val="nil"/>
              <w:bottom w:val="nil"/>
              <w:right w:val="nil"/>
            </w:tcBorders>
          </w:tcPr>
          <w:p w14:paraId="5F0A5E39" w14:textId="1C55DE9D" w:rsidR="001E0DEF" w:rsidRPr="0053680E"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r w:rsidRPr="0053680E">
              <w:rPr>
                <w:rFonts w:asciiTheme="majorBidi" w:hAnsiTheme="majorBidi" w:cstheme="majorBidi"/>
                <w:b/>
                <w:bCs/>
                <w:sz w:val="20"/>
                <w:szCs w:val="20"/>
                <w:lang w:val="en-US"/>
              </w:rPr>
              <w:t>BS75</w:t>
            </w:r>
            <w:r w:rsidR="00857648" w:rsidRPr="0053680E">
              <w:rPr>
                <w:rFonts w:asciiTheme="majorBidi" w:hAnsiTheme="majorBidi" w:cstheme="majorBidi"/>
                <w:b/>
                <w:bCs/>
                <w:sz w:val="20"/>
                <w:szCs w:val="20"/>
                <w:lang w:val="en-US"/>
              </w:rPr>
              <w:t>*</w:t>
            </w:r>
            <w:r w:rsidRPr="0053680E">
              <w:rPr>
                <w:rFonts w:asciiTheme="majorBidi" w:hAnsiTheme="majorBidi" w:cstheme="majorBidi"/>
                <w:b/>
                <w:bCs/>
                <w:sz w:val="20"/>
                <w:szCs w:val="20"/>
                <w:lang w:val="en-US"/>
              </w:rPr>
              <w:t>TVP</w:t>
            </w:r>
          </w:p>
        </w:tc>
        <w:tc>
          <w:tcPr>
            <w:tcW w:w="1035" w:type="dxa"/>
            <w:tcBorders>
              <w:top w:val="nil"/>
              <w:left w:val="nil"/>
              <w:bottom w:val="nil"/>
              <w:right w:val="nil"/>
            </w:tcBorders>
          </w:tcPr>
          <w:p w14:paraId="2BCDA36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0B03439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1745048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4DCA53A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65F80D8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782ACD8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1.241*</w:t>
            </w:r>
          </w:p>
        </w:tc>
        <w:tc>
          <w:tcPr>
            <w:tcW w:w="990" w:type="dxa"/>
            <w:tcBorders>
              <w:top w:val="nil"/>
              <w:left w:val="nil"/>
              <w:bottom w:val="nil"/>
              <w:right w:val="nil"/>
            </w:tcBorders>
          </w:tcPr>
          <w:p w14:paraId="1D1C833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69E2016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448B058B" w14:textId="77777777" w:rsidTr="003D25A1">
        <w:tc>
          <w:tcPr>
            <w:tcW w:w="850" w:type="dxa"/>
            <w:tcBorders>
              <w:top w:val="nil"/>
              <w:left w:val="nil"/>
              <w:bottom w:val="nil"/>
              <w:right w:val="nil"/>
            </w:tcBorders>
          </w:tcPr>
          <w:p w14:paraId="1415B2C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1F77C08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5020CA4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14FD3FE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5289D55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0CCA429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4668BE5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(1.77)</w:t>
            </w:r>
          </w:p>
        </w:tc>
        <w:tc>
          <w:tcPr>
            <w:tcW w:w="990" w:type="dxa"/>
            <w:tcBorders>
              <w:top w:val="nil"/>
              <w:left w:val="nil"/>
              <w:bottom w:val="nil"/>
              <w:right w:val="nil"/>
            </w:tcBorders>
          </w:tcPr>
          <w:p w14:paraId="3B5A1D1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0B1BCCC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30073FA5" w14:textId="77777777" w:rsidTr="003D25A1">
        <w:tc>
          <w:tcPr>
            <w:tcW w:w="850" w:type="dxa"/>
            <w:tcBorders>
              <w:top w:val="nil"/>
              <w:left w:val="nil"/>
              <w:bottom w:val="nil"/>
              <w:right w:val="nil"/>
            </w:tcBorders>
          </w:tcPr>
          <w:p w14:paraId="246081E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2563938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781F15A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5B8F8F2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2D74789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6843A22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05B1B0A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0CD3C14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32A99D60"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5600F449" w14:textId="77777777" w:rsidTr="003D25A1">
        <w:tc>
          <w:tcPr>
            <w:tcW w:w="850" w:type="dxa"/>
            <w:tcBorders>
              <w:top w:val="nil"/>
              <w:left w:val="nil"/>
              <w:bottom w:val="nil"/>
              <w:right w:val="nil"/>
            </w:tcBorders>
          </w:tcPr>
          <w:p w14:paraId="212179A1" w14:textId="70EDA33F"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NE25</w:t>
            </w:r>
          </w:p>
        </w:tc>
        <w:tc>
          <w:tcPr>
            <w:tcW w:w="1035" w:type="dxa"/>
            <w:tcBorders>
              <w:top w:val="nil"/>
              <w:left w:val="nil"/>
              <w:bottom w:val="nil"/>
              <w:right w:val="nil"/>
            </w:tcBorders>
          </w:tcPr>
          <w:p w14:paraId="1C43E36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73782FB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64CCB53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1C50B82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5FB57A5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50237B6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7C42EF4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23.17</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2EE3034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4B62AB10" w14:textId="77777777" w:rsidTr="003D25A1">
        <w:tc>
          <w:tcPr>
            <w:tcW w:w="850" w:type="dxa"/>
            <w:tcBorders>
              <w:top w:val="nil"/>
              <w:left w:val="nil"/>
              <w:bottom w:val="nil"/>
              <w:right w:val="nil"/>
            </w:tcBorders>
          </w:tcPr>
          <w:p w14:paraId="7DA8714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420EAC0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47EB40E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27265B2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0584A51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4CBE31B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3786ACA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449939DC"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(1.98)</w:t>
            </w:r>
          </w:p>
        </w:tc>
        <w:tc>
          <w:tcPr>
            <w:tcW w:w="990" w:type="dxa"/>
            <w:tcBorders>
              <w:top w:val="nil"/>
              <w:left w:val="nil"/>
              <w:bottom w:val="nil"/>
              <w:right w:val="nil"/>
            </w:tcBorders>
          </w:tcPr>
          <w:p w14:paraId="454D8E8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127D76E7" w14:textId="77777777" w:rsidTr="003D25A1">
        <w:tc>
          <w:tcPr>
            <w:tcW w:w="850" w:type="dxa"/>
            <w:tcBorders>
              <w:top w:val="nil"/>
              <w:left w:val="nil"/>
              <w:bottom w:val="nil"/>
              <w:right w:val="nil"/>
            </w:tcBorders>
          </w:tcPr>
          <w:p w14:paraId="2349579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4FB2CA7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190F474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7A2E19C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55A0B15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10C0A87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4A0C47E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42F653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394B22A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327957C6" w14:textId="77777777" w:rsidTr="003D25A1">
        <w:tc>
          <w:tcPr>
            <w:tcW w:w="850" w:type="dxa"/>
            <w:tcBorders>
              <w:top w:val="nil"/>
              <w:left w:val="nil"/>
              <w:bottom w:val="nil"/>
              <w:right w:val="nil"/>
            </w:tcBorders>
          </w:tcPr>
          <w:p w14:paraId="724736A9" w14:textId="679CA35E" w:rsidR="001E0DEF" w:rsidRPr="0053680E"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r w:rsidRPr="0053680E">
              <w:rPr>
                <w:rFonts w:asciiTheme="majorBidi" w:hAnsiTheme="majorBidi" w:cstheme="majorBidi"/>
                <w:b/>
                <w:bCs/>
                <w:sz w:val="20"/>
                <w:szCs w:val="20"/>
                <w:lang w:val="en-US"/>
              </w:rPr>
              <w:t>NE25</w:t>
            </w:r>
            <w:r w:rsidR="0008434D" w:rsidRPr="0053680E">
              <w:rPr>
                <w:rFonts w:asciiTheme="majorBidi" w:hAnsiTheme="majorBidi" w:cstheme="majorBidi"/>
                <w:b/>
                <w:bCs/>
                <w:sz w:val="20"/>
                <w:szCs w:val="20"/>
                <w:lang w:val="en-US"/>
              </w:rPr>
              <w:t>*</w:t>
            </w:r>
            <w:r w:rsidRPr="0053680E">
              <w:rPr>
                <w:rFonts w:asciiTheme="majorBidi" w:hAnsiTheme="majorBidi" w:cstheme="majorBidi"/>
                <w:b/>
                <w:bCs/>
                <w:sz w:val="20"/>
                <w:szCs w:val="20"/>
                <w:lang w:val="en-US"/>
              </w:rPr>
              <w:t>TVP</w:t>
            </w:r>
          </w:p>
        </w:tc>
        <w:tc>
          <w:tcPr>
            <w:tcW w:w="1035" w:type="dxa"/>
            <w:tcBorders>
              <w:top w:val="nil"/>
              <w:left w:val="nil"/>
              <w:bottom w:val="nil"/>
              <w:right w:val="nil"/>
            </w:tcBorders>
          </w:tcPr>
          <w:p w14:paraId="3108DAD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3BBF73A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3AC4541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18DBA7D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3DC2ABA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703F5F7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4A3E042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-1.321*</w:t>
            </w:r>
          </w:p>
        </w:tc>
        <w:tc>
          <w:tcPr>
            <w:tcW w:w="990" w:type="dxa"/>
            <w:tcBorders>
              <w:top w:val="nil"/>
              <w:left w:val="nil"/>
              <w:bottom w:val="nil"/>
              <w:right w:val="nil"/>
            </w:tcBorders>
          </w:tcPr>
          <w:p w14:paraId="48319DA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75A1A419" w14:textId="77777777" w:rsidTr="003D25A1">
        <w:tc>
          <w:tcPr>
            <w:tcW w:w="850" w:type="dxa"/>
            <w:tcBorders>
              <w:top w:val="nil"/>
              <w:left w:val="nil"/>
              <w:bottom w:val="nil"/>
              <w:right w:val="nil"/>
            </w:tcBorders>
          </w:tcPr>
          <w:p w14:paraId="74290D6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65F5589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105500C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280AF323"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471E455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6F56898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65E6A3A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5C20627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(-1.87)</w:t>
            </w:r>
          </w:p>
        </w:tc>
        <w:tc>
          <w:tcPr>
            <w:tcW w:w="990" w:type="dxa"/>
            <w:tcBorders>
              <w:top w:val="nil"/>
              <w:left w:val="nil"/>
              <w:bottom w:val="nil"/>
              <w:right w:val="nil"/>
            </w:tcBorders>
          </w:tcPr>
          <w:p w14:paraId="616EE05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r>
      <w:tr w:rsidR="001E0DEF" w:rsidRPr="0053680E" w14:paraId="376543D2" w14:textId="77777777" w:rsidTr="003D25A1">
        <w:tc>
          <w:tcPr>
            <w:tcW w:w="850" w:type="dxa"/>
            <w:tcBorders>
              <w:top w:val="nil"/>
              <w:left w:val="nil"/>
              <w:bottom w:val="nil"/>
              <w:right w:val="nil"/>
            </w:tcBorders>
          </w:tcPr>
          <w:p w14:paraId="5521574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7B1D425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2C86C26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48DC7EE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4DFE029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24B65969"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0290E2F8"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0B60050F"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7DAED66E"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57F1C538" w14:textId="77777777" w:rsidTr="003D25A1">
        <w:tc>
          <w:tcPr>
            <w:tcW w:w="850" w:type="dxa"/>
            <w:tcBorders>
              <w:top w:val="nil"/>
              <w:left w:val="nil"/>
              <w:bottom w:val="nil"/>
              <w:right w:val="nil"/>
            </w:tcBorders>
          </w:tcPr>
          <w:p w14:paraId="42E7A262" w14:textId="7F34342C"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NE75</w:t>
            </w:r>
          </w:p>
        </w:tc>
        <w:tc>
          <w:tcPr>
            <w:tcW w:w="1035" w:type="dxa"/>
            <w:tcBorders>
              <w:top w:val="nil"/>
              <w:left w:val="nil"/>
              <w:bottom w:val="nil"/>
              <w:right w:val="nil"/>
            </w:tcBorders>
          </w:tcPr>
          <w:p w14:paraId="4B4D744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75737A9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6A341EF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6C95F29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4F87FEB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2F43A28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50BDD12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1D0EB2E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-5.560</w:t>
            </w:r>
          </w:p>
        </w:tc>
      </w:tr>
      <w:tr w:rsidR="001E0DEF" w:rsidRPr="0053680E" w14:paraId="779740AA" w14:textId="77777777" w:rsidTr="003D25A1">
        <w:tc>
          <w:tcPr>
            <w:tcW w:w="850" w:type="dxa"/>
            <w:tcBorders>
              <w:top w:val="nil"/>
              <w:left w:val="nil"/>
              <w:bottom w:val="nil"/>
              <w:right w:val="nil"/>
            </w:tcBorders>
          </w:tcPr>
          <w:p w14:paraId="7127E0D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21EA713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3A068A2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27EDAF1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6463BBE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612D95D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2CDA470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4CE39CED"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53081194"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(-0.61)</w:t>
            </w:r>
          </w:p>
        </w:tc>
      </w:tr>
      <w:tr w:rsidR="001E0DEF" w:rsidRPr="0053680E" w14:paraId="0C28B9E5" w14:textId="77777777" w:rsidTr="003D25A1">
        <w:tc>
          <w:tcPr>
            <w:tcW w:w="850" w:type="dxa"/>
            <w:tcBorders>
              <w:top w:val="nil"/>
              <w:left w:val="nil"/>
              <w:bottom w:val="nil"/>
              <w:right w:val="nil"/>
            </w:tcBorders>
          </w:tcPr>
          <w:p w14:paraId="0098BB2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7E50E20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7FFCAB24"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1B3E8615"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48AA8CCD"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51E85EA7"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A83FFC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14F7C68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008868C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51508EA9" w14:textId="77777777" w:rsidTr="003D25A1">
        <w:tc>
          <w:tcPr>
            <w:tcW w:w="850" w:type="dxa"/>
            <w:tcBorders>
              <w:top w:val="nil"/>
              <w:left w:val="nil"/>
              <w:bottom w:val="nil"/>
              <w:right w:val="nil"/>
            </w:tcBorders>
          </w:tcPr>
          <w:p w14:paraId="117035A0" w14:textId="10C272D3" w:rsidR="001E0DEF" w:rsidRPr="0053680E"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r w:rsidRPr="0053680E">
              <w:rPr>
                <w:rFonts w:asciiTheme="majorBidi" w:hAnsiTheme="majorBidi" w:cstheme="majorBidi"/>
                <w:b/>
                <w:bCs/>
                <w:sz w:val="20"/>
                <w:szCs w:val="20"/>
                <w:lang w:val="en-US"/>
              </w:rPr>
              <w:t>NE75</w:t>
            </w:r>
            <w:r w:rsidR="0008434D" w:rsidRPr="0053680E">
              <w:rPr>
                <w:rFonts w:asciiTheme="majorBidi" w:hAnsiTheme="majorBidi" w:cstheme="majorBidi"/>
                <w:b/>
                <w:bCs/>
                <w:sz w:val="20"/>
                <w:szCs w:val="20"/>
                <w:lang w:val="en-US"/>
              </w:rPr>
              <w:t>*</w:t>
            </w:r>
            <w:r w:rsidRPr="0053680E">
              <w:rPr>
                <w:rFonts w:asciiTheme="majorBidi" w:hAnsiTheme="majorBidi" w:cstheme="majorBidi"/>
                <w:b/>
                <w:bCs/>
                <w:sz w:val="20"/>
                <w:szCs w:val="20"/>
                <w:lang w:val="en-US"/>
              </w:rPr>
              <w:t>TVP</w:t>
            </w:r>
          </w:p>
        </w:tc>
        <w:tc>
          <w:tcPr>
            <w:tcW w:w="1035" w:type="dxa"/>
            <w:tcBorders>
              <w:top w:val="nil"/>
              <w:left w:val="nil"/>
              <w:bottom w:val="nil"/>
              <w:right w:val="nil"/>
            </w:tcBorders>
          </w:tcPr>
          <w:p w14:paraId="18C5F94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7DF8F92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537C873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6B5BD98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3DB56271"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728E64AF"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5BB9936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7958736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0.552</w:t>
            </w:r>
          </w:p>
        </w:tc>
      </w:tr>
      <w:tr w:rsidR="001E0DEF" w:rsidRPr="0053680E" w14:paraId="262FBE38" w14:textId="77777777" w:rsidTr="003D25A1">
        <w:tc>
          <w:tcPr>
            <w:tcW w:w="850" w:type="dxa"/>
            <w:tcBorders>
              <w:top w:val="nil"/>
              <w:left w:val="nil"/>
              <w:bottom w:val="nil"/>
              <w:right w:val="nil"/>
            </w:tcBorders>
          </w:tcPr>
          <w:p w14:paraId="1A7DCBA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b/>
                <w:bCs/>
                <w:sz w:val="20"/>
                <w:szCs w:val="20"/>
                <w:lang w:val="en-US"/>
              </w:rPr>
            </w:pPr>
          </w:p>
        </w:tc>
        <w:tc>
          <w:tcPr>
            <w:tcW w:w="1035" w:type="dxa"/>
            <w:tcBorders>
              <w:top w:val="nil"/>
              <w:left w:val="nil"/>
              <w:bottom w:val="nil"/>
              <w:right w:val="nil"/>
            </w:tcBorders>
          </w:tcPr>
          <w:p w14:paraId="66F997F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104876BE"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4700027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080" w:type="dxa"/>
            <w:tcBorders>
              <w:top w:val="nil"/>
              <w:left w:val="nil"/>
              <w:bottom w:val="nil"/>
              <w:right w:val="nil"/>
            </w:tcBorders>
          </w:tcPr>
          <w:p w14:paraId="666C100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1170" w:type="dxa"/>
            <w:tcBorders>
              <w:top w:val="nil"/>
              <w:left w:val="nil"/>
              <w:bottom w:val="nil"/>
              <w:right w:val="nil"/>
            </w:tcBorders>
          </w:tcPr>
          <w:p w14:paraId="5AAF0912"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07FBEA6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665C5CB7"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p>
        </w:tc>
        <w:tc>
          <w:tcPr>
            <w:tcW w:w="990" w:type="dxa"/>
            <w:tcBorders>
              <w:top w:val="nil"/>
              <w:left w:val="nil"/>
              <w:bottom w:val="nil"/>
              <w:right w:val="nil"/>
            </w:tcBorders>
          </w:tcPr>
          <w:p w14:paraId="005DB685"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(1.08)</w:t>
            </w:r>
          </w:p>
        </w:tc>
      </w:tr>
      <w:tr w:rsidR="001E0DEF" w:rsidRPr="0053680E" w14:paraId="538B1C0B" w14:textId="77777777" w:rsidTr="003D25A1">
        <w:tc>
          <w:tcPr>
            <w:tcW w:w="850" w:type="dxa"/>
            <w:tcBorders>
              <w:top w:val="nil"/>
              <w:left w:val="nil"/>
              <w:bottom w:val="nil"/>
              <w:right w:val="nil"/>
            </w:tcBorders>
          </w:tcPr>
          <w:p w14:paraId="10A1432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35" w:type="dxa"/>
            <w:tcBorders>
              <w:top w:val="nil"/>
              <w:left w:val="nil"/>
              <w:bottom w:val="nil"/>
              <w:right w:val="nil"/>
            </w:tcBorders>
          </w:tcPr>
          <w:p w14:paraId="159960F2"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3828E57A"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13F850B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080" w:type="dxa"/>
            <w:tcBorders>
              <w:top w:val="nil"/>
              <w:left w:val="nil"/>
              <w:bottom w:val="nil"/>
              <w:right w:val="nil"/>
            </w:tcBorders>
          </w:tcPr>
          <w:p w14:paraId="383C41D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1170" w:type="dxa"/>
            <w:tcBorders>
              <w:top w:val="nil"/>
              <w:left w:val="nil"/>
              <w:bottom w:val="nil"/>
              <w:right w:val="nil"/>
            </w:tcBorders>
          </w:tcPr>
          <w:p w14:paraId="7AB676AC"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44F38CB6"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4E69EF11"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c>
          <w:tcPr>
            <w:tcW w:w="990" w:type="dxa"/>
            <w:tcBorders>
              <w:top w:val="nil"/>
              <w:left w:val="nil"/>
              <w:bottom w:val="nil"/>
              <w:right w:val="nil"/>
            </w:tcBorders>
          </w:tcPr>
          <w:p w14:paraId="51054DEB"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p>
        </w:tc>
      </w:tr>
      <w:tr w:rsidR="001E0DEF" w:rsidRPr="0053680E" w14:paraId="37287C73" w14:textId="77777777" w:rsidTr="003D25A1">
        <w:tc>
          <w:tcPr>
            <w:tcW w:w="850" w:type="dxa"/>
            <w:tcBorders>
              <w:top w:val="nil"/>
              <w:left w:val="nil"/>
              <w:bottom w:val="nil"/>
              <w:right w:val="nil"/>
            </w:tcBorders>
          </w:tcPr>
          <w:p w14:paraId="1ABFAC83" w14:textId="77777777" w:rsidR="001E0DEF" w:rsidRPr="0053680E" w:rsidRDefault="001E0DEF" w:rsidP="005E39DE">
            <w:pPr>
              <w:widowControl w:val="0"/>
              <w:autoSpaceDE w:val="0"/>
              <w:autoSpaceDN w:val="0"/>
              <w:adjustRightInd w:val="0"/>
              <w:spacing w:after="0" w:line="240" w:lineRule="auto"/>
              <w:rPr>
                <w:rFonts w:asciiTheme="majorBidi" w:hAnsiTheme="majorBidi" w:cstheme="majorBidi"/>
                <w:sz w:val="20"/>
                <w:szCs w:val="20"/>
                <w:lang w:val="en-US"/>
              </w:rPr>
            </w:pPr>
            <w:r w:rsidRPr="0053680E">
              <w:rPr>
                <w:rFonts w:asciiTheme="majorBidi" w:hAnsiTheme="majorBidi" w:cstheme="majorBidi"/>
                <w:sz w:val="20"/>
                <w:szCs w:val="20"/>
                <w:lang w:val="en-US"/>
              </w:rPr>
              <w:t>_Cons</w:t>
            </w:r>
          </w:p>
        </w:tc>
        <w:tc>
          <w:tcPr>
            <w:tcW w:w="1035" w:type="dxa"/>
            <w:tcBorders>
              <w:top w:val="nil"/>
              <w:left w:val="nil"/>
              <w:bottom w:val="nil"/>
              <w:right w:val="nil"/>
            </w:tcBorders>
          </w:tcPr>
          <w:p w14:paraId="4649E14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-21.62*</w:t>
            </w:r>
          </w:p>
        </w:tc>
        <w:tc>
          <w:tcPr>
            <w:tcW w:w="1080" w:type="dxa"/>
            <w:tcBorders>
              <w:top w:val="nil"/>
              <w:left w:val="nil"/>
              <w:bottom w:val="nil"/>
              <w:right w:val="nil"/>
            </w:tcBorders>
          </w:tcPr>
          <w:p w14:paraId="1B532EE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-27.13</w:t>
            </w:r>
            <w:r w:rsidRPr="0053680E">
              <w:rPr>
                <w:rFonts w:asciiTheme="majorBidi" w:hAnsiTheme="majorBidi" w:cstheme="majorBidi"/>
                <w:sz w:val="20"/>
                <w:szCs w:val="20"/>
                <w:vertAlign w:val="superscript"/>
                <w:lang w:val="en-US"/>
              </w:rPr>
              <w:t>**</w:t>
            </w:r>
          </w:p>
        </w:tc>
        <w:tc>
          <w:tcPr>
            <w:tcW w:w="1170" w:type="dxa"/>
            <w:tcBorders>
              <w:top w:val="nil"/>
              <w:left w:val="nil"/>
              <w:bottom w:val="nil"/>
              <w:right w:val="nil"/>
            </w:tcBorders>
          </w:tcPr>
          <w:p w14:paraId="613B989A"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-26.51</w:t>
            </w:r>
            <w:r w:rsidRPr="0053680E">
              <w:rPr>
                <w:rFonts w:asciiTheme="majorBidi" w:hAnsiTheme="majorBidi" w:cstheme="majorBidi"/>
                <w:sz w:val="20"/>
                <w:szCs w:val="20"/>
                <w:vertAlign w:val="superscript"/>
                <w:lang w:val="en-US"/>
              </w:rPr>
              <w:t>**</w:t>
            </w:r>
          </w:p>
        </w:tc>
        <w:tc>
          <w:tcPr>
            <w:tcW w:w="1080" w:type="dxa"/>
            <w:tcBorders>
              <w:top w:val="nil"/>
              <w:left w:val="nil"/>
              <w:bottom w:val="nil"/>
              <w:right w:val="nil"/>
            </w:tcBorders>
          </w:tcPr>
          <w:p w14:paraId="465A44BB"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-16.00</w:t>
            </w:r>
          </w:p>
        </w:tc>
        <w:tc>
          <w:tcPr>
            <w:tcW w:w="1170" w:type="dxa"/>
            <w:tcBorders>
              <w:top w:val="nil"/>
              <w:left w:val="nil"/>
              <w:bottom w:val="nil"/>
              <w:right w:val="nil"/>
            </w:tcBorders>
          </w:tcPr>
          <w:p w14:paraId="100B8C48"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-25.64</w:t>
            </w:r>
            <w:r w:rsidRPr="0053680E">
              <w:rPr>
                <w:rFonts w:asciiTheme="majorBidi" w:hAnsiTheme="majorBidi" w:cstheme="majorBidi"/>
                <w:sz w:val="20"/>
                <w:szCs w:val="20"/>
                <w:vertAlign w:val="superscript"/>
                <w:lang w:val="en-US"/>
              </w:rPr>
              <w:t>**</w:t>
            </w:r>
          </w:p>
        </w:tc>
        <w:tc>
          <w:tcPr>
            <w:tcW w:w="990" w:type="dxa"/>
            <w:tcBorders>
              <w:top w:val="nil"/>
              <w:left w:val="nil"/>
              <w:bottom w:val="nil"/>
              <w:right w:val="nil"/>
            </w:tcBorders>
          </w:tcPr>
          <w:p w14:paraId="26117189"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-8.790</w:t>
            </w:r>
          </w:p>
        </w:tc>
        <w:tc>
          <w:tcPr>
            <w:tcW w:w="990" w:type="dxa"/>
            <w:tcBorders>
              <w:top w:val="nil"/>
              <w:left w:val="nil"/>
              <w:bottom w:val="nil"/>
              <w:right w:val="nil"/>
            </w:tcBorders>
          </w:tcPr>
          <w:p w14:paraId="063D6446"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-21.44*</w:t>
            </w:r>
          </w:p>
        </w:tc>
        <w:tc>
          <w:tcPr>
            <w:tcW w:w="990" w:type="dxa"/>
            <w:tcBorders>
              <w:top w:val="nil"/>
              <w:left w:val="nil"/>
              <w:bottom w:val="nil"/>
              <w:right w:val="nil"/>
            </w:tcBorders>
          </w:tcPr>
          <w:p w14:paraId="7C3C7A30" w14:textId="77777777" w:rsidR="001E0DEF" w:rsidRPr="0053680E" w:rsidRDefault="001E0DEF" w:rsidP="005E39DE">
            <w:pPr>
              <w:widowControl w:val="0"/>
              <w:autoSpaceDE w:val="0"/>
              <w:autoSpaceDN w:val="0"/>
              <w:adjustRightInd w:val="0"/>
              <w:spacing w:after="0" w:line="240" w:lineRule="auto"/>
              <w:jc w:val="center"/>
              <w:rPr>
                <w:rFonts w:asciiTheme="majorBidi" w:hAnsiTheme="majorBidi" w:cstheme="majorBidi"/>
                <w:sz w:val="20"/>
                <w:szCs w:val="20"/>
                <w:lang w:val="en-US"/>
              </w:rPr>
            </w:pPr>
            <w:r w:rsidRPr="0053680E">
              <w:rPr>
                <w:rFonts w:asciiTheme="majorBidi" w:hAnsiTheme="majorBidi" w:cstheme="majorBidi"/>
                <w:sz w:val="20"/>
                <w:szCs w:val="20"/>
                <w:lang w:val="en-US"/>
              </w:rPr>
              <w:t>-11.23</w:t>
            </w:r>
          </w:p>
        </w:tc>
      </w:tr>
      <w:tr w:rsidR="001E0DEF" w:rsidRPr="0053680E" w14:paraId="25DE5C3F" w14:textId="77777777" w:rsidTr="003D25A1">
        <w:tc>
          <w:tcPr>
            <w:tcW w:w="850" w:type="dxa"/>
            <w:tcBorders>
              <w:top w:val="nil"/>
              <w:left w:val="nil"/>
              <w:bottom w:val="single" w:sz="4" w:space="0" w:color="auto"/>
              <w:right w:val="nil"/>
            </w:tcBorders>
          </w:tcPr>
          <w:p w14:paraId="273B08BE" w14:textId="77777777" w:rsidR="001E0DEF" w:rsidRPr="0001152B" w:rsidRDefault="001E0DEF" w:rsidP="005E39DE">
            <w:pPr>
              <w:widowControl w:val="0"/>
              <w:autoSpaceDE w:val="0"/>
              <w:autoSpaceDN w:val="0"/>
              <w:adjustRightInd w:val="0"/>
              <w:spacing w:after="0" w:line="240" w:lineRule="auto"/>
              <w:rPr>
                <w:rFonts w:asciiTheme="majorBidi" w:hAnsiTheme="majorBidi" w:cstheme="majorBidi"/>
                <w:sz w:val="18"/>
                <w:szCs w:val="18"/>
                <w:lang w:val="en-US"/>
              </w:rPr>
            </w:pPr>
          </w:p>
          <w:p w14:paraId="0E55E79F" w14:textId="2704C59F" w:rsidR="001E0DEF" w:rsidRPr="0001152B" w:rsidRDefault="001E0DEF" w:rsidP="0053680E">
            <w:pPr>
              <w:widowControl w:val="0"/>
              <w:autoSpaceDE w:val="0"/>
              <w:autoSpaceDN w:val="0"/>
              <w:adjustRightInd w:val="0"/>
              <w:spacing w:after="0" w:line="240" w:lineRule="auto"/>
              <w:rPr>
                <w:rFonts w:asciiTheme="majorBidi" w:hAnsiTheme="majorBidi" w:cstheme="majorBidi"/>
                <w:sz w:val="18"/>
                <w:szCs w:val="18"/>
                <w:lang w:val="en-US"/>
              </w:rPr>
            </w:pPr>
            <w:r w:rsidRPr="0001152B">
              <w:rPr>
                <w:rFonts w:asciiTheme="majorBidi" w:hAnsiTheme="majorBidi" w:cstheme="majorBidi"/>
                <w:sz w:val="18"/>
                <w:szCs w:val="18"/>
                <w:lang w:val="en-US"/>
              </w:rPr>
              <w:t>Year</w:t>
            </w:r>
          </w:p>
          <w:p w14:paraId="72A4443A" w14:textId="20C3B667" w:rsidR="0001152B" w:rsidRPr="0001152B" w:rsidRDefault="0001152B" w:rsidP="0053680E">
            <w:pPr>
              <w:widowControl w:val="0"/>
              <w:autoSpaceDE w:val="0"/>
              <w:autoSpaceDN w:val="0"/>
              <w:adjustRightInd w:val="0"/>
              <w:spacing w:after="0" w:line="240" w:lineRule="auto"/>
              <w:rPr>
                <w:rFonts w:asciiTheme="majorBidi" w:hAnsiTheme="majorBidi" w:cstheme="majorBidi"/>
                <w:sz w:val="18"/>
                <w:szCs w:val="18"/>
                <w:lang w:val="en-US"/>
              </w:rPr>
            </w:pPr>
            <w:r w:rsidRPr="0001152B">
              <w:rPr>
                <w:rFonts w:asciiTheme="majorBidi" w:hAnsiTheme="majorBidi" w:cstheme="majorBidi"/>
                <w:sz w:val="18"/>
                <w:szCs w:val="18"/>
                <w:lang w:val="en-US"/>
              </w:rPr>
              <w:t>Industry</w:t>
            </w:r>
          </w:p>
        </w:tc>
        <w:tc>
          <w:tcPr>
            <w:tcW w:w="1035" w:type="dxa"/>
            <w:tcBorders>
              <w:top w:val="nil"/>
              <w:left w:val="nil"/>
              <w:bottom w:val="single" w:sz="4" w:space="0" w:color="auto"/>
              <w:right w:val="nil"/>
            </w:tcBorders>
          </w:tcPr>
          <w:p w14:paraId="22DA505F"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(-1.76)</w:t>
            </w:r>
          </w:p>
          <w:p w14:paraId="2C4A042F"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YES</w:t>
            </w:r>
          </w:p>
          <w:p w14:paraId="2E8F5757"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YES</w:t>
            </w:r>
          </w:p>
        </w:tc>
        <w:tc>
          <w:tcPr>
            <w:tcW w:w="1080" w:type="dxa"/>
            <w:tcBorders>
              <w:top w:val="nil"/>
              <w:left w:val="nil"/>
              <w:bottom w:val="single" w:sz="4" w:space="0" w:color="auto"/>
              <w:right w:val="nil"/>
            </w:tcBorders>
          </w:tcPr>
          <w:p w14:paraId="4C167D65"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(-2.22)</w:t>
            </w:r>
          </w:p>
          <w:p w14:paraId="15D56EE6"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YES</w:t>
            </w:r>
          </w:p>
          <w:p w14:paraId="380C33EA"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YES</w:t>
            </w:r>
          </w:p>
        </w:tc>
        <w:tc>
          <w:tcPr>
            <w:tcW w:w="1170" w:type="dxa"/>
            <w:tcBorders>
              <w:top w:val="nil"/>
              <w:left w:val="nil"/>
              <w:bottom w:val="single" w:sz="4" w:space="0" w:color="auto"/>
              <w:right w:val="nil"/>
            </w:tcBorders>
          </w:tcPr>
          <w:p w14:paraId="473060FD"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(-2.25)</w:t>
            </w:r>
          </w:p>
          <w:p w14:paraId="2605A09B"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YES</w:t>
            </w:r>
          </w:p>
          <w:p w14:paraId="40EF13DB"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YES</w:t>
            </w:r>
          </w:p>
        </w:tc>
        <w:tc>
          <w:tcPr>
            <w:tcW w:w="1080" w:type="dxa"/>
            <w:tcBorders>
              <w:top w:val="nil"/>
              <w:left w:val="nil"/>
              <w:bottom w:val="single" w:sz="4" w:space="0" w:color="auto"/>
              <w:right w:val="nil"/>
            </w:tcBorders>
          </w:tcPr>
          <w:p w14:paraId="2ED97F38"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(-1.32)</w:t>
            </w:r>
          </w:p>
          <w:p w14:paraId="68F245D5"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YES</w:t>
            </w:r>
          </w:p>
          <w:p w14:paraId="316DE8F4"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YES</w:t>
            </w:r>
          </w:p>
        </w:tc>
        <w:tc>
          <w:tcPr>
            <w:tcW w:w="1170" w:type="dxa"/>
            <w:tcBorders>
              <w:top w:val="nil"/>
              <w:left w:val="nil"/>
              <w:bottom w:val="single" w:sz="4" w:space="0" w:color="auto"/>
              <w:right w:val="nil"/>
            </w:tcBorders>
          </w:tcPr>
          <w:p w14:paraId="608E93AF"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(-2.19)</w:t>
            </w:r>
          </w:p>
          <w:p w14:paraId="58C47F82"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YES</w:t>
            </w:r>
          </w:p>
          <w:p w14:paraId="055C7D64"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YES</w:t>
            </w:r>
          </w:p>
        </w:tc>
        <w:tc>
          <w:tcPr>
            <w:tcW w:w="990" w:type="dxa"/>
            <w:tcBorders>
              <w:top w:val="nil"/>
              <w:left w:val="nil"/>
              <w:bottom w:val="single" w:sz="4" w:space="0" w:color="auto"/>
              <w:right w:val="nil"/>
            </w:tcBorders>
          </w:tcPr>
          <w:p w14:paraId="48430CAA"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(-0.71)</w:t>
            </w:r>
          </w:p>
          <w:p w14:paraId="4F49BD75"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YES</w:t>
            </w:r>
          </w:p>
          <w:p w14:paraId="5AF61A54"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YES</w:t>
            </w:r>
          </w:p>
        </w:tc>
        <w:tc>
          <w:tcPr>
            <w:tcW w:w="990" w:type="dxa"/>
            <w:tcBorders>
              <w:top w:val="nil"/>
              <w:left w:val="nil"/>
              <w:bottom w:val="single" w:sz="4" w:space="0" w:color="auto"/>
              <w:right w:val="nil"/>
            </w:tcBorders>
          </w:tcPr>
          <w:p w14:paraId="2E5CE6C7"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(-1.88)</w:t>
            </w:r>
          </w:p>
          <w:p w14:paraId="3D0E271A"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YES</w:t>
            </w:r>
          </w:p>
          <w:p w14:paraId="62FEDCDF"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YES</w:t>
            </w:r>
          </w:p>
        </w:tc>
        <w:tc>
          <w:tcPr>
            <w:tcW w:w="990" w:type="dxa"/>
            <w:tcBorders>
              <w:top w:val="nil"/>
              <w:left w:val="nil"/>
              <w:bottom w:val="single" w:sz="4" w:space="0" w:color="auto"/>
              <w:right w:val="nil"/>
            </w:tcBorders>
          </w:tcPr>
          <w:p w14:paraId="666C3B57"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(-0.93)</w:t>
            </w:r>
          </w:p>
          <w:p w14:paraId="612D5AC3"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YES</w:t>
            </w:r>
          </w:p>
          <w:p w14:paraId="23FFC2BC" w14:textId="77777777" w:rsidR="001E0DEF" w:rsidRPr="0001152B" w:rsidRDefault="001E0DEF" w:rsidP="005E39DE">
            <w:pPr>
              <w:widowControl w:val="0"/>
              <w:autoSpaceDE w:val="0"/>
              <w:autoSpaceDN w:val="0"/>
              <w:adjustRightInd w:val="0"/>
              <w:spacing w:after="0" w:line="240" w:lineRule="auto"/>
              <w:jc w:val="center"/>
              <w:rPr>
                <w:rFonts w:asciiTheme="majorBidi" w:hAnsiTheme="majorBidi" w:cstheme="majorBidi"/>
                <w:sz w:val="18"/>
                <w:szCs w:val="18"/>
                <w:lang w:val="en-US"/>
              </w:rPr>
            </w:pPr>
            <w:r w:rsidRPr="0001152B">
              <w:rPr>
                <w:rFonts w:asciiTheme="majorBidi" w:hAnsiTheme="majorBidi" w:cstheme="majorBidi"/>
                <w:sz w:val="18"/>
                <w:szCs w:val="18"/>
                <w:lang w:val="en-US"/>
              </w:rPr>
              <w:t>YES</w:t>
            </w:r>
          </w:p>
        </w:tc>
      </w:tr>
      <w:tr w:rsidR="001E0DEF" w:rsidRPr="0053680E" w14:paraId="593B8840" w14:textId="77777777" w:rsidTr="003D25A1">
        <w:tc>
          <w:tcPr>
            <w:tcW w:w="850" w:type="dxa"/>
            <w:tcBorders>
              <w:top w:val="single" w:sz="4" w:space="0" w:color="auto"/>
              <w:left w:val="nil"/>
              <w:bottom w:val="nil"/>
              <w:right w:val="nil"/>
            </w:tcBorders>
          </w:tcPr>
          <w:p w14:paraId="5E85AE55" w14:textId="77777777" w:rsidR="001E0DEF" w:rsidRPr="0053680E" w:rsidRDefault="001E0DEF" w:rsidP="005E39DE">
            <w:pPr>
              <w:widowControl w:val="0"/>
              <w:autoSpaceDE w:val="0"/>
              <w:autoSpaceDN w:val="0"/>
              <w:adjustRightInd w:val="0"/>
              <w:spacing w:after="0" w:line="360" w:lineRule="auto"/>
              <w:rPr>
                <w:rFonts w:asciiTheme="majorBidi" w:hAnsiTheme="majorBidi" w:cstheme="majorBidi"/>
                <w:b/>
                <w:bCs/>
                <w:sz w:val="20"/>
                <w:szCs w:val="20"/>
                <w:lang w:val="en-US"/>
              </w:rPr>
            </w:pPr>
            <w:r w:rsidRPr="0053680E">
              <w:rPr>
                <w:rFonts w:asciiTheme="majorBidi" w:hAnsiTheme="majorBidi" w:cstheme="majorBidi"/>
                <w:b/>
                <w:bCs/>
                <w:i/>
                <w:iCs/>
                <w:sz w:val="20"/>
                <w:szCs w:val="20"/>
                <w:lang w:val="en-US"/>
              </w:rPr>
              <w:t>N</w:t>
            </w:r>
          </w:p>
        </w:tc>
        <w:tc>
          <w:tcPr>
            <w:tcW w:w="1035" w:type="dxa"/>
            <w:tcBorders>
              <w:top w:val="single" w:sz="4" w:space="0" w:color="auto"/>
              <w:left w:val="nil"/>
              <w:bottom w:val="nil"/>
              <w:right w:val="nil"/>
            </w:tcBorders>
          </w:tcPr>
          <w:p w14:paraId="497DDDBA" w14:textId="77777777" w:rsidR="001E0DEF" w:rsidRPr="0053680E" w:rsidRDefault="001E0DEF" w:rsidP="005E39DE">
            <w:pPr>
              <w:widowControl w:val="0"/>
              <w:autoSpaceDE w:val="0"/>
              <w:autoSpaceDN w:val="0"/>
              <w:adjustRightInd w:val="0"/>
              <w:spacing w:after="0" w:line="36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473</w:t>
            </w:r>
          </w:p>
        </w:tc>
        <w:tc>
          <w:tcPr>
            <w:tcW w:w="1080" w:type="dxa"/>
            <w:tcBorders>
              <w:top w:val="single" w:sz="4" w:space="0" w:color="auto"/>
              <w:left w:val="nil"/>
              <w:bottom w:val="nil"/>
              <w:right w:val="nil"/>
            </w:tcBorders>
          </w:tcPr>
          <w:p w14:paraId="7CB00328" w14:textId="77777777" w:rsidR="001E0DEF" w:rsidRPr="0053680E" w:rsidRDefault="001E0DEF" w:rsidP="005E39DE">
            <w:pPr>
              <w:widowControl w:val="0"/>
              <w:autoSpaceDE w:val="0"/>
              <w:autoSpaceDN w:val="0"/>
              <w:adjustRightInd w:val="0"/>
              <w:spacing w:after="0" w:line="36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473</w:t>
            </w:r>
          </w:p>
        </w:tc>
        <w:tc>
          <w:tcPr>
            <w:tcW w:w="1170" w:type="dxa"/>
            <w:tcBorders>
              <w:top w:val="single" w:sz="4" w:space="0" w:color="auto"/>
              <w:left w:val="nil"/>
              <w:bottom w:val="nil"/>
              <w:right w:val="nil"/>
            </w:tcBorders>
          </w:tcPr>
          <w:p w14:paraId="07760687" w14:textId="77777777" w:rsidR="001E0DEF" w:rsidRPr="0053680E" w:rsidRDefault="001E0DEF" w:rsidP="005E39DE">
            <w:pPr>
              <w:widowControl w:val="0"/>
              <w:autoSpaceDE w:val="0"/>
              <w:autoSpaceDN w:val="0"/>
              <w:adjustRightInd w:val="0"/>
              <w:spacing w:after="0" w:line="36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473</w:t>
            </w:r>
          </w:p>
        </w:tc>
        <w:tc>
          <w:tcPr>
            <w:tcW w:w="1080" w:type="dxa"/>
            <w:tcBorders>
              <w:top w:val="single" w:sz="4" w:space="0" w:color="auto"/>
              <w:left w:val="nil"/>
              <w:bottom w:val="nil"/>
              <w:right w:val="nil"/>
            </w:tcBorders>
          </w:tcPr>
          <w:p w14:paraId="55E51939" w14:textId="77777777" w:rsidR="001E0DEF" w:rsidRPr="0053680E" w:rsidRDefault="001E0DEF" w:rsidP="005E39DE">
            <w:pPr>
              <w:widowControl w:val="0"/>
              <w:autoSpaceDE w:val="0"/>
              <w:autoSpaceDN w:val="0"/>
              <w:adjustRightInd w:val="0"/>
              <w:spacing w:after="0" w:line="36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473</w:t>
            </w:r>
          </w:p>
        </w:tc>
        <w:tc>
          <w:tcPr>
            <w:tcW w:w="1170" w:type="dxa"/>
            <w:tcBorders>
              <w:top w:val="single" w:sz="4" w:space="0" w:color="auto"/>
              <w:left w:val="nil"/>
              <w:bottom w:val="nil"/>
              <w:right w:val="nil"/>
            </w:tcBorders>
          </w:tcPr>
          <w:p w14:paraId="510571AE" w14:textId="77777777" w:rsidR="001E0DEF" w:rsidRPr="0053680E" w:rsidRDefault="001E0DEF" w:rsidP="005E39DE">
            <w:pPr>
              <w:widowControl w:val="0"/>
              <w:autoSpaceDE w:val="0"/>
              <w:autoSpaceDN w:val="0"/>
              <w:adjustRightInd w:val="0"/>
              <w:spacing w:after="0" w:line="36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473</w:t>
            </w:r>
          </w:p>
        </w:tc>
        <w:tc>
          <w:tcPr>
            <w:tcW w:w="990" w:type="dxa"/>
            <w:tcBorders>
              <w:top w:val="single" w:sz="4" w:space="0" w:color="auto"/>
              <w:left w:val="nil"/>
              <w:bottom w:val="nil"/>
              <w:right w:val="nil"/>
            </w:tcBorders>
          </w:tcPr>
          <w:p w14:paraId="58E6EF1C" w14:textId="77777777" w:rsidR="001E0DEF" w:rsidRPr="0053680E" w:rsidRDefault="001E0DEF" w:rsidP="005E39DE">
            <w:pPr>
              <w:widowControl w:val="0"/>
              <w:autoSpaceDE w:val="0"/>
              <w:autoSpaceDN w:val="0"/>
              <w:adjustRightInd w:val="0"/>
              <w:spacing w:after="0" w:line="36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473</w:t>
            </w:r>
          </w:p>
        </w:tc>
        <w:tc>
          <w:tcPr>
            <w:tcW w:w="990" w:type="dxa"/>
            <w:tcBorders>
              <w:top w:val="single" w:sz="4" w:space="0" w:color="auto"/>
              <w:left w:val="nil"/>
              <w:bottom w:val="nil"/>
              <w:right w:val="nil"/>
            </w:tcBorders>
          </w:tcPr>
          <w:p w14:paraId="2E6FE947" w14:textId="77777777" w:rsidR="001E0DEF" w:rsidRPr="0053680E" w:rsidRDefault="001E0DEF" w:rsidP="005E39DE">
            <w:pPr>
              <w:widowControl w:val="0"/>
              <w:autoSpaceDE w:val="0"/>
              <w:autoSpaceDN w:val="0"/>
              <w:adjustRightInd w:val="0"/>
              <w:spacing w:after="0" w:line="36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473</w:t>
            </w:r>
          </w:p>
        </w:tc>
        <w:tc>
          <w:tcPr>
            <w:tcW w:w="990" w:type="dxa"/>
            <w:tcBorders>
              <w:top w:val="single" w:sz="4" w:space="0" w:color="auto"/>
              <w:left w:val="nil"/>
              <w:bottom w:val="nil"/>
              <w:right w:val="nil"/>
            </w:tcBorders>
          </w:tcPr>
          <w:p w14:paraId="1655160C" w14:textId="77777777" w:rsidR="001E0DEF" w:rsidRPr="0053680E" w:rsidRDefault="001E0DEF" w:rsidP="005E39DE">
            <w:pPr>
              <w:widowControl w:val="0"/>
              <w:autoSpaceDE w:val="0"/>
              <w:autoSpaceDN w:val="0"/>
              <w:adjustRightInd w:val="0"/>
              <w:spacing w:after="0" w:line="36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473</w:t>
            </w:r>
          </w:p>
        </w:tc>
      </w:tr>
      <w:tr w:rsidR="001E0DEF" w:rsidRPr="0053680E" w14:paraId="56B6A739" w14:textId="77777777" w:rsidTr="003D25A1">
        <w:tc>
          <w:tcPr>
            <w:tcW w:w="850" w:type="dxa"/>
            <w:tcBorders>
              <w:top w:val="nil"/>
              <w:left w:val="nil"/>
              <w:bottom w:val="single" w:sz="4" w:space="0" w:color="auto"/>
              <w:right w:val="nil"/>
            </w:tcBorders>
          </w:tcPr>
          <w:p w14:paraId="5BE6DA70" w14:textId="77777777" w:rsidR="001E0DEF" w:rsidRPr="0053680E" w:rsidRDefault="001E0DEF" w:rsidP="005E39DE">
            <w:pPr>
              <w:widowControl w:val="0"/>
              <w:autoSpaceDE w:val="0"/>
              <w:autoSpaceDN w:val="0"/>
              <w:adjustRightInd w:val="0"/>
              <w:spacing w:after="0" w:line="360" w:lineRule="auto"/>
              <w:rPr>
                <w:rFonts w:asciiTheme="majorBidi" w:hAnsiTheme="majorBidi" w:cstheme="majorBidi"/>
                <w:b/>
                <w:bCs/>
                <w:sz w:val="20"/>
                <w:szCs w:val="20"/>
                <w:lang w:val="en-US"/>
              </w:rPr>
            </w:pPr>
            <w:r w:rsidRPr="0053680E">
              <w:rPr>
                <w:rFonts w:asciiTheme="majorBidi" w:hAnsiTheme="majorBidi" w:cstheme="majorBidi"/>
                <w:b/>
                <w:bCs/>
                <w:i/>
                <w:iCs/>
                <w:sz w:val="20"/>
                <w:szCs w:val="20"/>
                <w:lang w:val="en-US"/>
              </w:rPr>
              <w:t>R</w:t>
            </w:r>
            <w:r w:rsidRPr="0053680E">
              <w:rPr>
                <w:rFonts w:asciiTheme="majorBidi" w:hAnsiTheme="majorBidi" w:cstheme="majorBidi"/>
                <w:b/>
                <w:bCs/>
                <w:sz w:val="20"/>
                <w:szCs w:val="20"/>
                <w:vertAlign w:val="superscript"/>
                <w:lang w:val="en-US"/>
              </w:rPr>
              <w:t>2</w:t>
            </w:r>
          </w:p>
        </w:tc>
        <w:tc>
          <w:tcPr>
            <w:tcW w:w="1035" w:type="dxa"/>
            <w:tcBorders>
              <w:top w:val="nil"/>
              <w:left w:val="nil"/>
              <w:bottom w:val="single" w:sz="4" w:space="0" w:color="auto"/>
              <w:right w:val="nil"/>
            </w:tcBorders>
          </w:tcPr>
          <w:p w14:paraId="4256D6B3" w14:textId="77777777" w:rsidR="001E0DEF" w:rsidRPr="0053680E" w:rsidRDefault="001E0DEF" w:rsidP="005E39DE">
            <w:pPr>
              <w:widowControl w:val="0"/>
              <w:autoSpaceDE w:val="0"/>
              <w:autoSpaceDN w:val="0"/>
              <w:adjustRightInd w:val="0"/>
              <w:spacing w:after="0" w:line="36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0.315</w:t>
            </w:r>
          </w:p>
        </w:tc>
        <w:tc>
          <w:tcPr>
            <w:tcW w:w="1080" w:type="dxa"/>
            <w:tcBorders>
              <w:top w:val="nil"/>
              <w:left w:val="nil"/>
              <w:bottom w:val="single" w:sz="4" w:space="0" w:color="auto"/>
              <w:right w:val="nil"/>
            </w:tcBorders>
          </w:tcPr>
          <w:p w14:paraId="18776CF8" w14:textId="77777777" w:rsidR="001E0DEF" w:rsidRPr="0053680E" w:rsidRDefault="001E0DEF" w:rsidP="005E39DE">
            <w:pPr>
              <w:widowControl w:val="0"/>
              <w:autoSpaceDE w:val="0"/>
              <w:autoSpaceDN w:val="0"/>
              <w:adjustRightInd w:val="0"/>
              <w:spacing w:after="0" w:line="36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0.324</w:t>
            </w:r>
          </w:p>
        </w:tc>
        <w:tc>
          <w:tcPr>
            <w:tcW w:w="1170" w:type="dxa"/>
            <w:tcBorders>
              <w:top w:val="nil"/>
              <w:left w:val="nil"/>
              <w:bottom w:val="single" w:sz="4" w:space="0" w:color="auto"/>
              <w:right w:val="nil"/>
            </w:tcBorders>
          </w:tcPr>
          <w:p w14:paraId="389C14B3" w14:textId="77777777" w:rsidR="001E0DEF" w:rsidRPr="0053680E" w:rsidRDefault="001E0DEF" w:rsidP="005E39DE">
            <w:pPr>
              <w:widowControl w:val="0"/>
              <w:autoSpaceDE w:val="0"/>
              <w:autoSpaceDN w:val="0"/>
              <w:adjustRightInd w:val="0"/>
              <w:spacing w:after="0" w:line="36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0.334</w:t>
            </w:r>
          </w:p>
        </w:tc>
        <w:tc>
          <w:tcPr>
            <w:tcW w:w="1080" w:type="dxa"/>
            <w:tcBorders>
              <w:top w:val="nil"/>
              <w:left w:val="nil"/>
              <w:bottom w:val="single" w:sz="4" w:space="0" w:color="auto"/>
              <w:right w:val="nil"/>
            </w:tcBorders>
          </w:tcPr>
          <w:p w14:paraId="56D2F01E" w14:textId="77777777" w:rsidR="001E0DEF" w:rsidRPr="0053680E" w:rsidRDefault="001E0DEF" w:rsidP="005E39DE">
            <w:pPr>
              <w:widowControl w:val="0"/>
              <w:autoSpaceDE w:val="0"/>
              <w:autoSpaceDN w:val="0"/>
              <w:adjustRightInd w:val="0"/>
              <w:spacing w:after="0" w:line="36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0.316</w:t>
            </w:r>
          </w:p>
        </w:tc>
        <w:tc>
          <w:tcPr>
            <w:tcW w:w="1170" w:type="dxa"/>
            <w:tcBorders>
              <w:top w:val="nil"/>
              <w:left w:val="nil"/>
              <w:bottom w:val="single" w:sz="4" w:space="0" w:color="auto"/>
              <w:right w:val="nil"/>
            </w:tcBorders>
          </w:tcPr>
          <w:p w14:paraId="7552879C" w14:textId="77777777" w:rsidR="001E0DEF" w:rsidRPr="0053680E" w:rsidRDefault="001E0DEF" w:rsidP="005E39DE">
            <w:pPr>
              <w:widowControl w:val="0"/>
              <w:autoSpaceDE w:val="0"/>
              <w:autoSpaceDN w:val="0"/>
              <w:adjustRightInd w:val="0"/>
              <w:spacing w:after="0" w:line="36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0.323</w:t>
            </w:r>
          </w:p>
        </w:tc>
        <w:tc>
          <w:tcPr>
            <w:tcW w:w="990" w:type="dxa"/>
            <w:tcBorders>
              <w:top w:val="nil"/>
              <w:left w:val="nil"/>
              <w:bottom w:val="single" w:sz="4" w:space="0" w:color="auto"/>
              <w:right w:val="nil"/>
            </w:tcBorders>
          </w:tcPr>
          <w:p w14:paraId="7A296E45" w14:textId="77777777" w:rsidR="001E0DEF" w:rsidRPr="0053680E" w:rsidRDefault="001E0DEF" w:rsidP="005E39DE">
            <w:pPr>
              <w:widowControl w:val="0"/>
              <w:autoSpaceDE w:val="0"/>
              <w:autoSpaceDN w:val="0"/>
              <w:adjustRightInd w:val="0"/>
              <w:spacing w:after="0" w:line="36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0.321</w:t>
            </w:r>
          </w:p>
        </w:tc>
        <w:tc>
          <w:tcPr>
            <w:tcW w:w="990" w:type="dxa"/>
            <w:tcBorders>
              <w:top w:val="nil"/>
              <w:left w:val="nil"/>
              <w:bottom w:val="single" w:sz="4" w:space="0" w:color="auto"/>
              <w:right w:val="nil"/>
            </w:tcBorders>
          </w:tcPr>
          <w:p w14:paraId="22783DFC" w14:textId="77777777" w:rsidR="001E0DEF" w:rsidRPr="0053680E" w:rsidRDefault="001E0DEF" w:rsidP="005E39DE">
            <w:pPr>
              <w:widowControl w:val="0"/>
              <w:autoSpaceDE w:val="0"/>
              <w:autoSpaceDN w:val="0"/>
              <w:adjustRightInd w:val="0"/>
              <w:spacing w:after="0" w:line="36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0.322</w:t>
            </w:r>
          </w:p>
        </w:tc>
        <w:tc>
          <w:tcPr>
            <w:tcW w:w="990" w:type="dxa"/>
            <w:tcBorders>
              <w:top w:val="nil"/>
              <w:left w:val="nil"/>
              <w:bottom w:val="single" w:sz="4" w:space="0" w:color="auto"/>
              <w:right w:val="nil"/>
            </w:tcBorders>
          </w:tcPr>
          <w:p w14:paraId="79EEBC31" w14:textId="77777777" w:rsidR="001E0DEF" w:rsidRPr="0053680E" w:rsidRDefault="001E0DEF" w:rsidP="005E39DE">
            <w:pPr>
              <w:widowControl w:val="0"/>
              <w:autoSpaceDE w:val="0"/>
              <w:autoSpaceDN w:val="0"/>
              <w:adjustRightInd w:val="0"/>
              <w:spacing w:after="0" w:line="360" w:lineRule="auto"/>
              <w:jc w:val="center"/>
              <w:rPr>
                <w:rFonts w:asciiTheme="majorBidi" w:hAnsiTheme="majorBidi" w:cstheme="majorBidi"/>
                <w:b/>
                <w:bCs/>
                <w:sz w:val="20"/>
                <w:szCs w:val="20"/>
                <w:lang w:val="en-US"/>
              </w:rPr>
            </w:pPr>
            <w:r w:rsidRPr="0053680E">
              <w:rPr>
                <w:rFonts w:asciiTheme="majorBidi" w:hAnsiTheme="majorBidi" w:cstheme="majorBidi"/>
                <w:b/>
                <w:bCs/>
                <w:sz w:val="20"/>
                <w:szCs w:val="20"/>
                <w:lang w:val="en-US"/>
              </w:rPr>
              <w:t>0.328</w:t>
            </w:r>
          </w:p>
        </w:tc>
      </w:tr>
    </w:tbl>
    <w:p w14:paraId="383A26A0" w14:textId="056AD30A" w:rsidR="001E0DEF" w:rsidRPr="003D25A1" w:rsidRDefault="00B71002" w:rsidP="003D25A1">
      <w:pPr>
        <w:spacing w:line="240" w:lineRule="auto"/>
        <w:rPr>
          <w:color w:val="000000" w:themeColor="text1"/>
          <w:sz w:val="18"/>
          <w:szCs w:val="18"/>
        </w:rPr>
      </w:pPr>
      <w:r w:rsidRPr="00265858">
        <w:rPr>
          <w:rFonts w:ascii="Times New Roman" w:hAnsi="Times New Roman"/>
          <w:bCs/>
          <w:color w:val="000000" w:themeColor="text1"/>
          <w:sz w:val="18"/>
          <w:szCs w:val="18"/>
        </w:rPr>
        <w:t xml:space="preserve">This table shows the OLS estimation results of the moderating role of </w:t>
      </w:r>
      <w:r>
        <w:rPr>
          <w:rFonts w:ascii="Times New Roman" w:hAnsi="Times New Roman"/>
          <w:bCs/>
          <w:color w:val="000000" w:themeColor="text1"/>
          <w:sz w:val="18"/>
          <w:szCs w:val="18"/>
        </w:rPr>
        <w:t>managerial ownership (MO),</w:t>
      </w:r>
      <w:r w:rsidRPr="00265858">
        <w:rPr>
          <w:rFonts w:ascii="Times New Roman" w:hAnsi="Times New Roman"/>
          <w:bCs/>
          <w:color w:val="000000" w:themeColor="text1"/>
          <w:sz w:val="18"/>
          <w:szCs w:val="18"/>
        </w:rPr>
        <w:t xml:space="preserve"> </w:t>
      </w:r>
      <w:r>
        <w:rPr>
          <w:rFonts w:ascii="Times New Roman" w:hAnsi="Times New Roman"/>
          <w:bCs/>
          <w:color w:val="000000" w:themeColor="text1"/>
          <w:sz w:val="18"/>
          <w:szCs w:val="18"/>
        </w:rPr>
        <w:t>institutional ownership (IO), board size (BS) and non-executive ownership (NE)</w:t>
      </w:r>
      <w:r w:rsidRPr="00265858">
        <w:rPr>
          <w:rFonts w:ascii="Times New Roman" w:hAnsi="Times New Roman"/>
          <w:bCs/>
          <w:color w:val="000000" w:themeColor="text1"/>
          <w:sz w:val="18"/>
          <w:szCs w:val="18"/>
        </w:rPr>
        <w:t>. All variable definitions are described in Table I.  *, ** and *** indicate statistical significance at the 10%</w:t>
      </w:r>
      <w:r w:rsidR="003D25A1">
        <w:rPr>
          <w:rFonts w:ascii="Times New Roman" w:hAnsi="Times New Roman"/>
          <w:bCs/>
          <w:color w:val="000000" w:themeColor="text1"/>
          <w:sz w:val="18"/>
          <w:szCs w:val="18"/>
        </w:rPr>
        <w:t>, 5% and 1% levels respectively</w:t>
      </w:r>
    </w:p>
    <w:p w14:paraId="1CBFE105" w14:textId="77777777" w:rsidR="00335D1C" w:rsidRDefault="00335D1C" w:rsidP="00F06767">
      <w:pPr>
        <w:jc w:val="both"/>
        <w:rPr>
          <w:rFonts w:asciiTheme="majorBidi" w:hAnsiTheme="majorBidi" w:cstheme="majorBidi"/>
          <w:b/>
          <w:bCs/>
          <w:sz w:val="20"/>
          <w:szCs w:val="20"/>
        </w:rPr>
      </w:pPr>
    </w:p>
    <w:p w14:paraId="33A12869" w14:textId="02801B59" w:rsidR="001E0DEF" w:rsidRPr="00C75A24" w:rsidRDefault="001E0DEF" w:rsidP="001E0DEF">
      <w:pPr>
        <w:rPr>
          <w:rFonts w:asciiTheme="majorBidi" w:hAnsiTheme="majorBidi" w:cstheme="majorBidi"/>
          <w:sz w:val="24"/>
          <w:szCs w:val="24"/>
        </w:rPr>
      </w:pPr>
      <w:r w:rsidRPr="00C75A24">
        <w:rPr>
          <w:rFonts w:asciiTheme="majorBidi" w:eastAsia="SimSun" w:hAnsiTheme="majorBidi" w:cstheme="majorBidi"/>
          <w:kern w:val="3"/>
          <w:sz w:val="24"/>
          <w:szCs w:val="24"/>
        </w:rPr>
        <w:t xml:space="preserve"> </w:t>
      </w:r>
    </w:p>
    <w:sectPr w:rsidR="001E0DEF" w:rsidRPr="00C75A24" w:rsidSect="003D25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A58E" w14:textId="77777777" w:rsidR="00B63EDF" w:rsidRDefault="00B63EDF" w:rsidP="001E0DEF">
      <w:pPr>
        <w:spacing w:after="0" w:line="240" w:lineRule="auto"/>
      </w:pPr>
      <w:r>
        <w:separator/>
      </w:r>
    </w:p>
  </w:endnote>
  <w:endnote w:type="continuationSeparator" w:id="0">
    <w:p w14:paraId="7A154EF1" w14:textId="77777777" w:rsidR="00B63EDF" w:rsidRDefault="00B63EDF" w:rsidP="001E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70667"/>
      <w:docPartObj>
        <w:docPartGallery w:val="Page Numbers (Bottom of Page)"/>
        <w:docPartUnique/>
      </w:docPartObj>
    </w:sdtPr>
    <w:sdtEndPr>
      <w:rPr>
        <w:noProof/>
      </w:rPr>
    </w:sdtEndPr>
    <w:sdtContent>
      <w:p w14:paraId="797AD9F1" w14:textId="23E48D64" w:rsidR="00B63EDF" w:rsidRDefault="00B63EDF">
        <w:pPr>
          <w:pStyle w:val="Footer"/>
          <w:jc w:val="center"/>
        </w:pPr>
        <w:r>
          <w:fldChar w:fldCharType="begin"/>
        </w:r>
        <w:r>
          <w:instrText xml:space="preserve"> PAGE   \* MERGEFORMAT </w:instrText>
        </w:r>
        <w:r>
          <w:fldChar w:fldCharType="separate"/>
        </w:r>
        <w:r w:rsidR="00610520">
          <w:rPr>
            <w:noProof/>
          </w:rPr>
          <w:t>21</w:t>
        </w:r>
        <w:r>
          <w:rPr>
            <w:noProof/>
          </w:rPr>
          <w:fldChar w:fldCharType="end"/>
        </w:r>
      </w:p>
    </w:sdtContent>
  </w:sdt>
  <w:p w14:paraId="4DCF8A5E" w14:textId="77777777" w:rsidR="00B63EDF" w:rsidRDefault="00B63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56F0" w14:textId="77777777" w:rsidR="00B63EDF" w:rsidRDefault="00B63EDF" w:rsidP="001E0DEF">
      <w:pPr>
        <w:spacing w:after="0" w:line="240" w:lineRule="auto"/>
      </w:pPr>
      <w:r>
        <w:separator/>
      </w:r>
    </w:p>
  </w:footnote>
  <w:footnote w:type="continuationSeparator" w:id="0">
    <w:p w14:paraId="2DC8B5B0" w14:textId="77777777" w:rsidR="00B63EDF" w:rsidRDefault="00B63EDF" w:rsidP="001E0DEF">
      <w:pPr>
        <w:spacing w:after="0" w:line="240" w:lineRule="auto"/>
      </w:pPr>
      <w:r>
        <w:continuationSeparator/>
      </w:r>
    </w:p>
  </w:footnote>
  <w:footnote w:id="1">
    <w:p w14:paraId="3B0A48BC" w14:textId="77777777" w:rsidR="00B63EDF" w:rsidRPr="00272997" w:rsidRDefault="00B63EDF" w:rsidP="00AC7CBF">
      <w:pPr>
        <w:pStyle w:val="FootnoteText"/>
        <w:rPr>
          <w:rFonts w:ascii="Times New Roman" w:hAnsi="Times New Roman" w:cs="Times New Roman"/>
        </w:rPr>
      </w:pPr>
      <w:r w:rsidRPr="00272997">
        <w:rPr>
          <w:rStyle w:val="FootnoteReference"/>
          <w:rFonts w:ascii="Times New Roman" w:hAnsi="Times New Roman" w:cs="Times New Roman"/>
        </w:rPr>
        <w:footnoteRef/>
      </w:r>
      <w:r w:rsidRPr="00272997">
        <w:rPr>
          <w:rFonts w:ascii="Times New Roman" w:hAnsi="Times New Roman" w:cs="Times New Roman"/>
        </w:rPr>
        <w:t xml:space="preserve"> See, the recent report of the ‘High Pay Commission’ available at: </w:t>
      </w:r>
      <w:hyperlink r:id="rId1" w:history="1">
        <w:r w:rsidRPr="00272997">
          <w:rPr>
            <w:rStyle w:val="Hyperlink"/>
            <w:rFonts w:ascii="Times New Roman" w:hAnsi="Times New Roman" w:cs="Times New Roman"/>
          </w:rPr>
          <w:t>http://highpaycentre.org/pubs/the-state-of-pay-one-year-on-from-the-high-pay-commission</w:t>
        </w:r>
      </w:hyperlink>
      <w:r w:rsidRPr="00272997">
        <w:rPr>
          <w:rFonts w:ascii="Times New Roman" w:hAnsi="Times New Roman" w:cs="Times New Roman"/>
        </w:rPr>
        <w:t>.</w:t>
      </w:r>
    </w:p>
    <w:p w14:paraId="149539E7" w14:textId="77777777" w:rsidR="00B63EDF" w:rsidRDefault="00B63EDF" w:rsidP="00AC7CBF">
      <w:pPr>
        <w:pStyle w:val="FootnoteText"/>
      </w:pPr>
      <w:r>
        <w:t xml:space="preserve"> </w:t>
      </w:r>
    </w:p>
  </w:footnote>
  <w:footnote w:id="2">
    <w:p w14:paraId="0A54B8CF" w14:textId="77777777" w:rsidR="00B63EDF" w:rsidRPr="002A6411" w:rsidRDefault="00B63EDF" w:rsidP="00873AD1">
      <w:pPr>
        <w:pStyle w:val="FootnoteText"/>
        <w:rPr>
          <w:rFonts w:ascii="Times New Roman" w:hAnsi="Times New Roman" w:cs="Times New Roman"/>
          <w:sz w:val="16"/>
          <w:szCs w:val="16"/>
        </w:rPr>
      </w:pPr>
      <w:r>
        <w:rPr>
          <w:rStyle w:val="FootnoteReference"/>
        </w:rPr>
        <w:footnoteRef/>
      </w:r>
      <w:r>
        <w:t xml:space="preserve"> </w:t>
      </w:r>
      <w:r w:rsidRPr="002A6411">
        <w:rPr>
          <w:rFonts w:ascii="Times New Roman" w:hAnsi="Times New Roman" w:cs="Times New Roman"/>
          <w:sz w:val="16"/>
          <w:szCs w:val="16"/>
        </w:rPr>
        <w:t xml:space="preserve">See, Office for National Statistics (2012). Available from: </w:t>
      </w:r>
      <w:hyperlink r:id="rId2" w:anchor="tab-Key-Points" w:history="1">
        <w:r w:rsidRPr="001D2DAA">
          <w:rPr>
            <w:rStyle w:val="Hyperlink"/>
            <w:rFonts w:ascii="Times New Roman" w:hAnsi="Times New Roman" w:cs="Times New Roman"/>
            <w:sz w:val="16"/>
            <w:szCs w:val="16"/>
          </w:rPr>
          <w:t>http://www.ons.gov.uk/ons/rel/pnfc1/share-ownership---share-register-survey-report/2012/stb-share-ownership-2012.html#tab-Key-Points</w:t>
        </w:r>
      </w:hyperlink>
      <w:r w:rsidRPr="002A6411">
        <w:rPr>
          <w:rFonts w:ascii="Times New Roman" w:hAnsi="Times New Roman" w:cs="Times New Roman"/>
          <w:sz w:val="16"/>
          <w:szCs w:val="16"/>
        </w:rPr>
        <w:t>.</w:t>
      </w:r>
      <w:r>
        <w:rPr>
          <w:rFonts w:ascii="Times New Roman" w:hAnsi="Times New Roman" w:cs="Times New Roman"/>
          <w:sz w:val="16"/>
          <w:szCs w:val="16"/>
        </w:rPr>
        <w:t xml:space="preserve"> </w:t>
      </w:r>
    </w:p>
  </w:footnote>
  <w:footnote w:id="3">
    <w:p w14:paraId="117F6BFB" w14:textId="4D8C8E4A" w:rsidR="00B63EDF" w:rsidRDefault="00B63EDF" w:rsidP="0098656A">
      <w:pPr>
        <w:pStyle w:val="FootnoteText"/>
        <w:jc w:val="both"/>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The </w:t>
      </w:r>
      <w:r>
        <w:rPr>
          <w:rFonts w:ascii="Times New Roman" w:hAnsi="Times New Roman" w:cs="Times New Roman"/>
          <w:i/>
          <w:sz w:val="18"/>
          <w:szCs w:val="18"/>
        </w:rPr>
        <w:t>Bloomberg database</w:t>
      </w:r>
      <w:r>
        <w:rPr>
          <w:rFonts w:ascii="Times New Roman" w:hAnsi="Times New Roman" w:cs="Times New Roman"/>
          <w:sz w:val="18"/>
          <w:szCs w:val="18"/>
        </w:rPr>
        <w:t xml:space="preserve"> is an investment trading tool and a source for academic research concerning financial performance data of companies and containing a good package of information on company boards and individual directors.</w:t>
      </w:r>
    </w:p>
  </w:footnote>
  <w:footnote w:id="4">
    <w:p w14:paraId="605E4670" w14:textId="77777777" w:rsidR="00B63EDF" w:rsidRDefault="00B63EDF" w:rsidP="0098656A">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i/>
          <w:sz w:val="18"/>
          <w:szCs w:val="18"/>
        </w:rPr>
        <w:t xml:space="preserve">FAME </w:t>
      </w:r>
      <w:r>
        <w:rPr>
          <w:rFonts w:ascii="Times New Roman" w:hAnsi="Times New Roman" w:cs="Times New Roman"/>
          <w:sz w:val="18"/>
          <w:szCs w:val="18"/>
        </w:rPr>
        <w:t xml:space="preserve">is a database which contains comprehensive information on companies in the UK and Ireland. It’s used to research individual companies, search for companies with specific profiles and for analysis.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43E"/>
    <w:multiLevelType w:val="hybridMultilevel"/>
    <w:tmpl w:val="CE72A224"/>
    <w:lvl w:ilvl="0" w:tplc="2E141C2A">
      <w:start w:val="1"/>
      <w:numFmt w:val="decimal"/>
      <w:lvlText w:val="%1."/>
      <w:lvlJc w:val="left"/>
      <w:pPr>
        <w:ind w:left="720" w:hanging="360"/>
      </w:pPr>
      <w:rPr>
        <w:rFonts w:ascii="Times New Roman" w:eastAsiaTheme="majorEastAsia"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F9243D"/>
    <w:multiLevelType w:val="hybridMultilevel"/>
    <w:tmpl w:val="15DC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2E640E"/>
    <w:multiLevelType w:val="multilevel"/>
    <w:tmpl w:val="580892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EB5F92"/>
    <w:multiLevelType w:val="hybridMultilevel"/>
    <w:tmpl w:val="74FA11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500F2"/>
    <w:multiLevelType w:val="hybridMultilevel"/>
    <w:tmpl w:val="6D16440E"/>
    <w:lvl w:ilvl="0" w:tplc="E004B44C">
      <w:start w:val="1"/>
      <w:numFmt w:val="decimal"/>
      <w:lvlText w:val="%1."/>
      <w:lvlJc w:val="left"/>
      <w:pPr>
        <w:ind w:left="720" w:hanging="360"/>
      </w:pPr>
      <w:rPr>
        <w:rFonts w:ascii="Times New Roman" w:eastAsiaTheme="majorEastAsia"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262548"/>
    <w:multiLevelType w:val="multilevel"/>
    <w:tmpl w:val="984C26AA"/>
    <w:lvl w:ilvl="0">
      <w:start w:val="1"/>
      <w:numFmt w:val="decimal"/>
      <w:pStyle w:val="Heading1"/>
      <w:lvlText w:val="%1"/>
      <w:lvlJc w:val="left"/>
      <w:pPr>
        <w:ind w:left="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1">
      <w:start w:val="1"/>
      <w:numFmt w:val="decimal"/>
      <w:pStyle w:val="Heading2"/>
      <w:lvlText w:val="%1.%2"/>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abstractNum>
  <w:abstractNum w:abstractNumId="6" w15:restartNumberingAfterBreak="0">
    <w:nsid w:val="740237BC"/>
    <w:multiLevelType w:val="hybridMultilevel"/>
    <w:tmpl w:val="D7B6D9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B7A5B70"/>
    <w:multiLevelType w:val="multilevel"/>
    <w:tmpl w:val="7D34D034"/>
    <w:lvl w:ilvl="0">
      <w:start w:val="1"/>
      <w:numFmt w:val="decimal"/>
      <w:lvlText w:val="%1."/>
      <w:lvlJc w:val="left"/>
      <w:pPr>
        <w:ind w:left="720" w:hanging="360"/>
      </w:pPr>
      <w:rPr>
        <w:rFonts w:ascii="Times New Roman" w:eastAsiaTheme="majorEastAsia" w:hAnsi="Times New Roman" w:cs="Times New Roman" w:hint="default"/>
        <w:b/>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753045251">
    <w:abstractNumId w:val="5"/>
  </w:num>
  <w:num w:numId="2" w16cid:durableId="226577420">
    <w:abstractNumId w:val="7"/>
  </w:num>
  <w:num w:numId="3" w16cid:durableId="1621106469">
    <w:abstractNumId w:val="2"/>
  </w:num>
  <w:num w:numId="4" w16cid:durableId="96290990">
    <w:abstractNumId w:val="3"/>
  </w:num>
  <w:num w:numId="5" w16cid:durableId="796066181">
    <w:abstractNumId w:val="0"/>
  </w:num>
  <w:num w:numId="6" w16cid:durableId="14693435">
    <w:abstractNumId w:val="4"/>
  </w:num>
  <w:num w:numId="7" w16cid:durableId="85660395">
    <w:abstractNumId w:val="1"/>
  </w:num>
  <w:num w:numId="8" w16cid:durableId="1892572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EF"/>
    <w:rsid w:val="00003DB7"/>
    <w:rsid w:val="00010EE0"/>
    <w:rsid w:val="0001152B"/>
    <w:rsid w:val="00020B6D"/>
    <w:rsid w:val="00021FD2"/>
    <w:rsid w:val="00024213"/>
    <w:rsid w:val="00031057"/>
    <w:rsid w:val="00032F23"/>
    <w:rsid w:val="000371ED"/>
    <w:rsid w:val="000416A2"/>
    <w:rsid w:val="00042A0F"/>
    <w:rsid w:val="00051AF1"/>
    <w:rsid w:val="00054B72"/>
    <w:rsid w:val="000648DE"/>
    <w:rsid w:val="0006548F"/>
    <w:rsid w:val="000654AF"/>
    <w:rsid w:val="00067E02"/>
    <w:rsid w:val="00072426"/>
    <w:rsid w:val="000738AE"/>
    <w:rsid w:val="0008434D"/>
    <w:rsid w:val="00085A0F"/>
    <w:rsid w:val="00092904"/>
    <w:rsid w:val="00096728"/>
    <w:rsid w:val="000A019C"/>
    <w:rsid w:val="000A1695"/>
    <w:rsid w:val="000A31A6"/>
    <w:rsid w:val="000B1951"/>
    <w:rsid w:val="000B1B40"/>
    <w:rsid w:val="000B5FDE"/>
    <w:rsid w:val="000B7C7C"/>
    <w:rsid w:val="000B7EE6"/>
    <w:rsid w:val="000C1779"/>
    <w:rsid w:val="000C26DC"/>
    <w:rsid w:val="000C500B"/>
    <w:rsid w:val="000D0E31"/>
    <w:rsid w:val="000D0E78"/>
    <w:rsid w:val="000D229D"/>
    <w:rsid w:val="000D441B"/>
    <w:rsid w:val="000D5C6B"/>
    <w:rsid w:val="000D7E04"/>
    <w:rsid w:val="000E3D06"/>
    <w:rsid w:val="000F1446"/>
    <w:rsid w:val="000F5F51"/>
    <w:rsid w:val="000F642C"/>
    <w:rsid w:val="000F66F0"/>
    <w:rsid w:val="00104F19"/>
    <w:rsid w:val="00105D06"/>
    <w:rsid w:val="001069F5"/>
    <w:rsid w:val="00106D28"/>
    <w:rsid w:val="00106DAF"/>
    <w:rsid w:val="001158E8"/>
    <w:rsid w:val="00126FC1"/>
    <w:rsid w:val="001331E9"/>
    <w:rsid w:val="001332E9"/>
    <w:rsid w:val="00135911"/>
    <w:rsid w:val="00141199"/>
    <w:rsid w:val="001465CA"/>
    <w:rsid w:val="00147C41"/>
    <w:rsid w:val="00165D3E"/>
    <w:rsid w:val="0016636D"/>
    <w:rsid w:val="00171699"/>
    <w:rsid w:val="00174E1B"/>
    <w:rsid w:val="00175FC4"/>
    <w:rsid w:val="00185584"/>
    <w:rsid w:val="00193654"/>
    <w:rsid w:val="001A04E8"/>
    <w:rsid w:val="001B26B1"/>
    <w:rsid w:val="001B6D64"/>
    <w:rsid w:val="001B74FE"/>
    <w:rsid w:val="001C3750"/>
    <w:rsid w:val="001C578F"/>
    <w:rsid w:val="001D07A8"/>
    <w:rsid w:val="001D16B4"/>
    <w:rsid w:val="001E0DEF"/>
    <w:rsid w:val="001E1586"/>
    <w:rsid w:val="001E2343"/>
    <w:rsid w:val="001E7DE9"/>
    <w:rsid w:val="001F3C01"/>
    <w:rsid w:val="00200ED6"/>
    <w:rsid w:val="002047AF"/>
    <w:rsid w:val="002050FD"/>
    <w:rsid w:val="00211A79"/>
    <w:rsid w:val="00211D2E"/>
    <w:rsid w:val="00213947"/>
    <w:rsid w:val="002169A4"/>
    <w:rsid w:val="00217CC8"/>
    <w:rsid w:val="0022343D"/>
    <w:rsid w:val="00225CC6"/>
    <w:rsid w:val="00235396"/>
    <w:rsid w:val="00240035"/>
    <w:rsid w:val="00240092"/>
    <w:rsid w:val="00241937"/>
    <w:rsid w:val="00257690"/>
    <w:rsid w:val="00276325"/>
    <w:rsid w:val="00276985"/>
    <w:rsid w:val="00277898"/>
    <w:rsid w:val="0028284C"/>
    <w:rsid w:val="00293B5A"/>
    <w:rsid w:val="00294B66"/>
    <w:rsid w:val="0029761D"/>
    <w:rsid w:val="002A2378"/>
    <w:rsid w:val="002A7132"/>
    <w:rsid w:val="002C179D"/>
    <w:rsid w:val="002C34B6"/>
    <w:rsid w:val="002C4D9C"/>
    <w:rsid w:val="002D3CFE"/>
    <w:rsid w:val="002D6AEA"/>
    <w:rsid w:val="002D7CED"/>
    <w:rsid w:val="002E3416"/>
    <w:rsid w:val="002E7A04"/>
    <w:rsid w:val="002F429C"/>
    <w:rsid w:val="0030147E"/>
    <w:rsid w:val="00307E99"/>
    <w:rsid w:val="00311CFF"/>
    <w:rsid w:val="00311D85"/>
    <w:rsid w:val="00312AC8"/>
    <w:rsid w:val="00316BC2"/>
    <w:rsid w:val="003203B7"/>
    <w:rsid w:val="00326472"/>
    <w:rsid w:val="003272C9"/>
    <w:rsid w:val="003313C4"/>
    <w:rsid w:val="003318AD"/>
    <w:rsid w:val="00335D1C"/>
    <w:rsid w:val="00341646"/>
    <w:rsid w:val="00344E5C"/>
    <w:rsid w:val="00347467"/>
    <w:rsid w:val="00351527"/>
    <w:rsid w:val="0035162C"/>
    <w:rsid w:val="00355DC9"/>
    <w:rsid w:val="00356142"/>
    <w:rsid w:val="0035665B"/>
    <w:rsid w:val="0035770C"/>
    <w:rsid w:val="00357E5E"/>
    <w:rsid w:val="00361B1E"/>
    <w:rsid w:val="003628FA"/>
    <w:rsid w:val="003632AD"/>
    <w:rsid w:val="00364E95"/>
    <w:rsid w:val="00367FD4"/>
    <w:rsid w:val="00372029"/>
    <w:rsid w:val="00372451"/>
    <w:rsid w:val="00373771"/>
    <w:rsid w:val="003820E8"/>
    <w:rsid w:val="0038376A"/>
    <w:rsid w:val="00390128"/>
    <w:rsid w:val="00392B53"/>
    <w:rsid w:val="003A54FE"/>
    <w:rsid w:val="003B1254"/>
    <w:rsid w:val="003B3803"/>
    <w:rsid w:val="003B72B7"/>
    <w:rsid w:val="003C140D"/>
    <w:rsid w:val="003C64E4"/>
    <w:rsid w:val="003C7509"/>
    <w:rsid w:val="003D0B91"/>
    <w:rsid w:val="003D25A1"/>
    <w:rsid w:val="003D2B64"/>
    <w:rsid w:val="003D3B72"/>
    <w:rsid w:val="003D4BF9"/>
    <w:rsid w:val="003D5334"/>
    <w:rsid w:val="003F10BB"/>
    <w:rsid w:val="003F42D7"/>
    <w:rsid w:val="00401B49"/>
    <w:rsid w:val="00402E04"/>
    <w:rsid w:val="00420136"/>
    <w:rsid w:val="00421AF5"/>
    <w:rsid w:val="00423679"/>
    <w:rsid w:val="00424B56"/>
    <w:rsid w:val="004275DC"/>
    <w:rsid w:val="004337A4"/>
    <w:rsid w:val="00437243"/>
    <w:rsid w:val="00444A2B"/>
    <w:rsid w:val="004455F8"/>
    <w:rsid w:val="00452823"/>
    <w:rsid w:val="0045284F"/>
    <w:rsid w:val="00457C82"/>
    <w:rsid w:val="00457DCF"/>
    <w:rsid w:val="00462D33"/>
    <w:rsid w:val="00464CDD"/>
    <w:rsid w:val="00471BDB"/>
    <w:rsid w:val="0047219F"/>
    <w:rsid w:val="0047701B"/>
    <w:rsid w:val="00483A27"/>
    <w:rsid w:val="00493549"/>
    <w:rsid w:val="00494B59"/>
    <w:rsid w:val="004955E0"/>
    <w:rsid w:val="004A7317"/>
    <w:rsid w:val="004B0B59"/>
    <w:rsid w:val="004B43BE"/>
    <w:rsid w:val="004B6734"/>
    <w:rsid w:val="004C0A54"/>
    <w:rsid w:val="004C4677"/>
    <w:rsid w:val="004C4843"/>
    <w:rsid w:val="004C74C6"/>
    <w:rsid w:val="004D160A"/>
    <w:rsid w:val="004D54DC"/>
    <w:rsid w:val="004E1293"/>
    <w:rsid w:val="004E3C7A"/>
    <w:rsid w:val="004E46F2"/>
    <w:rsid w:val="004F02CD"/>
    <w:rsid w:val="00503EAF"/>
    <w:rsid w:val="005170CE"/>
    <w:rsid w:val="0052393C"/>
    <w:rsid w:val="00525A40"/>
    <w:rsid w:val="0052682B"/>
    <w:rsid w:val="0053385B"/>
    <w:rsid w:val="005342D0"/>
    <w:rsid w:val="0053680E"/>
    <w:rsid w:val="00537830"/>
    <w:rsid w:val="005435DD"/>
    <w:rsid w:val="00547145"/>
    <w:rsid w:val="00550137"/>
    <w:rsid w:val="005544AD"/>
    <w:rsid w:val="005547DB"/>
    <w:rsid w:val="0055626A"/>
    <w:rsid w:val="005606B9"/>
    <w:rsid w:val="00560E46"/>
    <w:rsid w:val="00561C53"/>
    <w:rsid w:val="00564278"/>
    <w:rsid w:val="00565A7B"/>
    <w:rsid w:val="00577761"/>
    <w:rsid w:val="00581F44"/>
    <w:rsid w:val="005820E3"/>
    <w:rsid w:val="005843BD"/>
    <w:rsid w:val="00586790"/>
    <w:rsid w:val="00587B08"/>
    <w:rsid w:val="00591AE4"/>
    <w:rsid w:val="005945A2"/>
    <w:rsid w:val="005945D8"/>
    <w:rsid w:val="005A5A79"/>
    <w:rsid w:val="005B2102"/>
    <w:rsid w:val="005C349B"/>
    <w:rsid w:val="005C7225"/>
    <w:rsid w:val="005C76CE"/>
    <w:rsid w:val="005D5C5B"/>
    <w:rsid w:val="005D7E02"/>
    <w:rsid w:val="005E39DE"/>
    <w:rsid w:val="005F5E06"/>
    <w:rsid w:val="005F770A"/>
    <w:rsid w:val="00604AD0"/>
    <w:rsid w:val="00610520"/>
    <w:rsid w:val="006114DD"/>
    <w:rsid w:val="00611A1C"/>
    <w:rsid w:val="00620A2D"/>
    <w:rsid w:val="006229E8"/>
    <w:rsid w:val="00627EA2"/>
    <w:rsid w:val="00634A44"/>
    <w:rsid w:val="0063700C"/>
    <w:rsid w:val="00654F0D"/>
    <w:rsid w:val="0065546F"/>
    <w:rsid w:val="006559E2"/>
    <w:rsid w:val="00655E1B"/>
    <w:rsid w:val="00664700"/>
    <w:rsid w:val="00665911"/>
    <w:rsid w:val="00672C5C"/>
    <w:rsid w:val="00676907"/>
    <w:rsid w:val="006847D5"/>
    <w:rsid w:val="006860E3"/>
    <w:rsid w:val="00694614"/>
    <w:rsid w:val="006959EE"/>
    <w:rsid w:val="006A28F3"/>
    <w:rsid w:val="006A4520"/>
    <w:rsid w:val="006B646C"/>
    <w:rsid w:val="006C139E"/>
    <w:rsid w:val="006C4901"/>
    <w:rsid w:val="006C512C"/>
    <w:rsid w:val="006D6DB7"/>
    <w:rsid w:val="006E2A82"/>
    <w:rsid w:val="006E3F5F"/>
    <w:rsid w:val="006E40D3"/>
    <w:rsid w:val="006E4A48"/>
    <w:rsid w:val="006E7E05"/>
    <w:rsid w:val="006F3BCF"/>
    <w:rsid w:val="006F50D9"/>
    <w:rsid w:val="0071220E"/>
    <w:rsid w:val="00713BF8"/>
    <w:rsid w:val="00717451"/>
    <w:rsid w:val="00717F2E"/>
    <w:rsid w:val="00722442"/>
    <w:rsid w:val="00722EA4"/>
    <w:rsid w:val="00723F15"/>
    <w:rsid w:val="00724741"/>
    <w:rsid w:val="007305BC"/>
    <w:rsid w:val="00731EA8"/>
    <w:rsid w:val="00741D4D"/>
    <w:rsid w:val="00745AEC"/>
    <w:rsid w:val="00763F82"/>
    <w:rsid w:val="00765D9D"/>
    <w:rsid w:val="00767A72"/>
    <w:rsid w:val="00770444"/>
    <w:rsid w:val="0077143A"/>
    <w:rsid w:val="0077399B"/>
    <w:rsid w:val="00775D45"/>
    <w:rsid w:val="00777C6A"/>
    <w:rsid w:val="00780E75"/>
    <w:rsid w:val="007859A8"/>
    <w:rsid w:val="007A0A61"/>
    <w:rsid w:val="007A7E38"/>
    <w:rsid w:val="007B3E1C"/>
    <w:rsid w:val="007C19C4"/>
    <w:rsid w:val="007D010D"/>
    <w:rsid w:val="007D282E"/>
    <w:rsid w:val="007E1EF1"/>
    <w:rsid w:val="007F008D"/>
    <w:rsid w:val="007F0700"/>
    <w:rsid w:val="007F20EA"/>
    <w:rsid w:val="007F2B0D"/>
    <w:rsid w:val="007F38DB"/>
    <w:rsid w:val="00802998"/>
    <w:rsid w:val="0080478A"/>
    <w:rsid w:val="00805C90"/>
    <w:rsid w:val="00806FEE"/>
    <w:rsid w:val="00820785"/>
    <w:rsid w:val="00827DED"/>
    <w:rsid w:val="00832306"/>
    <w:rsid w:val="0083246D"/>
    <w:rsid w:val="00833564"/>
    <w:rsid w:val="00833F04"/>
    <w:rsid w:val="00836A3E"/>
    <w:rsid w:val="00836C47"/>
    <w:rsid w:val="008468CA"/>
    <w:rsid w:val="00850711"/>
    <w:rsid w:val="00851CAD"/>
    <w:rsid w:val="00852C5B"/>
    <w:rsid w:val="00857648"/>
    <w:rsid w:val="0086238C"/>
    <w:rsid w:val="00864E6E"/>
    <w:rsid w:val="0086503D"/>
    <w:rsid w:val="00873086"/>
    <w:rsid w:val="0087370A"/>
    <w:rsid w:val="00873AD1"/>
    <w:rsid w:val="00873BF5"/>
    <w:rsid w:val="0088265B"/>
    <w:rsid w:val="008840A5"/>
    <w:rsid w:val="00884D49"/>
    <w:rsid w:val="008A1D26"/>
    <w:rsid w:val="008A5F0F"/>
    <w:rsid w:val="008B1933"/>
    <w:rsid w:val="008B29B2"/>
    <w:rsid w:val="008B31C0"/>
    <w:rsid w:val="008B5FA4"/>
    <w:rsid w:val="008B66A6"/>
    <w:rsid w:val="008C358E"/>
    <w:rsid w:val="008C7841"/>
    <w:rsid w:val="008E495A"/>
    <w:rsid w:val="008E603E"/>
    <w:rsid w:val="008F2F23"/>
    <w:rsid w:val="008F5984"/>
    <w:rsid w:val="008F6178"/>
    <w:rsid w:val="008F6FF6"/>
    <w:rsid w:val="0090369E"/>
    <w:rsid w:val="00905E15"/>
    <w:rsid w:val="00914FA5"/>
    <w:rsid w:val="00924E30"/>
    <w:rsid w:val="009256FF"/>
    <w:rsid w:val="00925952"/>
    <w:rsid w:val="00930A9B"/>
    <w:rsid w:val="00931EB1"/>
    <w:rsid w:val="00933079"/>
    <w:rsid w:val="009347CB"/>
    <w:rsid w:val="0094045D"/>
    <w:rsid w:val="00950EB1"/>
    <w:rsid w:val="009556DD"/>
    <w:rsid w:val="009733D8"/>
    <w:rsid w:val="00973806"/>
    <w:rsid w:val="0097553A"/>
    <w:rsid w:val="00977983"/>
    <w:rsid w:val="00980CF1"/>
    <w:rsid w:val="00982F38"/>
    <w:rsid w:val="009861E3"/>
    <w:rsid w:val="0098656A"/>
    <w:rsid w:val="0099369B"/>
    <w:rsid w:val="009A2D83"/>
    <w:rsid w:val="009A4B9A"/>
    <w:rsid w:val="009A4C0B"/>
    <w:rsid w:val="009A6552"/>
    <w:rsid w:val="009B2AEA"/>
    <w:rsid w:val="009B3625"/>
    <w:rsid w:val="009B498A"/>
    <w:rsid w:val="009B4CA0"/>
    <w:rsid w:val="009B6FEF"/>
    <w:rsid w:val="009C1811"/>
    <w:rsid w:val="009C225A"/>
    <w:rsid w:val="009C5962"/>
    <w:rsid w:val="009C733F"/>
    <w:rsid w:val="009D39F0"/>
    <w:rsid w:val="009D537E"/>
    <w:rsid w:val="009D5986"/>
    <w:rsid w:val="009F1771"/>
    <w:rsid w:val="00A13F34"/>
    <w:rsid w:val="00A15E8D"/>
    <w:rsid w:val="00A20867"/>
    <w:rsid w:val="00A22E22"/>
    <w:rsid w:val="00A25DC2"/>
    <w:rsid w:val="00A306BF"/>
    <w:rsid w:val="00A3438A"/>
    <w:rsid w:val="00A35CFB"/>
    <w:rsid w:val="00A408FC"/>
    <w:rsid w:val="00A44D2D"/>
    <w:rsid w:val="00A52815"/>
    <w:rsid w:val="00A53D33"/>
    <w:rsid w:val="00A6663B"/>
    <w:rsid w:val="00A70219"/>
    <w:rsid w:val="00A90894"/>
    <w:rsid w:val="00A92B3D"/>
    <w:rsid w:val="00AA2A6E"/>
    <w:rsid w:val="00AA737C"/>
    <w:rsid w:val="00AB1510"/>
    <w:rsid w:val="00AC2409"/>
    <w:rsid w:val="00AC2466"/>
    <w:rsid w:val="00AC7CBF"/>
    <w:rsid w:val="00AE02FC"/>
    <w:rsid w:val="00AF44D9"/>
    <w:rsid w:val="00AF7E69"/>
    <w:rsid w:val="00B00246"/>
    <w:rsid w:val="00B061A7"/>
    <w:rsid w:val="00B066CF"/>
    <w:rsid w:val="00B0790E"/>
    <w:rsid w:val="00B1528B"/>
    <w:rsid w:val="00B21E15"/>
    <w:rsid w:val="00B30E5C"/>
    <w:rsid w:val="00B33EDE"/>
    <w:rsid w:val="00B34D73"/>
    <w:rsid w:val="00B35761"/>
    <w:rsid w:val="00B35A2E"/>
    <w:rsid w:val="00B37553"/>
    <w:rsid w:val="00B43C75"/>
    <w:rsid w:val="00B51A17"/>
    <w:rsid w:val="00B548C7"/>
    <w:rsid w:val="00B57377"/>
    <w:rsid w:val="00B63EDF"/>
    <w:rsid w:val="00B659D3"/>
    <w:rsid w:val="00B709F9"/>
    <w:rsid w:val="00B71002"/>
    <w:rsid w:val="00B76440"/>
    <w:rsid w:val="00B76AB2"/>
    <w:rsid w:val="00B82AA5"/>
    <w:rsid w:val="00B9404F"/>
    <w:rsid w:val="00B95AF1"/>
    <w:rsid w:val="00B96C14"/>
    <w:rsid w:val="00BA3325"/>
    <w:rsid w:val="00BA68AF"/>
    <w:rsid w:val="00BB22B0"/>
    <w:rsid w:val="00BC028D"/>
    <w:rsid w:val="00BD55E3"/>
    <w:rsid w:val="00BE34BF"/>
    <w:rsid w:val="00BE744C"/>
    <w:rsid w:val="00BE74CA"/>
    <w:rsid w:val="00BF7F97"/>
    <w:rsid w:val="00C10938"/>
    <w:rsid w:val="00C1179B"/>
    <w:rsid w:val="00C21454"/>
    <w:rsid w:val="00C23E1F"/>
    <w:rsid w:val="00C26C27"/>
    <w:rsid w:val="00C27598"/>
    <w:rsid w:val="00C30DBA"/>
    <w:rsid w:val="00C31B1C"/>
    <w:rsid w:val="00C35306"/>
    <w:rsid w:val="00C5083E"/>
    <w:rsid w:val="00C52D7F"/>
    <w:rsid w:val="00C57A06"/>
    <w:rsid w:val="00C65916"/>
    <w:rsid w:val="00C66155"/>
    <w:rsid w:val="00C669E8"/>
    <w:rsid w:val="00C747EB"/>
    <w:rsid w:val="00C75A24"/>
    <w:rsid w:val="00C824EE"/>
    <w:rsid w:val="00C84CB1"/>
    <w:rsid w:val="00C85FD2"/>
    <w:rsid w:val="00C90D55"/>
    <w:rsid w:val="00C930B6"/>
    <w:rsid w:val="00C933E4"/>
    <w:rsid w:val="00C956A4"/>
    <w:rsid w:val="00CA15CB"/>
    <w:rsid w:val="00CA1E43"/>
    <w:rsid w:val="00CB3E0F"/>
    <w:rsid w:val="00CB40C3"/>
    <w:rsid w:val="00CB40F7"/>
    <w:rsid w:val="00CB76E4"/>
    <w:rsid w:val="00CC1F3A"/>
    <w:rsid w:val="00CC2471"/>
    <w:rsid w:val="00CC4035"/>
    <w:rsid w:val="00CC7AFA"/>
    <w:rsid w:val="00CD0CBC"/>
    <w:rsid w:val="00CD6B65"/>
    <w:rsid w:val="00CE08C5"/>
    <w:rsid w:val="00CE3BB2"/>
    <w:rsid w:val="00CE486F"/>
    <w:rsid w:val="00CF17C8"/>
    <w:rsid w:val="00CF2463"/>
    <w:rsid w:val="00CF51B4"/>
    <w:rsid w:val="00CF5C8E"/>
    <w:rsid w:val="00D1018A"/>
    <w:rsid w:val="00D13779"/>
    <w:rsid w:val="00D21FA2"/>
    <w:rsid w:val="00D220F3"/>
    <w:rsid w:val="00D24BA1"/>
    <w:rsid w:val="00D24DBC"/>
    <w:rsid w:val="00D42CF3"/>
    <w:rsid w:val="00D438DD"/>
    <w:rsid w:val="00D508B4"/>
    <w:rsid w:val="00D52315"/>
    <w:rsid w:val="00D52961"/>
    <w:rsid w:val="00D53B5B"/>
    <w:rsid w:val="00D54028"/>
    <w:rsid w:val="00D5505E"/>
    <w:rsid w:val="00D63E49"/>
    <w:rsid w:val="00D63F30"/>
    <w:rsid w:val="00D6426F"/>
    <w:rsid w:val="00D64CEE"/>
    <w:rsid w:val="00D675E0"/>
    <w:rsid w:val="00D705D1"/>
    <w:rsid w:val="00D92974"/>
    <w:rsid w:val="00D93AEA"/>
    <w:rsid w:val="00D95617"/>
    <w:rsid w:val="00D9640E"/>
    <w:rsid w:val="00DA39C0"/>
    <w:rsid w:val="00DB5F33"/>
    <w:rsid w:val="00DB6DB7"/>
    <w:rsid w:val="00DC163E"/>
    <w:rsid w:val="00DC614F"/>
    <w:rsid w:val="00DD2340"/>
    <w:rsid w:val="00DD4590"/>
    <w:rsid w:val="00DD7E72"/>
    <w:rsid w:val="00DE0997"/>
    <w:rsid w:val="00DE105A"/>
    <w:rsid w:val="00DE526C"/>
    <w:rsid w:val="00DE6485"/>
    <w:rsid w:val="00DF006D"/>
    <w:rsid w:val="00DF2C07"/>
    <w:rsid w:val="00DF3FF1"/>
    <w:rsid w:val="00DF50DE"/>
    <w:rsid w:val="00DF605E"/>
    <w:rsid w:val="00DF62FF"/>
    <w:rsid w:val="00E027C3"/>
    <w:rsid w:val="00E07D59"/>
    <w:rsid w:val="00E115C9"/>
    <w:rsid w:val="00E24F7E"/>
    <w:rsid w:val="00E2539E"/>
    <w:rsid w:val="00E25CB1"/>
    <w:rsid w:val="00E27B0C"/>
    <w:rsid w:val="00E51F5B"/>
    <w:rsid w:val="00E54C18"/>
    <w:rsid w:val="00E54E2E"/>
    <w:rsid w:val="00E64842"/>
    <w:rsid w:val="00E6796C"/>
    <w:rsid w:val="00E734CB"/>
    <w:rsid w:val="00E739C7"/>
    <w:rsid w:val="00E80B28"/>
    <w:rsid w:val="00E81612"/>
    <w:rsid w:val="00EA111F"/>
    <w:rsid w:val="00EA3FC9"/>
    <w:rsid w:val="00EB013E"/>
    <w:rsid w:val="00EB6D95"/>
    <w:rsid w:val="00EC468C"/>
    <w:rsid w:val="00ED02BE"/>
    <w:rsid w:val="00ED1AFD"/>
    <w:rsid w:val="00ED3819"/>
    <w:rsid w:val="00ED40D7"/>
    <w:rsid w:val="00ED46E7"/>
    <w:rsid w:val="00ED681A"/>
    <w:rsid w:val="00ED6B02"/>
    <w:rsid w:val="00ED73F6"/>
    <w:rsid w:val="00ED7DA5"/>
    <w:rsid w:val="00EE4796"/>
    <w:rsid w:val="00EF046E"/>
    <w:rsid w:val="00EF306D"/>
    <w:rsid w:val="00EF429E"/>
    <w:rsid w:val="00EF6905"/>
    <w:rsid w:val="00F017E4"/>
    <w:rsid w:val="00F05FE6"/>
    <w:rsid w:val="00F06767"/>
    <w:rsid w:val="00F10040"/>
    <w:rsid w:val="00F1162A"/>
    <w:rsid w:val="00F12F66"/>
    <w:rsid w:val="00F13BDC"/>
    <w:rsid w:val="00F159AA"/>
    <w:rsid w:val="00F16DBF"/>
    <w:rsid w:val="00F22E53"/>
    <w:rsid w:val="00F27B79"/>
    <w:rsid w:val="00F31368"/>
    <w:rsid w:val="00F318F8"/>
    <w:rsid w:val="00F42704"/>
    <w:rsid w:val="00F432B9"/>
    <w:rsid w:val="00F45DC9"/>
    <w:rsid w:val="00F47819"/>
    <w:rsid w:val="00F52107"/>
    <w:rsid w:val="00F54586"/>
    <w:rsid w:val="00F56EC2"/>
    <w:rsid w:val="00F5778E"/>
    <w:rsid w:val="00F60C51"/>
    <w:rsid w:val="00F70959"/>
    <w:rsid w:val="00F70D20"/>
    <w:rsid w:val="00F74790"/>
    <w:rsid w:val="00F7502E"/>
    <w:rsid w:val="00F85619"/>
    <w:rsid w:val="00F85896"/>
    <w:rsid w:val="00FA5040"/>
    <w:rsid w:val="00FA5554"/>
    <w:rsid w:val="00FA72B0"/>
    <w:rsid w:val="00FA7FB5"/>
    <w:rsid w:val="00FB6B1C"/>
    <w:rsid w:val="00FC1A9D"/>
    <w:rsid w:val="00FC2FFE"/>
    <w:rsid w:val="00FC33DA"/>
    <w:rsid w:val="00FD0FF9"/>
    <w:rsid w:val="00FD3A72"/>
    <w:rsid w:val="00FE4968"/>
    <w:rsid w:val="00FE74FF"/>
    <w:rsid w:val="00FE7A59"/>
    <w:rsid w:val="00FF39EA"/>
    <w:rsid w:val="00FF5BD5"/>
    <w:rsid w:val="00FF741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BEDE"/>
  <w15:chartTrackingRefBased/>
  <w15:docId w15:val="{6679EFCF-C3B6-403D-A7B9-531709AF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EF"/>
    <w:rPr>
      <w:rFonts w:eastAsiaTheme="minorEastAsia"/>
      <w:lang w:eastAsia="en-GB"/>
    </w:rPr>
  </w:style>
  <w:style w:type="paragraph" w:styleId="Heading1">
    <w:name w:val="heading 1"/>
    <w:next w:val="Normal"/>
    <w:link w:val="Heading1Char"/>
    <w:uiPriority w:val="9"/>
    <w:qFormat/>
    <w:rsid w:val="001E0DEF"/>
    <w:pPr>
      <w:keepNext/>
      <w:keepLines/>
      <w:numPr>
        <w:numId w:val="1"/>
      </w:numPr>
      <w:spacing w:after="473" w:line="265" w:lineRule="auto"/>
      <w:outlineLvl w:val="0"/>
    </w:pPr>
    <w:rPr>
      <w:rFonts w:ascii="Cambria" w:eastAsia="Cambria" w:hAnsi="Cambria" w:cs="Cambria"/>
      <w:b/>
      <w:color w:val="000000"/>
      <w:sz w:val="34"/>
      <w:lang w:eastAsia="en-GB"/>
    </w:rPr>
  </w:style>
  <w:style w:type="paragraph" w:styleId="Heading2">
    <w:name w:val="heading 2"/>
    <w:next w:val="Normal"/>
    <w:link w:val="Heading2Char"/>
    <w:uiPriority w:val="9"/>
    <w:unhideWhenUsed/>
    <w:qFormat/>
    <w:rsid w:val="001E0DEF"/>
    <w:pPr>
      <w:keepNext/>
      <w:keepLines/>
      <w:numPr>
        <w:ilvl w:val="1"/>
        <w:numId w:val="1"/>
      </w:numPr>
      <w:spacing w:after="425" w:line="297" w:lineRule="auto"/>
      <w:outlineLvl w:val="1"/>
    </w:pPr>
    <w:rPr>
      <w:rFonts w:ascii="Cambria" w:eastAsia="Cambria" w:hAnsi="Cambria" w:cs="Cambria"/>
      <w:b/>
      <w:color w:val="000000"/>
      <w:sz w:val="29"/>
      <w:lang w:eastAsia="en-GB"/>
    </w:rPr>
  </w:style>
  <w:style w:type="paragraph" w:styleId="Heading3">
    <w:name w:val="heading 3"/>
    <w:basedOn w:val="Normal"/>
    <w:next w:val="Normal"/>
    <w:link w:val="Heading3Char"/>
    <w:uiPriority w:val="9"/>
    <w:unhideWhenUsed/>
    <w:qFormat/>
    <w:rsid w:val="001E0D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0DEF"/>
    <w:rPr>
      <w:rFonts w:ascii="Cambria" w:eastAsia="Cambria" w:hAnsi="Cambria" w:cs="Cambria"/>
      <w:b/>
      <w:color w:val="000000"/>
      <w:sz w:val="34"/>
      <w:lang w:eastAsia="en-GB"/>
    </w:rPr>
  </w:style>
  <w:style w:type="character" w:customStyle="1" w:styleId="Heading2Char">
    <w:name w:val="Heading 2 Char"/>
    <w:basedOn w:val="DefaultParagraphFont"/>
    <w:link w:val="Heading2"/>
    <w:uiPriority w:val="9"/>
    <w:rsid w:val="001E0DEF"/>
    <w:rPr>
      <w:rFonts w:ascii="Cambria" w:eastAsia="Cambria" w:hAnsi="Cambria" w:cs="Cambria"/>
      <w:b/>
      <w:color w:val="000000"/>
      <w:sz w:val="29"/>
      <w:lang w:eastAsia="en-GB"/>
    </w:rPr>
  </w:style>
  <w:style w:type="character" w:customStyle="1" w:styleId="Heading3Char">
    <w:name w:val="Heading 3 Char"/>
    <w:basedOn w:val="DefaultParagraphFont"/>
    <w:link w:val="Heading3"/>
    <w:uiPriority w:val="9"/>
    <w:rsid w:val="001E0DEF"/>
    <w:rPr>
      <w:rFonts w:asciiTheme="majorHAnsi" w:eastAsiaTheme="majorEastAsia" w:hAnsiTheme="majorHAnsi" w:cstheme="majorBidi"/>
      <w:color w:val="1F3763" w:themeColor="accent1" w:themeShade="7F"/>
      <w:sz w:val="24"/>
      <w:szCs w:val="24"/>
      <w:lang w:eastAsia="en-GB"/>
    </w:rPr>
  </w:style>
  <w:style w:type="character" w:customStyle="1" w:styleId="normaltextrun">
    <w:name w:val="normaltextrun"/>
    <w:basedOn w:val="DefaultParagraphFont"/>
    <w:rsid w:val="001E0DEF"/>
  </w:style>
  <w:style w:type="character" w:customStyle="1" w:styleId="eop">
    <w:name w:val="eop"/>
    <w:basedOn w:val="DefaultParagraphFont"/>
    <w:rsid w:val="001E0DEF"/>
  </w:style>
  <w:style w:type="paragraph" w:customStyle="1" w:styleId="paragraph">
    <w:name w:val="paragraph"/>
    <w:basedOn w:val="Normal"/>
    <w:rsid w:val="001E0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E0DEF"/>
  </w:style>
  <w:style w:type="paragraph" w:styleId="FootnoteText">
    <w:name w:val="footnote text"/>
    <w:basedOn w:val="Normal"/>
    <w:link w:val="FootnoteTextChar"/>
    <w:uiPriority w:val="99"/>
    <w:semiHidden/>
    <w:unhideWhenUsed/>
    <w:rsid w:val="001E0DEF"/>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E0DEF"/>
    <w:rPr>
      <w:sz w:val="20"/>
      <w:szCs w:val="20"/>
    </w:rPr>
  </w:style>
  <w:style w:type="character" w:styleId="FootnoteReference">
    <w:name w:val="footnote reference"/>
    <w:basedOn w:val="DefaultParagraphFont"/>
    <w:uiPriority w:val="99"/>
    <w:semiHidden/>
    <w:unhideWhenUsed/>
    <w:rsid w:val="001E0DEF"/>
    <w:rPr>
      <w:vertAlign w:val="superscript"/>
    </w:rPr>
  </w:style>
  <w:style w:type="character" w:styleId="Hyperlink">
    <w:name w:val="Hyperlink"/>
    <w:basedOn w:val="DefaultParagraphFont"/>
    <w:uiPriority w:val="99"/>
    <w:unhideWhenUsed/>
    <w:rsid w:val="001E0DEF"/>
    <w:rPr>
      <w:color w:val="0563C1" w:themeColor="hyperlink"/>
      <w:u w:val="single"/>
    </w:rPr>
  </w:style>
  <w:style w:type="paragraph" w:styleId="ListParagraph">
    <w:name w:val="List Paragraph"/>
    <w:basedOn w:val="Normal"/>
    <w:uiPriority w:val="34"/>
    <w:qFormat/>
    <w:rsid w:val="001E0DEF"/>
    <w:pPr>
      <w:spacing w:after="200" w:line="276" w:lineRule="auto"/>
      <w:ind w:left="720"/>
      <w:contextualSpacing/>
    </w:pPr>
    <w:rPr>
      <w:rFonts w:ascii="Calibri" w:eastAsia="Calibri" w:hAnsi="Calibri" w:cs="Arial"/>
      <w:lang w:eastAsia="en-US"/>
    </w:rPr>
  </w:style>
  <w:style w:type="paragraph" w:styleId="Header">
    <w:name w:val="header"/>
    <w:basedOn w:val="Normal"/>
    <w:link w:val="HeaderChar"/>
    <w:uiPriority w:val="99"/>
    <w:unhideWhenUsed/>
    <w:rsid w:val="00420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136"/>
    <w:rPr>
      <w:rFonts w:eastAsiaTheme="minorEastAsia"/>
      <w:lang w:eastAsia="en-GB"/>
    </w:rPr>
  </w:style>
  <w:style w:type="paragraph" w:styleId="Footer">
    <w:name w:val="footer"/>
    <w:basedOn w:val="Normal"/>
    <w:link w:val="FooterChar"/>
    <w:uiPriority w:val="99"/>
    <w:unhideWhenUsed/>
    <w:rsid w:val="00420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136"/>
    <w:rPr>
      <w:rFonts w:eastAsiaTheme="minorEastAsia"/>
      <w:lang w:eastAsia="en-GB"/>
    </w:rPr>
  </w:style>
  <w:style w:type="paragraph" w:styleId="BalloonText">
    <w:name w:val="Balloon Text"/>
    <w:basedOn w:val="Normal"/>
    <w:link w:val="BalloonTextChar"/>
    <w:uiPriority w:val="99"/>
    <w:semiHidden/>
    <w:unhideWhenUsed/>
    <w:rsid w:val="00E67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96C"/>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4A7317"/>
    <w:rPr>
      <w:sz w:val="16"/>
      <w:szCs w:val="16"/>
    </w:rPr>
  </w:style>
  <w:style w:type="paragraph" w:styleId="CommentText">
    <w:name w:val="annotation text"/>
    <w:basedOn w:val="Normal"/>
    <w:link w:val="CommentTextChar"/>
    <w:uiPriority w:val="99"/>
    <w:semiHidden/>
    <w:unhideWhenUsed/>
    <w:rsid w:val="004A7317"/>
    <w:pPr>
      <w:spacing w:line="240" w:lineRule="auto"/>
    </w:pPr>
    <w:rPr>
      <w:sz w:val="20"/>
      <w:szCs w:val="20"/>
    </w:rPr>
  </w:style>
  <w:style w:type="character" w:customStyle="1" w:styleId="CommentTextChar">
    <w:name w:val="Comment Text Char"/>
    <w:basedOn w:val="DefaultParagraphFont"/>
    <w:link w:val="CommentText"/>
    <w:uiPriority w:val="99"/>
    <w:semiHidden/>
    <w:rsid w:val="004A731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A7317"/>
    <w:rPr>
      <w:b/>
      <w:bCs/>
    </w:rPr>
  </w:style>
  <w:style w:type="character" w:customStyle="1" w:styleId="CommentSubjectChar">
    <w:name w:val="Comment Subject Char"/>
    <w:basedOn w:val="CommentTextChar"/>
    <w:link w:val="CommentSubject"/>
    <w:uiPriority w:val="99"/>
    <w:semiHidden/>
    <w:rsid w:val="004A7317"/>
    <w:rPr>
      <w:rFonts w:eastAsiaTheme="minorEastAsia"/>
      <w:b/>
      <w:bCs/>
      <w:sz w:val="20"/>
      <w:szCs w:val="20"/>
      <w:lang w:eastAsia="en-GB"/>
    </w:rPr>
  </w:style>
  <w:style w:type="table" w:styleId="TableGrid">
    <w:name w:val="Table Grid"/>
    <w:basedOn w:val="TableNormal"/>
    <w:uiPriority w:val="59"/>
    <w:rsid w:val="00364E9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64E95"/>
    <w:pPr>
      <w:spacing w:after="0" w:line="240" w:lineRule="auto"/>
    </w:pPr>
  </w:style>
  <w:style w:type="character" w:customStyle="1" w:styleId="NoSpacingChar">
    <w:name w:val="No Spacing Char"/>
    <w:basedOn w:val="DefaultParagraphFont"/>
    <w:link w:val="NoSpacing"/>
    <w:uiPriority w:val="1"/>
    <w:rsid w:val="00364E95"/>
  </w:style>
  <w:style w:type="character" w:customStyle="1" w:styleId="UnresolvedMention1">
    <w:name w:val="Unresolved Mention1"/>
    <w:basedOn w:val="DefaultParagraphFont"/>
    <w:uiPriority w:val="99"/>
    <w:semiHidden/>
    <w:unhideWhenUsed/>
    <w:rsid w:val="00024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ns.gov.uk/ons/rel/pnfc1/share-ownership---share-register-survey-report/2012/stb-share-ownership-2012.html" TargetMode="External"/><Relationship Id="rId1" Type="http://schemas.openxmlformats.org/officeDocument/2006/relationships/hyperlink" Target="http://highpaycentre.org/pubs/the-state-of-pay-one-year-on-from-the-high-pay-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EEBCD-78E6-46B8-93D9-0AD44635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9134</Words>
  <Characters>52066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Adu-Ameyaw</dc:creator>
  <cp:keywords/>
  <dc:description/>
  <cp:lastModifiedBy>kycheung</cp:lastModifiedBy>
  <cp:revision>9</cp:revision>
  <dcterms:created xsi:type="dcterms:W3CDTF">2022-06-10T13:14:00Z</dcterms:created>
  <dcterms:modified xsi:type="dcterms:W3CDTF">2022-09-13T17:25:00Z</dcterms:modified>
</cp:coreProperties>
</file>