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E9ED6" w14:textId="474E3566" w:rsidR="00A46867" w:rsidRPr="00A2171C" w:rsidRDefault="00A46867" w:rsidP="00A46867">
      <w:pPr>
        <w:spacing w:after="0"/>
        <w:jc w:val="center"/>
        <w:rPr>
          <w:rFonts w:cs="Times New Roman"/>
          <w:b/>
          <w:bCs/>
          <w:sz w:val="24"/>
          <w:szCs w:val="24"/>
          <w:lang w:val="en-GB"/>
        </w:rPr>
      </w:pPr>
      <w:r w:rsidRPr="00A2171C">
        <w:rPr>
          <w:rFonts w:cs="Times New Roman"/>
          <w:b/>
          <w:bCs/>
          <w:sz w:val="24"/>
          <w:szCs w:val="24"/>
          <w:lang w:val="en-GB"/>
        </w:rPr>
        <w:t>FIRE RISK ASSESSMENT OF HISTORIC URBAN AGGREGATES:</w:t>
      </w:r>
    </w:p>
    <w:p w14:paraId="72206E33" w14:textId="77777777" w:rsidR="00A46867" w:rsidRPr="00A2171C" w:rsidRDefault="00A46867" w:rsidP="00A46867">
      <w:pPr>
        <w:spacing w:after="0"/>
        <w:jc w:val="center"/>
        <w:rPr>
          <w:rFonts w:cs="Times New Roman"/>
          <w:b/>
          <w:bCs/>
          <w:sz w:val="24"/>
          <w:szCs w:val="24"/>
          <w:lang w:val="en-GB"/>
        </w:rPr>
      </w:pPr>
      <w:r w:rsidRPr="00A2171C">
        <w:rPr>
          <w:rFonts w:cs="Times New Roman"/>
          <w:b/>
          <w:bCs/>
          <w:sz w:val="24"/>
          <w:szCs w:val="24"/>
          <w:lang w:val="en-GB"/>
        </w:rPr>
        <w:t>AN APPLICATION TO THE YUNGAY NEIGHBORHOOD IN SANTIAGO, CHILE</w:t>
      </w:r>
    </w:p>
    <w:p w14:paraId="6130A179" w14:textId="449FCB5D" w:rsidR="00A46867" w:rsidRPr="00A2171C" w:rsidRDefault="00A46867" w:rsidP="00A46867">
      <w:pPr>
        <w:spacing w:before="240"/>
        <w:jc w:val="center"/>
        <w:rPr>
          <w:rFonts w:eastAsia="Times New Roman" w:cs="Times New Roman"/>
          <w:sz w:val="24"/>
          <w:szCs w:val="24"/>
        </w:rPr>
      </w:pPr>
      <w:r w:rsidRPr="00A2171C">
        <w:rPr>
          <w:rFonts w:eastAsia="Times New Roman" w:cs="Times New Roman"/>
          <w:sz w:val="24"/>
          <w:szCs w:val="24"/>
        </w:rPr>
        <w:t>N.C. Palazzi</w:t>
      </w:r>
      <w:r w:rsidRPr="00A2171C">
        <w:rPr>
          <w:rFonts w:eastAsia="Times New Roman" w:cs="Times New Roman"/>
          <w:sz w:val="24"/>
          <w:szCs w:val="24"/>
          <w:vertAlign w:val="superscript"/>
        </w:rPr>
        <w:t>a,b,c,*</w:t>
      </w:r>
      <w:r w:rsidRPr="00A2171C">
        <w:rPr>
          <w:rFonts w:eastAsia="Times New Roman" w:cs="Times New Roman"/>
          <w:sz w:val="24"/>
          <w:szCs w:val="24"/>
        </w:rPr>
        <w:t>, P. Baquedano Juliá</w:t>
      </w:r>
      <w:r w:rsidRPr="00A2171C">
        <w:rPr>
          <w:rFonts w:eastAsia="Times New Roman" w:cs="Times New Roman"/>
          <w:sz w:val="24"/>
          <w:szCs w:val="24"/>
          <w:vertAlign w:val="superscript"/>
        </w:rPr>
        <w:t>d</w:t>
      </w:r>
      <w:r w:rsidRPr="00A2171C">
        <w:rPr>
          <w:rFonts w:eastAsia="Times New Roman" w:cs="Times New Roman"/>
          <w:sz w:val="24"/>
          <w:szCs w:val="24"/>
        </w:rPr>
        <w:t>, T.M Ferreira</w:t>
      </w:r>
      <w:r w:rsidRPr="00A2171C">
        <w:rPr>
          <w:rFonts w:eastAsia="Times New Roman" w:cs="Times New Roman"/>
          <w:sz w:val="24"/>
          <w:szCs w:val="24"/>
          <w:vertAlign w:val="superscript"/>
        </w:rPr>
        <w:t>e</w:t>
      </w:r>
      <w:r w:rsidRPr="00A2171C">
        <w:rPr>
          <w:rFonts w:eastAsia="Times New Roman" w:cs="Times New Roman"/>
          <w:sz w:val="24"/>
          <w:szCs w:val="24"/>
        </w:rPr>
        <w:t>, J. Rosas</w:t>
      </w:r>
      <w:r w:rsidRPr="00A2171C">
        <w:rPr>
          <w:rFonts w:eastAsia="Times New Roman" w:cs="Times New Roman"/>
          <w:sz w:val="24"/>
          <w:szCs w:val="24"/>
          <w:vertAlign w:val="superscript"/>
        </w:rPr>
        <w:t>a,c</w:t>
      </w:r>
      <w:r w:rsidRPr="00A2171C">
        <w:rPr>
          <w:rFonts w:eastAsia="Times New Roman" w:cs="Times New Roman"/>
          <w:sz w:val="24"/>
          <w:szCs w:val="24"/>
        </w:rPr>
        <w:t xml:space="preserve">, </w:t>
      </w:r>
      <w:r w:rsidR="002D218E" w:rsidRPr="00A2171C">
        <w:rPr>
          <w:rFonts w:eastAsia="Times New Roman" w:cs="Times New Roman"/>
          <w:sz w:val="24"/>
          <w:szCs w:val="24"/>
        </w:rPr>
        <w:t>M</w:t>
      </w:r>
      <w:r w:rsidR="00486F09" w:rsidRPr="00A2171C">
        <w:rPr>
          <w:rFonts w:eastAsia="Times New Roman" w:cs="Times New Roman"/>
          <w:sz w:val="24"/>
          <w:szCs w:val="24"/>
        </w:rPr>
        <w:t>.</w:t>
      </w:r>
      <w:r w:rsidR="002D218E" w:rsidRPr="00A2171C">
        <w:rPr>
          <w:rFonts w:eastAsia="Times New Roman" w:cs="Times New Roman"/>
          <w:sz w:val="24"/>
          <w:szCs w:val="24"/>
        </w:rPr>
        <w:t xml:space="preserve"> Monsalve</w:t>
      </w:r>
      <w:r w:rsidR="001C78EC" w:rsidRPr="00A2171C">
        <w:rPr>
          <w:rFonts w:eastAsia="Times New Roman" w:cs="Times New Roman"/>
          <w:sz w:val="24"/>
          <w:szCs w:val="24"/>
          <w:vertAlign w:val="superscript"/>
        </w:rPr>
        <w:t xml:space="preserve"> b,f</w:t>
      </w:r>
      <w:r w:rsidR="002D218E" w:rsidRPr="00A2171C">
        <w:rPr>
          <w:rFonts w:eastAsia="Times New Roman" w:cs="Times New Roman"/>
          <w:sz w:val="24"/>
          <w:szCs w:val="24"/>
        </w:rPr>
        <w:t xml:space="preserve">, </w:t>
      </w:r>
      <w:r w:rsidRPr="00A2171C">
        <w:rPr>
          <w:rFonts w:eastAsia="Times New Roman" w:cs="Times New Roman"/>
          <w:sz w:val="24"/>
          <w:szCs w:val="24"/>
        </w:rPr>
        <w:t>J. C. de la Llera</w:t>
      </w:r>
      <w:r w:rsidRPr="00A2171C">
        <w:rPr>
          <w:rFonts w:eastAsia="Times New Roman" w:cs="Times New Roman"/>
          <w:sz w:val="24"/>
          <w:szCs w:val="24"/>
          <w:vertAlign w:val="superscript"/>
        </w:rPr>
        <w:t xml:space="preserve"> b,c,f</w:t>
      </w:r>
    </w:p>
    <w:p w14:paraId="21AF7E0B" w14:textId="77777777" w:rsidR="00A46867" w:rsidRPr="00A2171C" w:rsidRDefault="00A46867" w:rsidP="00A46867">
      <w:pPr>
        <w:spacing w:line="276" w:lineRule="auto"/>
        <w:jc w:val="center"/>
        <w:rPr>
          <w:rFonts w:eastAsia="Times New Roman" w:cs="Times New Roman"/>
          <w:i/>
          <w:sz w:val="16"/>
          <w:szCs w:val="16"/>
          <w:lang w:val="en-GB"/>
        </w:rPr>
      </w:pPr>
      <w:r w:rsidRPr="00A2171C">
        <w:rPr>
          <w:rFonts w:eastAsia="Times New Roman" w:cs="Times New Roman"/>
          <w:i/>
          <w:sz w:val="16"/>
          <w:szCs w:val="16"/>
          <w:vertAlign w:val="superscript"/>
          <w:lang w:val="en-GB"/>
        </w:rPr>
        <w:t>a</w:t>
      </w:r>
      <w:r w:rsidRPr="00A2171C">
        <w:rPr>
          <w:rFonts w:eastAsia="Times New Roman" w:cs="Times New Roman"/>
          <w:i/>
          <w:sz w:val="16"/>
          <w:szCs w:val="16"/>
          <w:lang w:val="en-GB"/>
        </w:rPr>
        <w:t>Faculty of Architecture, Design and Urban Studies, Pontificia Universidad Católica de Chile, Santiago, Chile.</w:t>
      </w:r>
    </w:p>
    <w:p w14:paraId="648332BA" w14:textId="77777777" w:rsidR="00A46867" w:rsidRPr="00A2171C" w:rsidRDefault="00A46867" w:rsidP="00A46867">
      <w:pPr>
        <w:spacing w:line="276" w:lineRule="auto"/>
        <w:jc w:val="center"/>
        <w:rPr>
          <w:rFonts w:eastAsia="Times New Roman" w:cs="Times New Roman"/>
          <w:i/>
          <w:sz w:val="16"/>
          <w:szCs w:val="16"/>
          <w:lang w:val="en-GB"/>
        </w:rPr>
      </w:pPr>
      <w:r w:rsidRPr="00A2171C">
        <w:rPr>
          <w:rFonts w:eastAsia="Times New Roman" w:cs="Times New Roman"/>
          <w:i/>
          <w:sz w:val="16"/>
          <w:szCs w:val="16"/>
          <w:vertAlign w:val="superscript"/>
          <w:lang w:val="en-GB"/>
        </w:rPr>
        <w:t xml:space="preserve">b </w:t>
      </w:r>
      <w:r w:rsidRPr="00A2171C">
        <w:rPr>
          <w:rFonts w:eastAsia="Times New Roman" w:cs="Times New Roman"/>
          <w:i/>
          <w:sz w:val="16"/>
          <w:szCs w:val="16"/>
          <w:lang w:val="en-GB"/>
        </w:rPr>
        <w:t>National Research Center for Integrated Natural Disaster Management CIGIDEN, CONICYT/FONDAP/15110017, Santiago, Chile.</w:t>
      </w:r>
    </w:p>
    <w:p w14:paraId="183DF565" w14:textId="77777777" w:rsidR="00A46867" w:rsidRPr="005E273C" w:rsidRDefault="00A46867" w:rsidP="00A46867">
      <w:pPr>
        <w:spacing w:line="276" w:lineRule="auto"/>
        <w:jc w:val="center"/>
        <w:rPr>
          <w:rFonts w:ascii="Arial" w:eastAsia="Arial" w:hAnsi="Arial" w:cs="Arial"/>
          <w:lang w:val="pt-PT"/>
        </w:rPr>
      </w:pPr>
      <w:r w:rsidRPr="005E273C">
        <w:rPr>
          <w:rFonts w:eastAsia="Times New Roman" w:cs="Times New Roman"/>
          <w:i/>
          <w:sz w:val="16"/>
          <w:szCs w:val="16"/>
          <w:vertAlign w:val="superscript"/>
          <w:lang w:val="pt-PT"/>
        </w:rPr>
        <w:t>c</w:t>
      </w:r>
      <w:r w:rsidRPr="005E273C">
        <w:rPr>
          <w:lang w:val="pt-PT"/>
        </w:rPr>
        <w:t xml:space="preserve"> </w:t>
      </w:r>
      <w:hyperlink r:id="rId8">
        <w:r w:rsidRPr="005E273C">
          <w:rPr>
            <w:rFonts w:eastAsia="Times New Roman" w:cs="Times New Roman"/>
            <w:i/>
            <w:sz w:val="16"/>
            <w:szCs w:val="16"/>
            <w:lang w:val="pt-PT"/>
          </w:rPr>
          <w:t>Centro del Patrimonio Cultural UC, Santiago, Chile</w:t>
        </w:r>
      </w:hyperlink>
      <w:hyperlink r:id="rId9">
        <w:r w:rsidRPr="005E273C">
          <w:rPr>
            <w:rFonts w:eastAsia="Times New Roman" w:cs="Times New Roman"/>
            <w:i/>
            <w:sz w:val="16"/>
            <w:szCs w:val="16"/>
            <w:lang w:val="pt-PT"/>
          </w:rPr>
          <w:t>.</w:t>
        </w:r>
      </w:hyperlink>
      <w:r w:rsidRPr="00A2171C">
        <w:fldChar w:fldCharType="begin"/>
      </w:r>
      <w:r w:rsidRPr="005E273C">
        <w:rPr>
          <w:lang w:val="pt-PT"/>
        </w:rPr>
        <w:instrText xml:space="preserve"> HYPERLINK "https://centropatrimonio.uc.cl/" </w:instrText>
      </w:r>
      <w:r w:rsidRPr="00A2171C">
        <w:fldChar w:fldCharType="separate"/>
      </w:r>
    </w:p>
    <w:p w14:paraId="1BFBE5C8" w14:textId="77777777" w:rsidR="00A46867" w:rsidRPr="00A2171C" w:rsidRDefault="00A46867" w:rsidP="00A46867">
      <w:pPr>
        <w:spacing w:line="276" w:lineRule="auto"/>
        <w:jc w:val="center"/>
        <w:rPr>
          <w:rFonts w:eastAsia="Times New Roman" w:cs="Times New Roman"/>
          <w:i/>
          <w:sz w:val="16"/>
          <w:szCs w:val="16"/>
          <w:lang w:val="en-GB"/>
        </w:rPr>
      </w:pPr>
      <w:r w:rsidRPr="00A2171C">
        <w:fldChar w:fldCharType="end"/>
      </w:r>
      <w:r w:rsidRPr="00A2171C">
        <w:rPr>
          <w:rFonts w:eastAsia="Times New Roman" w:cs="Times New Roman"/>
          <w:i/>
          <w:sz w:val="16"/>
          <w:szCs w:val="16"/>
          <w:vertAlign w:val="superscript"/>
          <w:lang w:val="en-GB"/>
        </w:rPr>
        <w:t>d</w:t>
      </w:r>
      <w:r w:rsidRPr="00A2171C">
        <w:rPr>
          <w:rFonts w:eastAsia="Times New Roman" w:cs="Times New Roman"/>
          <w:i/>
          <w:sz w:val="16"/>
          <w:szCs w:val="16"/>
          <w:lang w:val="en-GB"/>
        </w:rPr>
        <w:t xml:space="preserve"> University of Minho, ISISE, Department of Civil Engineering, Guimarães, Portugal.</w:t>
      </w:r>
    </w:p>
    <w:p w14:paraId="29AAE513" w14:textId="77777777" w:rsidR="00A46867" w:rsidRPr="00A2171C" w:rsidRDefault="00A46867" w:rsidP="00A46867">
      <w:pPr>
        <w:spacing w:line="276" w:lineRule="auto"/>
        <w:jc w:val="center"/>
        <w:rPr>
          <w:rFonts w:eastAsia="Times New Roman" w:cs="Times New Roman"/>
          <w:i/>
          <w:sz w:val="16"/>
          <w:szCs w:val="16"/>
          <w:lang w:val="en-GB"/>
        </w:rPr>
      </w:pPr>
      <w:r w:rsidRPr="00A2171C">
        <w:rPr>
          <w:rFonts w:eastAsia="Times New Roman" w:cs="Times New Roman"/>
          <w:i/>
          <w:sz w:val="16"/>
          <w:szCs w:val="16"/>
          <w:vertAlign w:val="superscript"/>
          <w:lang w:val="en-GB"/>
        </w:rPr>
        <w:t xml:space="preserve">e </w:t>
      </w:r>
      <w:r w:rsidRPr="00A2171C">
        <w:rPr>
          <w:rFonts w:eastAsia="Times New Roman" w:cs="Times New Roman"/>
          <w:i/>
          <w:sz w:val="16"/>
          <w:szCs w:val="16"/>
          <w:lang w:val="en-GB"/>
        </w:rPr>
        <w:t>Department of Geography and Environmental Management, University of the west of England – UWE Bristol, UK.</w:t>
      </w:r>
    </w:p>
    <w:p w14:paraId="1C22E551" w14:textId="77777777" w:rsidR="00A46867" w:rsidRPr="00A2171C" w:rsidRDefault="00A46867" w:rsidP="00A46867">
      <w:pPr>
        <w:pBdr>
          <w:top w:val="nil"/>
          <w:left w:val="nil"/>
          <w:bottom w:val="nil"/>
          <w:right w:val="nil"/>
          <w:between w:val="nil"/>
        </w:pBdr>
        <w:spacing w:after="0" w:line="240" w:lineRule="auto"/>
        <w:jc w:val="center"/>
        <w:rPr>
          <w:rFonts w:eastAsia="Times New Roman" w:cs="Times New Roman"/>
          <w:i/>
          <w:sz w:val="16"/>
          <w:szCs w:val="16"/>
          <w:lang w:val="en-GB"/>
        </w:rPr>
      </w:pPr>
      <w:r w:rsidRPr="00A2171C">
        <w:rPr>
          <w:rFonts w:eastAsia="Times New Roman" w:cs="Times New Roman"/>
          <w:i/>
          <w:sz w:val="16"/>
          <w:szCs w:val="16"/>
          <w:vertAlign w:val="superscript"/>
          <w:lang w:val="en-GB"/>
        </w:rPr>
        <w:t>f</w:t>
      </w:r>
      <w:r w:rsidRPr="00A2171C">
        <w:rPr>
          <w:rFonts w:eastAsia="Times New Roman" w:cs="Times New Roman"/>
          <w:i/>
          <w:sz w:val="16"/>
          <w:szCs w:val="16"/>
          <w:lang w:val="en-GB"/>
        </w:rPr>
        <w:t xml:space="preserve"> Department of Structural and Geotechnical Engineering, Pontificia Universidad Católica de Chile, Santiago, Chile.</w:t>
      </w:r>
    </w:p>
    <w:p w14:paraId="01C41EFC" w14:textId="77777777" w:rsidR="00A46867" w:rsidRPr="00A2171C" w:rsidRDefault="00A46867" w:rsidP="00A46867">
      <w:pPr>
        <w:spacing w:before="240" w:after="0"/>
        <w:jc w:val="left"/>
        <w:rPr>
          <w:rFonts w:eastAsia="Times New Roman" w:cs="Times New Roman"/>
          <w:iCs/>
          <w:szCs w:val="20"/>
          <w:lang w:val="en-GB"/>
        </w:rPr>
      </w:pPr>
      <w:r w:rsidRPr="00A2171C">
        <w:rPr>
          <w:rFonts w:eastAsia="Times New Roman" w:cs="Times New Roman"/>
          <w:i/>
          <w:szCs w:val="20"/>
          <w:lang w:val="en-GB"/>
        </w:rPr>
        <w:t>*</w:t>
      </w:r>
      <w:r w:rsidRPr="00A2171C">
        <w:rPr>
          <w:rFonts w:eastAsia="Times New Roman" w:cs="Times New Roman"/>
          <w:iCs/>
          <w:szCs w:val="20"/>
          <w:lang w:val="en-GB"/>
        </w:rPr>
        <w:t>Corresponding author:</w:t>
      </w:r>
    </w:p>
    <w:p w14:paraId="5BE552C2" w14:textId="77777777" w:rsidR="00A46867" w:rsidRPr="00A2171C" w:rsidRDefault="00000000" w:rsidP="00A46867">
      <w:pPr>
        <w:pStyle w:val="ListParagraph"/>
        <w:numPr>
          <w:ilvl w:val="0"/>
          <w:numId w:val="13"/>
        </w:numPr>
        <w:spacing w:after="0"/>
        <w:jc w:val="left"/>
        <w:rPr>
          <w:rFonts w:eastAsia="Times New Roman" w:cs="Times New Roman"/>
          <w:iCs/>
          <w:szCs w:val="20"/>
          <w:lang w:val="en-GB"/>
        </w:rPr>
      </w:pPr>
      <w:hyperlink r:id="rId10" w:history="1">
        <w:r w:rsidR="00A46867" w:rsidRPr="00A2171C">
          <w:rPr>
            <w:rStyle w:val="Hyperlink"/>
            <w:rFonts w:eastAsia="Times New Roman" w:cs="Times New Roman"/>
            <w:iCs/>
            <w:color w:val="auto"/>
            <w:szCs w:val="20"/>
            <w:u w:val="none"/>
            <w:lang w:val="en-GB"/>
          </w:rPr>
          <w:t>nuriachiara.palazzi@cigiden.cl</w:t>
        </w:r>
      </w:hyperlink>
    </w:p>
    <w:p w14:paraId="07A4B293" w14:textId="77777777" w:rsidR="00A46867" w:rsidRPr="00A2171C" w:rsidRDefault="00A46867" w:rsidP="00A46867">
      <w:pPr>
        <w:pStyle w:val="ListParagraph"/>
        <w:numPr>
          <w:ilvl w:val="0"/>
          <w:numId w:val="13"/>
        </w:numPr>
        <w:spacing w:after="0" w:line="276" w:lineRule="auto"/>
        <w:jc w:val="left"/>
        <w:rPr>
          <w:rFonts w:eastAsia="Times New Roman" w:cs="Times New Roman"/>
          <w:iCs/>
          <w:szCs w:val="20"/>
          <w:lang w:val="it-IT"/>
        </w:rPr>
      </w:pPr>
      <w:r w:rsidRPr="00A2171C">
        <w:rPr>
          <w:rFonts w:eastAsia="Times New Roman" w:cs="Times New Roman"/>
          <w:iCs/>
          <w:szCs w:val="20"/>
          <w:lang w:val="it-IT"/>
        </w:rPr>
        <w:t>Bellavista 165, Santiago, Chile</w:t>
      </w:r>
    </w:p>
    <w:p w14:paraId="54637091" w14:textId="77777777" w:rsidR="00A46867" w:rsidRPr="00A2171C" w:rsidRDefault="00A46867" w:rsidP="00A46867">
      <w:pPr>
        <w:spacing w:after="0" w:line="276" w:lineRule="auto"/>
        <w:jc w:val="left"/>
        <w:rPr>
          <w:rFonts w:eastAsia="Times New Roman" w:cs="Times New Roman"/>
          <w:iCs/>
          <w:szCs w:val="20"/>
          <w:lang w:val="it-IT"/>
        </w:rPr>
      </w:pPr>
    </w:p>
    <w:p w14:paraId="05E2493D" w14:textId="77777777" w:rsidR="00A46867" w:rsidRPr="00A2171C" w:rsidRDefault="00A46867" w:rsidP="00A46867">
      <w:pPr>
        <w:jc w:val="left"/>
        <w:rPr>
          <w:iCs/>
          <w:lang w:val="en-US"/>
        </w:rPr>
      </w:pPr>
      <w:r w:rsidRPr="00A2171C">
        <w:rPr>
          <w:b/>
          <w:bCs/>
          <w:iCs/>
          <w:lang w:val="en-US"/>
        </w:rPr>
        <w:t xml:space="preserve">Abstract </w:t>
      </w:r>
    </w:p>
    <w:p w14:paraId="4DDB16D3" w14:textId="77777777" w:rsidR="00206EA7" w:rsidRPr="00A2171C" w:rsidRDefault="00206EA7" w:rsidP="00206EA7">
      <w:pPr>
        <w:rPr>
          <w:szCs w:val="20"/>
          <w:lang w:val="en-GB"/>
        </w:rPr>
      </w:pPr>
      <w:r w:rsidRPr="00A2171C">
        <w:rPr>
          <w:szCs w:val="20"/>
          <w:lang w:val="en-GB"/>
        </w:rPr>
        <w:t>Concern for the preservation of historic urban centres has become an issue of international relevance, not only because of their irreplaceable cultural value, but also because of their potential positive role for the sustainable development of countries. Several disasters have shown that historic centres are particularly vulnerable to natural and anthropogenic hazards. The constructive characteristics of buildings and the urban morphology in which they are inserted increase the fragility of their historic fabric and vulnerability in case of disasters. In this context, a comprehensive understanding of vulnerabilities of historic centres is an essential step for the definition and adoption of more effective risk reduction strategies.</w:t>
      </w:r>
    </w:p>
    <w:p w14:paraId="69078CD1" w14:textId="77777777" w:rsidR="00206EA7" w:rsidRPr="00A2171C" w:rsidRDefault="00206EA7" w:rsidP="00206EA7">
      <w:pPr>
        <w:rPr>
          <w:szCs w:val="20"/>
          <w:lang w:val="en-GB"/>
        </w:rPr>
      </w:pPr>
      <w:r w:rsidRPr="00A2171C">
        <w:rPr>
          <w:szCs w:val="20"/>
          <w:lang w:val="en-GB"/>
        </w:rPr>
        <w:t>This paper presents a fire risk assessment at the urban scale, using the Fire Risk Index (FRI) method. The selected case study corresponds to the historic centre of Yungay, located in Santiago de Chile. The case study is particularly relevant because of the high presence of historic heritage buildings and because between 2016 and 2021 it has been the scene of 21 structural fires, causing irreparable human and heritage losses.</w:t>
      </w:r>
    </w:p>
    <w:p w14:paraId="61B22AE8" w14:textId="77777777" w:rsidR="00206EA7" w:rsidRPr="00A2171C" w:rsidRDefault="00206EA7" w:rsidP="00206EA7">
      <w:pPr>
        <w:pStyle w:val="NormalWeb"/>
        <w:spacing w:before="0" w:beforeAutospacing="0" w:after="0" w:afterAutospacing="0" w:line="360" w:lineRule="auto"/>
        <w:jc w:val="both"/>
        <w:rPr>
          <w:sz w:val="20"/>
          <w:szCs w:val="20"/>
          <w:lang w:val="en-GB"/>
        </w:rPr>
      </w:pPr>
      <w:r w:rsidRPr="00A2171C">
        <w:rPr>
          <w:sz w:val="20"/>
          <w:szCs w:val="20"/>
          <w:lang w:val="en-GB"/>
        </w:rPr>
        <w:t>Through the adaptation of the methodology to Chilean fire regulations and urban code, 443 unreinforced masonry buildings were evaluated. Finally, fire risk factors for the ignition, propagation, evacuation and combat phases were identified and mapped through the GIS tool. The results represent a valuable step towards the identification of large-scale risks in Chilean and Latin American historic urban centres, as well as providing the basis for the definition of risk mitigation strategies by decision-makers.</w:t>
      </w:r>
    </w:p>
    <w:p w14:paraId="294642DE" w14:textId="77777777" w:rsidR="00A46867" w:rsidRPr="00A2171C" w:rsidRDefault="00A46867" w:rsidP="00A46867">
      <w:pPr>
        <w:spacing w:before="240"/>
        <w:rPr>
          <w:iCs/>
          <w:lang w:val="en-GB"/>
        </w:rPr>
      </w:pPr>
      <w:r w:rsidRPr="00A2171C">
        <w:rPr>
          <w:b/>
          <w:bCs/>
          <w:iCs/>
          <w:lang w:val="en-GB"/>
        </w:rPr>
        <w:t>Keywords:</w:t>
      </w:r>
      <w:r w:rsidRPr="00A2171C">
        <w:rPr>
          <w:iCs/>
          <w:lang w:val="en-GB"/>
        </w:rPr>
        <w:t xml:space="preserve"> Fire risk, Historical urban centres, Fire Risk Index method</w:t>
      </w:r>
    </w:p>
    <w:p w14:paraId="07801665" w14:textId="77777777" w:rsidR="00A46867" w:rsidRPr="00A2171C" w:rsidRDefault="00A46867" w:rsidP="00A46867">
      <w:pPr>
        <w:pStyle w:val="Heading1"/>
        <w:numPr>
          <w:ilvl w:val="0"/>
          <w:numId w:val="1"/>
        </w:numPr>
        <w:rPr>
          <w:b w:val="0"/>
          <w:lang w:val="en-GB"/>
        </w:rPr>
      </w:pPr>
      <w:r w:rsidRPr="00A2171C">
        <w:rPr>
          <w:lang w:val="en-GB"/>
        </w:rPr>
        <w:lastRenderedPageBreak/>
        <w:t>Introduction</w:t>
      </w:r>
    </w:p>
    <w:p w14:paraId="57E7C8B4" w14:textId="77777777" w:rsidR="00A46867" w:rsidRPr="00A2171C" w:rsidRDefault="00A46867" w:rsidP="00A46867">
      <w:pPr>
        <w:pBdr>
          <w:top w:val="nil"/>
          <w:left w:val="nil"/>
          <w:bottom w:val="nil"/>
          <w:right w:val="nil"/>
          <w:between w:val="nil"/>
        </w:pBdr>
        <w:spacing w:before="240" w:after="0"/>
        <w:rPr>
          <w:rFonts w:eastAsia="Times New Roman" w:cs="Times New Roman"/>
          <w:szCs w:val="20"/>
          <w:lang w:val="en-US"/>
        </w:rPr>
      </w:pPr>
      <w:bookmarkStart w:id="0" w:name="_Hlk120551989"/>
      <w:r w:rsidRPr="00A2171C">
        <w:rPr>
          <w:rFonts w:eastAsia="Times New Roman" w:cs="Times New Roman"/>
          <w:szCs w:val="20"/>
          <w:lang w:val="en-US"/>
        </w:rPr>
        <w:t xml:space="preserve">Recent fire events in urban areas, such as the 2020 Almeda Drive (Oregon), the 2014 Great Valparaiso (Chile), and the 2010 Manila (Philippines) are examples of almost complete devastation and irrecoverable losses in economic and heritage terms </w:t>
      </w:r>
      <w:r w:rsidRPr="00A2171C">
        <w:rPr>
          <w:rFonts w:eastAsia="Times New Roman" w:cs="Times New Roman"/>
          <w:szCs w:val="20"/>
          <w:lang w:val="en-US"/>
        </w:rPr>
        <w:fldChar w:fldCharType="begin" w:fldLock="1"/>
      </w:r>
      <w:r w:rsidRPr="00A2171C">
        <w:rPr>
          <w:rFonts w:eastAsia="Times New Roman" w:cs="Times New Roman"/>
          <w:szCs w:val="20"/>
          <w:lang w:val="en-US"/>
        </w:rPr>
        <w:instrText>ADDIN CSL_CITATION {"citationItems":[{"id":"ITEM-1","itemData":{"DOI":"10.1029/2021GL092520","ISSN":"0094-8276","author":[{"dropping-particle":"","family":"Abatzoglou","given":"John T.","non-dropping-particle":"","parse-names":false,"suffix":""},{"dropping-particle":"","family":"Rupp","given":"David E.","non-dropping-particle":"","parse-names":false,"suffix":""},{"dropping-particle":"","family":"O'Neill","given":"Larry W.","non-dropping-particle":"","parse-names":false,"suffix":""},{"dropping-particle":"","family":"Sadegh","given":"Mojtaba","non-dropping-particle":"","parse-names":false,"suffix":""}],"container-title":"Geophysical Research Letters","id":"ITEM-1","issue":"8","issued":{"date-parts":[["2021","4","28"]]},"title":"Compound Extremes Drive the Western Oregon Wildfires of September 2020","type":"article-journal","volume":"48"},"uris":["http://www.mendeley.com/documents/?uuid=b5ed8b50-32b9-4b87-9c36-d6497ec63ef7"]},{"id":"ITEM-2","itemData":{"DOI":"10.1007/s10694-014-0427-0","ISBN":"1069401404","ISSN":"15728099","abstract":"The Great Valparaiso Fire started as a wildfire on the outskirts of the city. The fire spread through the wildland–urban interface towards the city. In 5 days, it claimed the lives of 15 people, injured more than 500 people, destroyed over 2,900 homes, burned over 1,000 ha, and displaced approximately 12,500 people. In this Letter to the Editor, several issues that facilitated the tragic events are discussed.","author":[{"dropping-particle":"","family":"Reszka","given":"Pedro","non-dropping-particle":"","parse-names":false,"suffix":""},{"dropping-particle":"","family":"Fuentes","given":"Andrés","non-dropping-particle":"","parse-names":false,"suffix":""}],"container-title":"Fire Technology","id":"ITEM-2","issue":"4","issued":{"date-parts":[["2015"]]},"page":"753-758","publisher":"Springer US","title":"The Great Valparaiso Fire and Fire Safety Management in Chile","type":"article-journal","volume":"51"},"uris":["http://www.mendeley.com/documents/?uuid=18434cb7-2667-49b0-9fa0-ec0286b9ff8b"]},{"id":"ITEM-3","itemData":{"DOI":"10.1111/disa.12486","ISSN":"0361-3666","author":[{"dropping-particle":"","family":"Florentin","given":"Kevin Macarius","non-dropping-particle":"","parse-names":false,"suffix":""},{"dropping-particle":"","family":"Onuki","given":"Motoharu","non-dropping-particle":"","parse-names":false,"suffix":""},{"dropping-particle":"","family":"Esteban","given":"Miguel","non-dropping-particle":"","parse-names":false,"suffix":""},{"dropping-particle":"","family":"Valenzuela","given":"Ven Paolo","non-dropping-particle":"","parse-names":false,"suffix":""},{"dropping-particle":"","family":"Paterno","given":"Maria Cristina","non-dropping-particle":"","parse-names":false,"suffix":""},{"dropping-particle":"","family":"Akpedonu","given":"Erik","non-dropping-particle":"","parse-names":false,"suffix":""},{"dropping-particle":"","family":"Arcilla","given":"John","non-dropping-particle":"","parse-names":false,"suffix":""},{"dropping-particle":"","family":"Garciano","given":"Lessandro","non-dropping-particle":"","parse-names":false,"suffix":""}],"container-title":"Disasters","id":"ITEM-3","issue":"3","issued":{"date-parts":[["2022","7","26"]]},"page":"791-813","title":"Implementing a Pre‐disaster Recovery Workshop in Intramuros, Manila, Philippines: lessons for disaster risk assessment, response, and recovery for cultural heritage","type":"article-journal","volume":"46"},"uris":["http://www.mendeley.com/documents/?uuid=5e04bf7c-b6bf-47a9-a01b-34c9d0b94362"]}],"mendeley":{"formattedCitation":"(Abatzoglou et al., 2021; Florentin et al., 2022; Reszka &amp; Fuentes, 2015)","plainTextFormattedCitation":"(Abatzoglou et al., 2021; Florentin et al., 2022; Reszka &amp; Fuentes, 2015)","previouslyFormattedCitation":"(Abatzoglou et al., 2021; Florentin et al., 2022; Reszka &amp; Fuentes, 2015)"},"properties":{"noteIndex":0},"schema":"https://github.com/citation-style-language/schema/raw/master/csl-citation.json"}</w:instrText>
      </w:r>
      <w:r w:rsidRPr="00A2171C">
        <w:rPr>
          <w:rFonts w:eastAsia="Times New Roman" w:cs="Times New Roman"/>
          <w:szCs w:val="20"/>
          <w:lang w:val="en-US"/>
        </w:rPr>
        <w:fldChar w:fldCharType="separate"/>
      </w:r>
      <w:r w:rsidRPr="00A2171C">
        <w:rPr>
          <w:rFonts w:eastAsia="Times New Roman" w:cs="Times New Roman"/>
          <w:noProof/>
          <w:szCs w:val="20"/>
          <w:lang w:val="en-US"/>
        </w:rPr>
        <w:t>(Abatzoglou et al., 2021; Florentin et al., 2022; Reszka &amp; Fuentes, 2015)</w:t>
      </w:r>
      <w:r w:rsidRPr="00A2171C">
        <w:rPr>
          <w:rFonts w:eastAsia="Times New Roman" w:cs="Times New Roman"/>
          <w:szCs w:val="20"/>
          <w:lang w:val="en-US"/>
        </w:rPr>
        <w:fldChar w:fldCharType="end"/>
      </w:r>
      <w:r w:rsidRPr="00A2171C">
        <w:rPr>
          <w:rFonts w:eastAsia="Times New Roman" w:cs="Times New Roman"/>
          <w:szCs w:val="20"/>
          <w:lang w:val="en-US"/>
        </w:rPr>
        <w:t xml:space="preserve">. Historic cities and neighborhoods are often more vulnerable to fire risks than new buildings due to: (i) intrinsic features of historic structures such as a high presence of combustible materials, compound vertical and horizontal elements, poor fire protection systems, substandard fire conditions, unplanned expansion, and constant alterations; (ii) the high density and difficult access to resources of the urban environment (e.g. narrow streets, limited fire engine access, shortage of open spaces); and (iii) social drivers as overcrowding of people in buildings, presence of elderly residents, and a deficient management of the government. </w:t>
      </w:r>
    </w:p>
    <w:p w14:paraId="720B7B14" w14:textId="758C3C08" w:rsidR="00A46867" w:rsidRPr="00A2171C" w:rsidRDefault="00A46867" w:rsidP="00A46867">
      <w:pPr>
        <w:pBdr>
          <w:top w:val="nil"/>
          <w:left w:val="nil"/>
          <w:bottom w:val="nil"/>
          <w:right w:val="nil"/>
          <w:between w:val="nil"/>
        </w:pBdr>
        <w:spacing w:before="240"/>
        <w:rPr>
          <w:rFonts w:eastAsia="Times New Roman" w:cs="Times New Roman"/>
          <w:szCs w:val="20"/>
          <w:lang w:val="en-US"/>
        </w:rPr>
      </w:pPr>
      <w:r w:rsidRPr="00A2171C">
        <w:rPr>
          <w:rFonts w:eastAsia="Times New Roman" w:cs="Times New Roman"/>
          <w:szCs w:val="20"/>
          <w:lang w:val="en-US"/>
        </w:rPr>
        <w:t>The Chilean territory has 146 conservation areas declared as “</w:t>
      </w:r>
      <w:r w:rsidRPr="00A2171C">
        <w:rPr>
          <w:rFonts w:eastAsia="Times New Roman" w:cs="Times New Roman"/>
          <w:i/>
          <w:iCs/>
          <w:szCs w:val="20"/>
          <w:lang w:val="en-US"/>
        </w:rPr>
        <w:t>Typical Zones</w:t>
      </w:r>
      <w:r w:rsidRPr="00A2171C">
        <w:rPr>
          <w:rFonts w:eastAsia="Times New Roman" w:cs="Times New Roman"/>
          <w:szCs w:val="20"/>
          <w:lang w:val="en-US"/>
        </w:rPr>
        <w:t>” with a rich cultural and architectural history, all prone to fire risk. During April 12</w:t>
      </w:r>
      <w:r w:rsidRPr="00A2171C">
        <w:rPr>
          <w:rFonts w:eastAsia="Times New Roman" w:cs="Times New Roman"/>
          <w:szCs w:val="20"/>
          <w:vertAlign w:val="superscript"/>
          <w:lang w:val="en-US"/>
        </w:rPr>
        <w:t>th</w:t>
      </w:r>
      <w:r w:rsidRPr="00A2171C">
        <w:rPr>
          <w:rFonts w:eastAsia="Times New Roman" w:cs="Times New Roman"/>
          <w:szCs w:val="20"/>
          <w:lang w:val="en-US"/>
        </w:rPr>
        <w:t>, 2014, part of the Valparaiso historic quarter and hills, declared a United Nations Educational, Scientific, and Cultural Organization (</w:t>
      </w:r>
      <w:hyperlink r:id="rId11" w:tooltip="UNESCO" w:history="1">
        <w:r w:rsidRPr="00A2171C">
          <w:rPr>
            <w:rFonts w:eastAsia="Times New Roman" w:cs="Times New Roman"/>
            <w:szCs w:val="20"/>
            <w:lang w:val="en-US"/>
          </w:rPr>
          <w:t>UNESCO</w:t>
        </w:r>
      </w:hyperlink>
      <w:r w:rsidRPr="00A2171C">
        <w:rPr>
          <w:rFonts w:eastAsia="Times New Roman" w:cs="Times New Roman"/>
          <w:szCs w:val="20"/>
          <w:lang w:val="en-US"/>
        </w:rPr>
        <w:t>) </w:t>
      </w:r>
      <w:hyperlink r:id="rId12" w:tooltip="World Heritage Site" w:history="1">
        <w:r w:rsidRPr="00A2171C">
          <w:rPr>
            <w:rFonts w:eastAsia="Times New Roman" w:cs="Times New Roman"/>
            <w:szCs w:val="20"/>
            <w:lang w:val="en-US"/>
          </w:rPr>
          <w:t>World Heritage Site</w:t>
        </w:r>
      </w:hyperlink>
      <w:r w:rsidRPr="00A2171C">
        <w:rPr>
          <w:rFonts w:eastAsia="Times New Roman" w:cs="Times New Roman"/>
          <w:szCs w:val="20"/>
          <w:lang w:val="en-US"/>
        </w:rPr>
        <w:t xml:space="preserve"> (2003), were impacted by a major fire considered the greatest urban fire in Chilean history. The Great Valparaiso Fire caused 15 deaths, injured more than 500 people, destroyed more than 2,900 homes, burned more than 1,000 hectares, and displaced approximately 12,500 people </w:t>
      </w:r>
      <w:r w:rsidRPr="00A2171C">
        <w:rPr>
          <w:rFonts w:eastAsia="Times New Roman" w:cs="Times New Roman"/>
          <w:szCs w:val="20"/>
          <w:lang w:val="en-US"/>
        </w:rPr>
        <w:fldChar w:fldCharType="begin" w:fldLock="1"/>
      </w:r>
      <w:r w:rsidRPr="00A2171C">
        <w:rPr>
          <w:rFonts w:eastAsia="Times New Roman" w:cs="Times New Roman"/>
          <w:szCs w:val="20"/>
          <w:lang w:val="en-US"/>
        </w:rPr>
        <w:instrText>ADDIN CSL_CITATION {"citationItems":[{"id":"ITEM-1","itemData":{"DOI":"10.1007/s10694-014-0427-0","ISBN":"1069401404","ISSN":"15728099","abstract":"The Great Valparaiso Fire started as a wildfire on the outskirts of the city. The fire spread through the wildland–urban interface towards the city. In 5 days, it claimed the lives of 15 people, injured more than 500 people, destroyed over 2,900 homes, burned over 1,000 ha, and displaced approximately 12,500 people. In this Letter to the Editor, several issues that facilitated the tragic events are discussed.","author":[{"dropping-particle":"","family":"Reszka","given":"Pedro","non-dropping-particle":"","parse-names":false,"suffix":""},{"dropping-particle":"","family":"Fuentes","given":"Andrés","non-dropping-particle":"","parse-names":false,"suffix":""}],"container-title":"Fire Technology","id":"ITEM-1","issue":"4","issued":{"date-parts":[["2015"]]},"page":"753-758","publisher":"Springer US","title":"The Great Valparaiso Fire and Fire Safety Management in Chile","type":"article-journal","volume":"51"},"uris":["http://www.mendeley.com/documents/?uuid=18434cb7-2667-49b0-9fa0-ec0286b9ff8b"]}],"mendeley":{"formattedCitation":"(Reszka &amp; Fuentes, 2015)","plainTextFormattedCitation":"(Reszka &amp; Fuentes, 2015)","previouslyFormattedCitation":"(Reszka &amp; Fuentes, 2015)"},"properties":{"noteIndex":0},"schema":"https://github.com/citation-style-language/schema/raw/master/csl-citation.json"}</w:instrText>
      </w:r>
      <w:r w:rsidRPr="00A2171C">
        <w:rPr>
          <w:rFonts w:eastAsia="Times New Roman" w:cs="Times New Roman"/>
          <w:szCs w:val="20"/>
          <w:lang w:val="en-US"/>
        </w:rPr>
        <w:fldChar w:fldCharType="separate"/>
      </w:r>
      <w:r w:rsidRPr="00A2171C">
        <w:rPr>
          <w:rFonts w:eastAsia="Times New Roman" w:cs="Times New Roman"/>
          <w:noProof/>
          <w:szCs w:val="20"/>
          <w:lang w:val="en-US"/>
        </w:rPr>
        <w:t>(Reszka &amp; Fuentes, 2015)</w:t>
      </w:r>
      <w:r w:rsidRPr="00A2171C">
        <w:rPr>
          <w:rFonts w:eastAsia="Times New Roman" w:cs="Times New Roman"/>
          <w:szCs w:val="20"/>
          <w:lang w:val="en-US"/>
        </w:rPr>
        <w:fldChar w:fldCharType="end"/>
      </w:r>
      <w:r w:rsidRPr="00A2171C">
        <w:rPr>
          <w:rFonts w:eastAsia="Times New Roman" w:cs="Times New Roman"/>
          <w:szCs w:val="20"/>
          <w:lang w:val="en-US"/>
        </w:rPr>
        <w:t>. In 2020, more than 134,000 emergency services were attended by Chilean firefighters, of which approximately 18,500 correspond to structural fires and electrical services (</w:t>
      </w:r>
      <w:r w:rsidR="00206EA7" w:rsidRPr="00A2171C">
        <w:rPr>
          <w:rFonts w:eastAsia="Times New Roman" w:cs="Times New Roman"/>
          <w:noProof/>
          <w:szCs w:val="20"/>
          <w:lang w:val="en-US"/>
        </w:rPr>
        <w:t>SBI, 2021</w:t>
      </w:r>
      <w:r w:rsidRPr="00A2171C">
        <w:rPr>
          <w:rFonts w:eastAsia="Times New Roman" w:cs="Times New Roman"/>
          <w:szCs w:val="20"/>
          <w:lang w:val="en-US"/>
        </w:rPr>
        <w:t xml:space="preserve">). About 3,000 claims correspond to fires of electrical origin, equipment and /or electrical appliances in poor condition or overloaded </w:t>
      </w:r>
      <w:r w:rsidRPr="00A2171C">
        <w:rPr>
          <w:rFonts w:eastAsia="Times New Roman" w:cs="Times New Roman"/>
          <w:szCs w:val="20"/>
          <w:lang w:val="en-US"/>
        </w:rPr>
        <w:fldChar w:fldCharType="begin" w:fldLock="1"/>
      </w:r>
      <w:r w:rsidRPr="00A2171C">
        <w:rPr>
          <w:rFonts w:eastAsia="Times New Roman" w:cs="Times New Roman"/>
          <w:szCs w:val="20"/>
          <w:lang w:val="en-US"/>
        </w:rPr>
        <w:instrText>ADDIN CSL_CITATION {"citationItems":[{"id":"ITEM-1","itemData":{"author":[{"dropping-particle":"","family":"SBI","given":"","non-dropping-particle":"","parse-names":false,"suffix":""}],"container-title":"Sistema de Gestión de Actos de Servicio","id":"ITEM-1","issued":{"date-parts":[["2021"]]},"title":"Sistema de Información Bomberil","type":"webpage"},"uris":["http://www.mendeley.com/documents/?uuid=4ee602b5-4c68-4e81-9103-c1e578bb3118"]}],"mendeley":{"formattedCitation":"(SBI, 2021)","plainTextFormattedCitation":"(SBI, 2021)","previouslyFormattedCitation":"(SBI, 2021)"},"properties":{"noteIndex":0},"schema":"https://github.com/citation-style-language/schema/raw/master/csl-citation.json"}</w:instrText>
      </w:r>
      <w:r w:rsidRPr="00A2171C">
        <w:rPr>
          <w:rFonts w:eastAsia="Times New Roman" w:cs="Times New Roman"/>
          <w:szCs w:val="20"/>
          <w:lang w:val="en-US"/>
        </w:rPr>
        <w:fldChar w:fldCharType="separate"/>
      </w:r>
      <w:r w:rsidRPr="00A2171C">
        <w:rPr>
          <w:rFonts w:eastAsia="Times New Roman" w:cs="Times New Roman"/>
          <w:noProof/>
          <w:szCs w:val="20"/>
          <w:lang w:val="en-US"/>
        </w:rPr>
        <w:t>(SBI, 2021)</w:t>
      </w:r>
      <w:r w:rsidRPr="00A2171C">
        <w:rPr>
          <w:rFonts w:eastAsia="Times New Roman" w:cs="Times New Roman"/>
          <w:szCs w:val="20"/>
          <w:lang w:val="en-US"/>
        </w:rPr>
        <w:fldChar w:fldCharType="end"/>
      </w:r>
      <w:r w:rsidRPr="00A2171C">
        <w:rPr>
          <w:rFonts w:eastAsia="Times New Roman" w:cs="Times New Roman"/>
          <w:szCs w:val="20"/>
          <w:lang w:val="en-US"/>
        </w:rPr>
        <w:t>.</w:t>
      </w:r>
    </w:p>
    <w:p w14:paraId="47DED963" w14:textId="71176DB5" w:rsidR="00D231D2" w:rsidRPr="00A2171C" w:rsidRDefault="00A46867" w:rsidP="00D231D2">
      <w:pPr>
        <w:pBdr>
          <w:top w:val="nil"/>
          <w:left w:val="nil"/>
          <w:bottom w:val="nil"/>
          <w:right w:val="nil"/>
          <w:between w:val="nil"/>
        </w:pBdr>
        <w:spacing w:before="240" w:after="0"/>
        <w:rPr>
          <w:rFonts w:eastAsia="Times New Roman" w:cs="Times New Roman"/>
          <w:szCs w:val="20"/>
          <w:lang w:val="en-US"/>
        </w:rPr>
      </w:pPr>
      <w:r w:rsidRPr="00A2171C">
        <w:rPr>
          <w:rFonts w:eastAsia="Times New Roman" w:cs="Times New Roman"/>
          <w:szCs w:val="20"/>
          <w:lang w:val="en-US"/>
        </w:rPr>
        <w:t>Preservation of historical heritage is one of the priorities of the Ministry of Cultur</w:t>
      </w:r>
      <w:r w:rsidR="00C72A24" w:rsidRPr="00A2171C">
        <w:rPr>
          <w:rFonts w:eastAsia="Times New Roman" w:cs="Times New Roman"/>
          <w:szCs w:val="20"/>
          <w:lang w:val="en-US"/>
        </w:rPr>
        <w:t>e, Art and Heritage</w:t>
      </w:r>
      <w:r w:rsidR="00F8499A" w:rsidRPr="00A2171C">
        <w:rPr>
          <w:rFonts w:eastAsia="Times New Roman" w:cs="Times New Roman"/>
          <w:szCs w:val="20"/>
          <w:lang w:val="en-US"/>
        </w:rPr>
        <w:t xml:space="preserve"> </w:t>
      </w:r>
      <w:r w:rsidR="00D231D2" w:rsidRPr="00A2171C">
        <w:rPr>
          <w:rFonts w:eastAsia="Times New Roman" w:cs="Times New Roman"/>
          <w:szCs w:val="20"/>
          <w:lang w:val="en-US"/>
        </w:rPr>
        <w:t>which ratified the "Convention on the Protection of the World Cultural and Natural Heritage" (UNESCO, 1972)</w:t>
      </w:r>
      <w:r w:rsidR="00BA2A01" w:rsidRPr="00A2171C">
        <w:rPr>
          <w:rFonts w:eastAsia="Times New Roman" w:cs="Times New Roman"/>
          <w:szCs w:val="20"/>
          <w:lang w:val="en-US"/>
        </w:rPr>
        <w:t xml:space="preserve"> in 1980</w:t>
      </w:r>
      <w:r w:rsidR="00D231D2" w:rsidRPr="00A2171C">
        <w:rPr>
          <w:rFonts w:eastAsia="Times New Roman" w:cs="Times New Roman"/>
          <w:szCs w:val="20"/>
          <w:lang w:val="en-US"/>
        </w:rPr>
        <w:t>, committing itself safeguard</w:t>
      </w:r>
      <w:r w:rsidR="00BA2A01" w:rsidRPr="00A2171C">
        <w:rPr>
          <w:rFonts w:eastAsia="Times New Roman" w:cs="Times New Roman"/>
          <w:szCs w:val="20"/>
          <w:lang w:val="en-US"/>
        </w:rPr>
        <w:t>ing</w:t>
      </w:r>
      <w:r w:rsidR="00D231D2" w:rsidRPr="00A2171C">
        <w:rPr>
          <w:rFonts w:eastAsia="Times New Roman" w:cs="Times New Roman"/>
          <w:szCs w:val="20"/>
          <w:lang w:val="en-US"/>
        </w:rPr>
        <w:t xml:space="preserve"> those assets that present an exceptional interest and that must be preserved as elements of the world heritage </w:t>
      </w:r>
      <w:r w:rsidR="00BA2A01" w:rsidRPr="00A2171C">
        <w:rPr>
          <w:rFonts w:eastAsia="Times New Roman" w:cs="Times New Roman"/>
          <w:szCs w:val="20"/>
          <w:lang w:val="en-US"/>
        </w:rPr>
        <w:t>for</w:t>
      </w:r>
      <w:r w:rsidR="00D231D2" w:rsidRPr="00A2171C">
        <w:rPr>
          <w:rFonts w:eastAsia="Times New Roman" w:cs="Times New Roman"/>
          <w:szCs w:val="20"/>
          <w:lang w:val="en-US"/>
        </w:rPr>
        <w:t xml:space="preserve"> all humanity</w:t>
      </w:r>
      <w:r w:rsidRPr="00A2171C">
        <w:rPr>
          <w:rFonts w:eastAsia="Times New Roman" w:cs="Times New Roman"/>
          <w:szCs w:val="20"/>
          <w:lang w:val="en-US"/>
        </w:rPr>
        <w:t>. Despite the fact that fire hazard is highly prevalent in historical residential housing, no comprehensive studies have been performed about fire risk in historic urban areas such as the Yungay’s neighborhood in Santiago, which is the aim of our research</w:t>
      </w:r>
      <w:bookmarkEnd w:id="0"/>
      <w:r w:rsidRPr="00A2171C">
        <w:rPr>
          <w:rFonts w:eastAsia="Times New Roman" w:cs="Times New Roman"/>
          <w:szCs w:val="20"/>
          <w:lang w:val="en-US"/>
        </w:rPr>
        <w:t xml:space="preserve">. </w:t>
      </w:r>
      <w:bookmarkStart w:id="1" w:name="_Hlk120552717"/>
      <w:r w:rsidRPr="00A2171C">
        <w:rPr>
          <w:rFonts w:eastAsia="Times New Roman" w:cs="Times New Roman"/>
          <w:szCs w:val="20"/>
          <w:lang w:val="en-US"/>
        </w:rPr>
        <w:t xml:space="preserve">This neighborhood was selected because it has large patrimonial value, high population density, and suffered several modifications in time that make it particularly sensitive to extreme fires.  While fire risk of historic urban areas has been widely assessed in Europe, e.g. Portugal </w:t>
      </w:r>
      <w:r w:rsidRPr="00A2171C">
        <w:rPr>
          <w:rFonts w:eastAsia="Times New Roman" w:cs="Times New Roman"/>
          <w:szCs w:val="20"/>
          <w:lang w:val="en-US"/>
        </w:rPr>
        <w:fldChar w:fldCharType="begin" w:fldLock="1"/>
      </w:r>
      <w:r w:rsidRPr="00A2171C">
        <w:rPr>
          <w:rFonts w:eastAsia="Times New Roman" w:cs="Times New Roman"/>
          <w:szCs w:val="20"/>
          <w:lang w:val="en-US"/>
        </w:rPr>
        <w:instrText>ADDIN CSL_CITATION {"citationItems":[{"id":"ITEM-1","itemData":{"author":[{"dropping-particle":"","family":"Faria","given":"Maria Anete","non-dropping-particle":"","parse-names":false,"suffix":""},{"dropping-particle":"","family":"Rodrigues","given":"João Paulo","non-dropping-particle":"","parse-names":false,"suffix":""},{"dropping-particle":"","family":"Coelho","given":"António Leça","non-dropping-particle":"","parse-names":false,"suffix":""}],"id":"ITEM-1","issue":"January","issued":{"date-parts":[["2012"]]},"title":"APLICAÇÃO DOS MÉTODOS DE ARICA E DE GRETENER NA AVALIAÇÃO DO RISCO DE INCÊNDIO NO CUA DE SETÚBAL","type":"article-journal"},"uris":["http://www.mendeley.com/documents/?uuid=c359ef31-0f7c-4144-af35-20853830237b"]},{"id":"ITEM-2","itemData":{"DOI":"10.1007/s10694-018-0778-z","ISSN":"1572-8099","abstract":"Urban risk mitigation is a priority in city management due to the severe consequences and costs that disasters can cause. Several efforts are focused on disaster prevention through the definition of pre-disaster actions, especially in highly vulnerable urban areas. In that sense, historical centres represent one of the main challenges for risk mitigation due to two inherent characteristics: their heritage value, related to their historic importance, economic role and social symbolism; and their high vulnerability, resulting from the condition of old urban areas,usually complex in terms of architectonic, constructive and urbanistic development. Considering the abovementioned, the present work focuses on the fire risk assessment of the Historical Centre of Guimarães, in Portugal. The assessment was developed through the application of an index-based fire risk assessment method to the 436 buildings that comprise this UNESCO World Heritage Site. After being integrated into a geographical information system tool, the assessment results were spatially analysed and discussed in the form of vulnerability and risk maps. Analysis revealed that about 67% of the assessed building stock have a moderate to high fire risk. From the analysis of the sub-factors that compose the Fire Risk Index method, it was further possible to perceive that this situation is not only associated with the characteristics of the buildings, but also to the inner characteristics of the urban area itself. Taking into account the scale and aim of the study, the results obtained in this work were found to be reliable, allowing for identification of the most vulnerable buildings in respect to fire risk.","author":[{"dropping-particle":"","family":"Granda","given":"Santiago","non-dropping-particle":"","parse-names":false,"suffix":""},{"dropping-particle":"","family":"Ferreira","given":"Tiago Miguel","non-dropping-particle":"","parse-names":false,"suffix":""}],"container-title":"Fire Technology","id":"ITEM-2","issue":"1","issued":{"date-parts":[["2019"]]},"page":"105-127","title":"Assessing Vulnerability and Fire Risk in Old Urban Areas: Application to the Historical Centre of Guimarães","type":"article-journal","volume":"55"},"uris":["http://www.mendeley.com/documents/?uuid=1dd8a17f-3e32-478c-afee-69978d64b7a0"]},{"id":"ITEM-3","itemData":{"abstract":"Fire risk assessment in the historic centers has been a difficult problematic to solve over several years. The resolution of such problems will be much easier as better is our knowledge of reality. This work classify the fire risk of a set of buildings that represent generically the existing buildings in the historic center of Castelo Branco, based on their occupation, volumetric and utilization. The buildings in study, as in most ancient urban centers, has small height (less than 4 floors), with a mixed construction of stone and wood. Among of many existing fire risk analysis methods, this study used the Gretener method to calculate the risk of fire in the area of the historic center of the Castelo Branco town, to the Peleteiros Street. The results showed that traditional construction buildings with a maximum of 2 floors and current uses, such as housing and commercial present a fire risk within acceptable values. Same results for buildings with concrete buildings. The Gretener method allowed an expeditious fire risk assessment, however, to achieve an acceptable risk value was necessary to implement active measures in some buildings, such as the installation of an automatic fire detection system and the staff training. The results showed that traditional construction buildings with a maximum of 2 floors and current uses, such as housing and commerce present a fire risk within acceptable values. You get the same results for buildings with concrete buildings. The Gretener method allowed an expeditious assessment of the risk of fire, however, to obtain an acceptable risk value were necessary to implement active measures in some buildings, such as the installation of an automatic fire detection system and the staff training.","author":[{"dropping-particle":"","family":"Pais","given":"Pedro Aurélio","non-dropping-particle":"","parse-names":false,"suffix":""},{"dropping-particle":"","family":"Santos","given":"Cristina","non-dropping-particle":"","parse-names":false,"suffix":""}],"container-title":"Agroforum","id":"ITEM-3","issued":{"date-parts":[["2015"]]},"title":"Fire risk assessment in historical centers - Castelo Branco case study","type":"article-journal","volume":"n°34"},"uris":["http://www.mendeley.com/documents/?uuid=2da562ba-8b50-47fb-a8f9-c29e702f420d"]},{"id":"ITEM-4","itemData":{"DOI":"10.2495/EN070091","ISBN":"9781845640866","ISSN":"1743-3533","author":[{"dropping-particle":"","family":"Santana","given":"M L A","non-dropping-particle":"","parse-names":false,"suffix":""},{"dropping-particle":"","family":"Rodrigues","given":"J P","non-dropping-particle":"","parse-names":false,"suffix":""},{"dropping-particle":"","family":"Leça Coelho","given":"A.","non-dropping-particle":"","parse-names":false,"suffix":""},{"dropping-particle":"","family":"Charreau","given":"G. L.","non-dropping-particle":"","parse-names":false,"suffix":""}],"collection-title":"WIT Transactions on Engineering Sciences, Vol 58","container-title":"The Art of Resisting Extreme Natural Forces","id":"ITEM-4","issued":{"date-parts":[["2007","7","6"]]},"page":"81-90","publisher":"WIT Press","publisher-place":"Southampton, UK","title":"Fire risk assessment of historical areas: the case of Montemor-o-Velho","type":"paper-conference","volume":"I"},"uris":["http://www.mendeley.com/documents/?uuid=892592fa-7a85-4618-9658-9373699fe20e"]},{"id":"ITEM-5","itemData":{"author":[{"dropping-particle":"","family":"Vicente","given":"Romeu","non-dropping-particle":"","parse-names":false,"suffix":""},{"dropping-particle":"","family":"Silva","given":"J. Ant. R.","non-dropping-particle":"","parse-names":false,"suffix":""},{"dropping-particle":"","family":"Varum","given":"Humberto","non-dropping-particle":"","parse-names":false,"suffix":""},{"dropping-particle":"","family":"Costa","given":"Aníbal","non-dropping-particle":"","parse-names":false,"suffix":""},{"dropping-particle":"","family":"Subtil","given":"Ana","non-dropping-particle":"","parse-names":false,"suffix":""},{"dropping-particle":"","family":"Santos","given":"Cátia","non-dropping-particle":"","parse-names":false,"suffix":""},{"dropping-particle":"","family":"Santos","given":"Mário","non-dropping-particle":"","parse-names":false,"suffix":""},{"dropping-particle":"","family":"Ferreira","given":"Tiago","non-dropping-particle":"","parse-names":false,"suffix":""},{"dropping-particle":"","family":"Rodrigues","given":"Ana","non-dropping-particle":"","parse-names":false,"suffix":""}],"id":"ITEM-5","issued":{"date-parts":[["2010"]]},"title":"CADERNO DE APOIO À AVALIAÇÃO DO RISCO SÍSMICO E DE INCÊNDIO NOS NÚCLEOS URBANOS ANTIGOS DO SEIXAL","type":"book"},"uris":["http://www.mendeley.com/documents/?uuid=e74ef6e7-da85-4717-81a0-cd08f3561dcb"]}],"mendeley":{"formattedCitation":"(Faria et al., 2012; Granda &amp; Ferreira, 2019a; Pais &amp; Santos, 2015; Santana et al., 2007; Vicente et al., 2010)","manualFormatting":"(Vicente et al., 2010; Faria et al., 2012; Pais &amp; Santos, 2015; Santana et al., 2007; Granda &amp; Ferreira, 2019a)","plainTextFormattedCitation":"(Faria et al., 2012; Granda &amp; Ferreira, 2019a; Pais &amp; Santos, 2015; Santana et al., 2007; Vicente et al., 2010)","previouslyFormattedCitation":"(Faria et al., 2012; Granda &amp; Ferreira, 2019a; Pais &amp; Santos, 2015; Santana et al., 2007; Vicente et al., 2010)"},"properties":{"noteIndex":0},"schema":"https://github.com/citation-style-language/schema/raw/master/csl-citation.json"}</w:instrText>
      </w:r>
      <w:r w:rsidRPr="00A2171C">
        <w:rPr>
          <w:rFonts w:eastAsia="Times New Roman" w:cs="Times New Roman"/>
          <w:szCs w:val="20"/>
          <w:lang w:val="en-US"/>
        </w:rPr>
        <w:fldChar w:fldCharType="separate"/>
      </w:r>
      <w:r w:rsidRPr="00A2171C">
        <w:rPr>
          <w:rFonts w:eastAsia="Times New Roman" w:cs="Times New Roman"/>
          <w:noProof/>
          <w:szCs w:val="20"/>
          <w:lang w:val="en-US"/>
        </w:rPr>
        <w:t>(Vicente et al., 2010; Faria et al., 2012; Pais &amp; Santos, 2015; Santana et al., 2007; Granda &amp; Ferreira, 2019a)</w:t>
      </w:r>
      <w:r w:rsidRPr="00A2171C">
        <w:rPr>
          <w:rFonts w:eastAsia="Times New Roman" w:cs="Times New Roman"/>
          <w:szCs w:val="20"/>
          <w:lang w:val="en-US"/>
        </w:rPr>
        <w:fldChar w:fldCharType="end"/>
      </w:r>
      <w:r w:rsidRPr="00A2171C">
        <w:rPr>
          <w:rFonts w:eastAsia="Times New Roman" w:cs="Times New Roman"/>
          <w:szCs w:val="20"/>
          <w:lang w:val="en-US"/>
        </w:rPr>
        <w:t xml:space="preserve">, there are still very few studies in historic centers in Latin American  </w:t>
      </w:r>
      <w:r w:rsidRPr="00A2171C">
        <w:rPr>
          <w:rFonts w:eastAsia="Times New Roman" w:cs="Times New Roman"/>
          <w:szCs w:val="20"/>
          <w:lang w:val="en-US"/>
        </w:rPr>
        <w:fldChar w:fldCharType="begin" w:fldLock="1"/>
      </w:r>
      <w:r w:rsidRPr="00A2171C">
        <w:rPr>
          <w:rFonts w:eastAsia="Times New Roman" w:cs="Times New Roman"/>
          <w:szCs w:val="20"/>
          <w:lang w:val="en-US"/>
        </w:rPr>
        <w:instrText>ADDIN CSL_CITATION {"citationItems":[{"id":"ITEM-1","itemData":{"DOI":"10.1080/15583058.2019.1665142","ISSN":"15583066","abstract":"Risk mitigation is assumed today as a top priority in the international agenda. Recent natural disasters raised the awareness of governments and scientists and have let to the search for more efficient and effective strategies to manage and mitigate risk. Such efforts are especially important in the case of large historic centres, which, by often combining a high heritage value with a high level of physical vulnerability, are particularly sensitive and relevant. Considering the abovementioned, the present work aims at presenting and discussing the fire risk in the Historic Centre of Quito, one of the oldest and most important Spanish colonial settlements in South America. Taking into account the difficulties inherent to the scale of the case study, the evaluation is carried out in a neighbourhood scale, through the application of simplified fire vulnerability and risk assessment methodology. In order to perform the spatial analysis of the outputs, vulnerability and risk indicators are integrated into a Geographical Information System tool and the results are presented in the form of vulnerability maps. In a second-order analysis, these maps are subsequently combined with pre-existing vulnerability data in order to identify targets and priorities in terms of risk mitigation strategies.","author":[{"dropping-particle":"","family":"Granda","given":"Santiago","non-dropping-particle":"","parse-names":false,"suffix":""},{"dropping-particle":"","family":"Ferreira","given":"Tiago Miguel","non-dropping-particle":"","parse-names":false,"suffix":""}],"container-title":"International Journal of Architectural Heritage","id":"ITEM-1","issue":"September","issued":{"date-parts":[["2019"]]},"title":"Large-scale Vulnerability and Fire Risk Assessment of the Historic Centre of Quito, Ecuador","type":"article-journal"},"uris":["http://www.mendeley.com/documents/?uuid=32ac1f70-f4ca-42f6-85ac-b79892a73355"]}],"mendeley":{"formattedCitation":"(Granda &amp; Ferreira, 2019b)","plainTextFormattedCitation":"(Granda &amp; Ferreira, 2019b)","previouslyFormattedCitation":"(Granda &amp; Ferreira, 2019b)"},"properties":{"noteIndex":0},"schema":"https://github.com/citation-style-language/schema/raw/master/csl-citation.json"}</w:instrText>
      </w:r>
      <w:r w:rsidRPr="00A2171C">
        <w:rPr>
          <w:rFonts w:eastAsia="Times New Roman" w:cs="Times New Roman"/>
          <w:szCs w:val="20"/>
          <w:lang w:val="en-US"/>
        </w:rPr>
        <w:fldChar w:fldCharType="separate"/>
      </w:r>
      <w:r w:rsidRPr="00A2171C">
        <w:rPr>
          <w:rFonts w:eastAsia="Times New Roman" w:cs="Times New Roman"/>
          <w:noProof/>
          <w:szCs w:val="20"/>
          <w:lang w:val="en-US"/>
        </w:rPr>
        <w:t>(Granda &amp; Ferreira, 2019b)</w:t>
      </w:r>
      <w:r w:rsidRPr="00A2171C">
        <w:rPr>
          <w:rFonts w:eastAsia="Times New Roman" w:cs="Times New Roman"/>
          <w:szCs w:val="20"/>
          <w:lang w:val="en-US"/>
        </w:rPr>
        <w:fldChar w:fldCharType="end"/>
      </w:r>
      <w:r w:rsidRPr="00A2171C">
        <w:rPr>
          <w:rFonts w:eastAsia="Times New Roman" w:cs="Times New Roman"/>
          <w:szCs w:val="20"/>
          <w:lang w:val="en-US"/>
        </w:rPr>
        <w:t xml:space="preserve">. Consequently, given the large and detailed database of households generated, this provides first archival value, and second, identifies the most critical aggregates of households, architectural types, and urban variables that condition and contribute most to this risk.  This paper is only a starting point in a long run effort to assess more comprehensibly the fire vulnerability of </w:t>
      </w:r>
      <w:r w:rsidRPr="00A2171C">
        <w:rPr>
          <w:szCs w:val="20"/>
          <w:lang w:val="en-US"/>
        </w:rPr>
        <w:t xml:space="preserve">aggregate buildings located in the historic centers of old cities. The article focuses on the application of a modified empirical procedure to the Yungay’s </w:t>
      </w:r>
      <w:r w:rsidRPr="00A2171C">
        <w:rPr>
          <w:szCs w:val="20"/>
          <w:lang w:val="en-US"/>
        </w:rPr>
        <w:lastRenderedPageBreak/>
        <w:t>neighborhood, used as a representative case of other historic quarters of foundational cities located along the central valley of Chile.</w:t>
      </w:r>
    </w:p>
    <w:p w14:paraId="2A2239AA" w14:textId="77777777" w:rsidR="0030464D" w:rsidRPr="00A2171C" w:rsidRDefault="0030464D" w:rsidP="0030464D">
      <w:pPr>
        <w:pBdr>
          <w:top w:val="nil"/>
          <w:left w:val="nil"/>
          <w:bottom w:val="nil"/>
          <w:right w:val="nil"/>
          <w:between w:val="nil"/>
        </w:pBdr>
        <w:spacing w:before="240" w:after="0"/>
        <w:rPr>
          <w:rFonts w:eastAsia="Times New Roman" w:cs="Times New Roman"/>
          <w:lang w:val="en-US"/>
        </w:rPr>
      </w:pPr>
      <w:bookmarkStart w:id="2" w:name="_Hlk120551384"/>
      <w:bookmarkStart w:id="3" w:name="_Hlk120551760"/>
      <w:bookmarkEnd w:id="1"/>
      <w:r w:rsidRPr="00A2171C">
        <w:rPr>
          <w:rFonts w:eastAsia="Times New Roman" w:cs="Times New Roman"/>
          <w:lang w:val="en-US"/>
        </w:rPr>
        <w:t xml:space="preserve">The majority of existing methods for fire risk analysis were not developed for cultural heritage assets; rather, they have been devised for new individual buildings, and are inappropriate for the analysis of aggregates of structures that typically form historical urban centers. Different studies </w:t>
      </w:r>
      <w:r w:rsidRPr="00A2171C">
        <w:rPr>
          <w:rFonts w:eastAsia="Times New Roman" w:cs="Times New Roman"/>
        </w:rPr>
        <w:fldChar w:fldCharType="begin" w:fldLock="1"/>
      </w:r>
      <w:r w:rsidRPr="00A2171C">
        <w:rPr>
          <w:rFonts w:eastAsia="Times New Roman" w:cs="Times New Roman"/>
          <w:lang w:val="en-US"/>
        </w:rPr>
        <w:instrText>ADDIN CSL_CITATION {"citationItems":[{"id":"ITEM-1","itemData":{"DOI":"10.1016/j.ijdrr.2021.102286","ISSN":"22124209","abstract":"Indicator-based methods are able to provide a simple and reliable way to assess the level of fire risk of existing constructions. While many of these methods were not developed for cultural heritage assets, those that were often involve indicators connected to provisions defined by standards that are only valid in certain countries. As such, a method with the required versatility to analyse the fire safety of cultural heritage assets is still needed. Developing a method with the necessary characteristics requires a prior review of existing approaches to understand their strengths and weaknesses. A review of existing indicator-based methods for fire risk assessment is, therefore, presented, covering methods applicable to built cultural heritage assets and other types of constructions. In addition, the review also analyses existing fire safety guidelines and recommendations dedicated to cultural heritage assets. As an outcome, the review proposes twenty-two vulnerability indicators grouped into four categories that can be used to develop a fire risk assessment method dedicated to built cultural heritage assets. The review also establishes a classification of cultural heritage assets according to four classes that focus on their fire vulnerability and discusses the applicability of the proposed indicators.","author":[{"dropping-particle":"","family":"Salazar","given":"L. Gerardo F.","non-dropping-particle":"","parse-names":false,"suffix":""},{"dropping-particle":"","family":"Romão","given":"Xavier","non-dropping-particle":"","parse-names":false,"suffix":""},{"dropping-particle":"","family":"Paupério","given":"Esmeralda","non-dropping-particle":"","parse-names":false,"suffix":""}],"container-title":"International Journal of Disaster Risk Reduction","id":"ITEM-1","issue":"December 2020","issued":{"date-parts":[["2021"]]},"title":"Review of vulnerability indicators for fire risk assessment in cultural heritage","type":"article-journal","volume":"60"},"uris":["http://www.mendeley.com/documents/?uuid=6543d926-17df-4c79-8986-cedd1ae24c23"]},{"id":"ITEM-2","itemData":{"DOI":"10.1007/s11069-021-04734-5","ISBN":"0123456789","ISSN":"15730840","abstract":"A large volume of work has been carried out in recent years to assess the effects of individual hazards on urban areas. However, due to its complexity, assessing the probable cumulative impacts of multiple hazards has not yet entered the mainstream of research and urban management practice, particularly in the specific case of the Historic Urban Areas. This paper aims at contributing to pa</w:instrText>
      </w:r>
      <w:r w:rsidRPr="00A2171C">
        <w:rPr>
          <w:rFonts w:eastAsia="Times New Roman" w:cs="Times New Roman"/>
        </w:rPr>
        <w:instrText>ving the way towards the establishment of future multi-hazard vulnerability and risk assessment methodologies for Historic Urban Areas by offering a comprehensive review of some of the most relevant methodologies proposed to date in this research area. Justified by their relevance in the Historic Urban Areas’ scope, this review focuses specifically on seismic, flood, and fire assessment methodologies, with particular emphasis on those po</w:instrText>
      </w:r>
      <w:r w:rsidRPr="00A2171C">
        <w:rPr>
          <w:rFonts w:eastAsia="Times New Roman" w:cs="Times New Roman"/>
          <w:lang w:val="en-US"/>
        </w:rPr>
        <w:instrText>tentially suitable to be interfaced in multi-hazard approaches. The relevance of considering and managing the impacts of each one of these hazards, the review of the most relevant assessment methodologies, and the identification of the leading indicators considered by the different approaches constitute the core of this work. Finally, some relevant examples of the development and use of multi-hazard vulnerability and risk analysis in historic urban areas are also provided and discussed.","author":[{"dropping-particle":"","family":"Baquedano Juliá","given":"Pilar","non-dropping-particle":"","parse-names":false,"suffix":""},{"dropping-particle":"","family":"Ferreira","given":"Tiago Miguel","non-dropping-particle":"","parse-names":false,"suffix":""}],"container-title":"Natural Hazards","id":"ITEM-2","issue":"0123456789","issued":{"date-parts":[["2021"]]},"publisher":"Springer Netherlands","title":"From single- to multi-hazard vulnerability and risk in Historic Urban Areas: a literature review","type":"book"},"uris":["http://www.mendeley.com/documents/?uuid=8df5c25b-91dd-41d5-8fc0-80ee0cca54c2"]}],"mendeley":{"formattedCitation":"(Baquedano Juliá &amp; Ferreira, 2021; Salazar et al., 2021)","plainTextFormattedCitation":"(Baquedano Juliá &amp; Ferreira, 2021; Salazar et al., 2021)","previouslyFormattedCitation":"(Baquedano Juliá &amp; Ferreira, 2021; Salazar et al., 2021)"},"properties":{"noteIndex":0},"schema":"https://github.com/citation-style-language/schema/raw/master/csl-citation.json"}</w:instrText>
      </w:r>
      <w:r w:rsidRPr="00A2171C">
        <w:rPr>
          <w:rFonts w:eastAsia="Times New Roman" w:cs="Times New Roman"/>
        </w:rPr>
        <w:fldChar w:fldCharType="separate"/>
      </w:r>
      <w:r w:rsidRPr="00A2171C">
        <w:rPr>
          <w:rFonts w:eastAsia="Times New Roman" w:cs="Times New Roman"/>
          <w:noProof/>
          <w:lang w:val="en-US"/>
        </w:rPr>
        <w:t>(Baquedano Juliá &amp; Ferreira, 2021; Salazar et al., 2021)</w:t>
      </w:r>
      <w:r w:rsidRPr="00A2171C">
        <w:rPr>
          <w:rFonts w:eastAsia="Times New Roman" w:cs="Times New Roman"/>
        </w:rPr>
        <w:fldChar w:fldCharType="end"/>
      </w:r>
      <w:r w:rsidRPr="00A2171C">
        <w:rPr>
          <w:rFonts w:eastAsia="Times New Roman" w:cs="Times New Roman"/>
          <w:lang w:val="en-US"/>
        </w:rPr>
        <w:t xml:space="preserve"> present extensions of vulnerability indicators for fire risk assessment of cultural heritage, such as: (1) the Gretener method </w:t>
      </w:r>
      <w:r w:rsidRPr="00A2171C">
        <w:rPr>
          <w:rFonts w:eastAsia="Times New Roman" w:cs="Times New Roman"/>
        </w:rPr>
        <w:fldChar w:fldCharType="begin" w:fldLock="1"/>
      </w:r>
      <w:r w:rsidRPr="00A2171C">
        <w:rPr>
          <w:rFonts w:eastAsia="Times New Roman" w:cs="Times New Roman"/>
          <w:lang w:val="en-US"/>
        </w:rPr>
        <w:instrText>ADDIN CSL_CITATION {"citationItems":[{"id":"ITEM-1","itemData":{"author":[{"dropping-particle":"","family":"Kaiser","given":"J","non-dropping-particle":"","parse-names":false,"suffix":""}],"container-title":"Fire Safety Journal,","id":"ITEM-1","issued":{"date-parts":[["1979"]]},"page":"213-222","title":"Experiences of the Gretener Method*","type":"article-journal","volume":"2"},"uris":["http://www.mendeley.com/documents/?uuid=c4803f98-da8a-4294-9a13-a4292775cadb"]}],"mendeley":{"formattedCitation":"(Kaiser, 1979)","plainTextFormattedCitation":"(Kaiser, 1979)","previouslyFormattedCitation":"(Kaiser, 1979)"},"properties":{"noteIndex":0},"schema":"https://github.com/citation-style-language/schema/raw/master/csl-citation.json"}</w:instrText>
      </w:r>
      <w:r w:rsidRPr="00A2171C">
        <w:rPr>
          <w:rFonts w:eastAsia="Times New Roman" w:cs="Times New Roman"/>
        </w:rPr>
        <w:fldChar w:fldCharType="separate"/>
      </w:r>
      <w:r w:rsidRPr="00A2171C">
        <w:rPr>
          <w:rFonts w:eastAsia="Times New Roman" w:cs="Times New Roman"/>
          <w:noProof/>
          <w:lang w:val="en-US"/>
        </w:rPr>
        <w:t>(Kaiser, 1979)</w:t>
      </w:r>
      <w:r w:rsidRPr="00A2171C">
        <w:rPr>
          <w:rFonts w:eastAsia="Times New Roman" w:cs="Times New Roman"/>
        </w:rPr>
        <w:fldChar w:fldCharType="end"/>
      </w:r>
      <w:r w:rsidRPr="00A2171C">
        <w:rPr>
          <w:rFonts w:eastAsia="Times New Roman" w:cs="Times New Roman"/>
          <w:lang w:val="en-US"/>
        </w:rPr>
        <w:t xml:space="preserve"> in which fire risk is calculated as a ratio between potential hazard (like fire-load density) and protective measures; (2) the Fire Risk Assessment Method for Engineering [FRAME] </w:t>
      </w:r>
      <w:r w:rsidRPr="00A2171C">
        <w:rPr>
          <w:rFonts w:eastAsia="Times New Roman" w:cs="Times New Roman"/>
        </w:rPr>
        <w:fldChar w:fldCharType="begin" w:fldLock="1"/>
      </w:r>
      <w:r w:rsidRPr="00A2171C">
        <w:rPr>
          <w:rFonts w:eastAsia="Times New Roman" w:cs="Times New Roman"/>
          <w:lang w:val="en-US"/>
        </w:rPr>
        <w:instrText>ADDIN CSL_CITATION {"citationItems":[{"id":"ITEM-1","itemData":{"author":[{"dropping-particle":"","family":"FRAME","given":"","non-dropping-particle":"","parse-names":false,"suffix":""}],"id":"ITEM-1","issued":{"date-parts":[["2008"]]},"title":"FRAME 2008. Theoretical basis and technical reference guide.","type":"article"},"uris":["http://www.mendeley.com/documents/?uuid=5a33303e-013e-4c33-9689-085e2f07f586"]}],"mendeley":{"formattedCitation":"(FRAME, 2008)","plainTextFormattedCitation":"(FRAME, 2008)","previouslyFormattedCitation":"(FRAME, 2008)"},"properties":{"noteIndex":0},"schema":"https://github.com/citation-style-language/schema/raw/master/csl-citation.json"}</w:instrText>
      </w:r>
      <w:r w:rsidRPr="00A2171C">
        <w:rPr>
          <w:rFonts w:eastAsia="Times New Roman" w:cs="Times New Roman"/>
        </w:rPr>
        <w:fldChar w:fldCharType="separate"/>
      </w:r>
      <w:r w:rsidRPr="00A2171C">
        <w:rPr>
          <w:rFonts w:eastAsia="Times New Roman" w:cs="Times New Roman"/>
          <w:noProof/>
          <w:lang w:val="en-US"/>
        </w:rPr>
        <w:t>(FRAME, 2008)</w:t>
      </w:r>
      <w:r w:rsidRPr="00A2171C">
        <w:rPr>
          <w:rFonts w:eastAsia="Times New Roman" w:cs="Times New Roman"/>
        </w:rPr>
        <w:fldChar w:fldCharType="end"/>
      </w:r>
      <w:r w:rsidRPr="00A2171C">
        <w:rPr>
          <w:rFonts w:eastAsia="Times New Roman" w:cs="Times New Roman"/>
          <w:lang w:val="en-US"/>
        </w:rPr>
        <w:t xml:space="preserve"> that breaks down the risk calculations in three components associated with the building, occupants, and uses; (3) the Fire Risk Index Method for Historical Buildings [FRIM-HB] </w:t>
      </w:r>
      <w:r w:rsidRPr="00A2171C">
        <w:rPr>
          <w:rFonts w:eastAsia="Times New Roman" w:cs="Times New Roman"/>
        </w:rPr>
        <w:fldChar w:fldCharType="begin" w:fldLock="1"/>
      </w:r>
      <w:r w:rsidRPr="00A2171C">
        <w:rPr>
          <w:rFonts w:eastAsia="Times New Roman" w:cs="Times New Roman"/>
          <w:lang w:val="en-US"/>
        </w:rPr>
        <w:instrText>ADDIN CSL_CITATION {"citationItems":[{"id":"ITEM-1","itemData":{"DOI":"10.4028/www.scientific.net/KEM.628.27","ISSN":"1662-9795","abstract":"One of the most challenging problems of the ancient architectural heritage is its protection from fire risk. The \"Italian Risk assessment map of the cultural heritage\" (Carta del Rischio [1]), is a GIS-based platform developed by the Italian Central Institute for Restoration (ISCR) to assess the exposure and the vulnerability to static-structural, environmental, anthropogenic and seismic risk of the historical and cultural heritage. The paper marks a new phase of development of the Risk Map Information System aiming at integrating the vulnerability estimation of the historical buildings with a new method derived from the Fire Risk Index Method for Multi-storey Apartment Buildings (FRIM-MAB). The new index-based method has been tested in a full scale case-study in comparison with both the Italian prescriptive assessment and the performance-based fire protection approach. Results show the capability of the approach, its reliability and user friendliness.","author":[{"dropping-particle":"","family":"Arborea","given":"Alessandro","non-dropping-particle":"","parse-names":false,"suffix":""},{"dropping-particle":"","family":"Mossa","given":"Giorgio","non-dropping-particle":"","parse-names":false,"suffix":""},{"dropping-particle":"","family":"Cucurachi","given":"Giorgio","non-dropping-particle":"","parse-names":false,"suffix":""}],"container-title":"Key Engineering Materials","id":"ITEM-1","issued":{"date-parts":[["2014"]]},"page":"27-33","title":"Preventive fire risk assessment of Italian architectural heritage: An index based approach","type":"article-journal","volume":"628"},"uris":["http://www.mendeley.com/documents/?uuid=e46f6755-3c50-4210-8a9e-a9dfa11b3b14"]}],"mendeley":{"formattedCitation":"(Arborea et al., 2014)","plainTextFormattedCitation":"(Arborea et al., 2014)","previouslyFormattedCitation":"(Arborea et al., 2014)"},"properties":{"noteIndex":0},"schema":"https://github.com/citation-style-language/schema/raw/master/csl-citation.json"}</w:instrText>
      </w:r>
      <w:r w:rsidRPr="00A2171C">
        <w:rPr>
          <w:rFonts w:eastAsia="Times New Roman" w:cs="Times New Roman"/>
        </w:rPr>
        <w:fldChar w:fldCharType="separate"/>
      </w:r>
      <w:r w:rsidRPr="00A2171C">
        <w:rPr>
          <w:rFonts w:eastAsia="Times New Roman" w:cs="Times New Roman"/>
          <w:noProof/>
          <w:lang w:val="en-US"/>
        </w:rPr>
        <w:t>(Arborea et al., 2014)</w:t>
      </w:r>
      <w:r w:rsidRPr="00A2171C">
        <w:rPr>
          <w:rFonts w:eastAsia="Times New Roman" w:cs="Times New Roman"/>
        </w:rPr>
        <w:fldChar w:fldCharType="end"/>
      </w:r>
      <w:r w:rsidRPr="00A2171C">
        <w:rPr>
          <w:rFonts w:eastAsia="Times New Roman" w:cs="Times New Roman"/>
          <w:lang w:val="en-US"/>
        </w:rPr>
        <w:t xml:space="preserve">, which is a preventive estimation approach, aimed to identify priorities for protection and preservation of built heritage; (4) the ARICA method </w:t>
      </w:r>
      <w:r w:rsidRPr="00A2171C">
        <w:rPr>
          <w:rFonts w:eastAsia="Times New Roman" w:cs="Times New Roman"/>
        </w:rPr>
        <w:fldChar w:fldCharType="begin" w:fldLock="1"/>
      </w:r>
      <w:r w:rsidRPr="00A2171C">
        <w:rPr>
          <w:rFonts w:eastAsia="Times New Roman" w:cs="Times New Roman"/>
          <w:lang w:val="en-US"/>
        </w:rPr>
        <w:instrText>ADDIN CSL_CITATION {"citationItems":[{"id":"ITEM-1","itemData":{"author":[{"dropping-particle":"","family":"Coelho","given":"A.L.","non-dropping-particle":"","parse-names":false,"suffix":""}],"edition":"Primerira ","editor":[{"dropping-particle":"","family":"Orion","given":"Editora","non-dropping-particle":"","parse-names":false,"suffix":""}],"id":"ITEM-1","issued":{"date-parts":[["2010"]]},"title":"Incêndios em edifícios","type":"book"},"uris":["http://www.mendeley.com/documents/?uuid=bfcf1c4d-e73e-41f2-a4dc-a8a4e2a0c3e6"]}],"mendeley":{"formattedCitation":"(Coelho, 2010)","plainTextFormattedCitation":"(Coelho, 2010)","previouslyFormattedCitation":"(Coelho, 2010)"},"properties":{"noteIndex":0},"schema":"https://github.com/citation-style-language/schema/raw/master/csl-citation.json"}</w:instrText>
      </w:r>
      <w:r w:rsidRPr="00A2171C">
        <w:rPr>
          <w:rFonts w:eastAsia="Times New Roman" w:cs="Times New Roman"/>
        </w:rPr>
        <w:fldChar w:fldCharType="separate"/>
      </w:r>
      <w:r w:rsidRPr="00A2171C">
        <w:rPr>
          <w:rFonts w:eastAsia="Times New Roman" w:cs="Times New Roman"/>
          <w:noProof/>
          <w:lang w:val="en-US"/>
        </w:rPr>
        <w:t>(Coelho, 2010)</w:t>
      </w:r>
      <w:r w:rsidRPr="00A2171C">
        <w:rPr>
          <w:rFonts w:eastAsia="Times New Roman" w:cs="Times New Roman"/>
        </w:rPr>
        <w:fldChar w:fldCharType="end"/>
      </w:r>
      <w:r w:rsidRPr="00A2171C">
        <w:rPr>
          <w:rFonts w:eastAsia="Times New Roman" w:cs="Times New Roman"/>
          <w:lang w:val="en-US"/>
        </w:rPr>
        <w:t xml:space="preserve">, based on the Portuguese code for fire safety, which allows to assess fire risk of individual buildings by a set of fire risk factors; and (5) the Fire Risk Index [FRI] </w:t>
      </w:r>
      <w:r w:rsidRPr="00A2171C">
        <w:rPr>
          <w:rFonts w:eastAsia="Times New Roman" w:cs="Times New Roman"/>
        </w:rPr>
        <w:fldChar w:fldCharType="begin" w:fldLock="1"/>
      </w:r>
      <w:r w:rsidRPr="00A2171C">
        <w:rPr>
          <w:rFonts w:eastAsia="Times New Roman" w:cs="Times New Roman"/>
          <w:lang w:val="en-US"/>
        </w:rPr>
        <w:instrText>ADDIN CSL_CITATION {"citationItems":[{"id":"ITEM-1","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Heritage","id":"ITEM-1","issue":"426","issued":{"date-parts":[["2016"]]},"page":"1-7","title":"Urban fire risk: Evaluation and emergency planning","type":"article-journal","volume":"20"},"uris":["http://www.mendeley.com/documents/?uuid=8b45f97f-58a1-4a84-9208-ddf32f667d2c"]}],"mendeley":{"formattedCitation":"(Ferreira et al., 2016)","plainTextFormattedCitation":"(Ferreira et al., 2016)","previouslyFormattedCitation":"(Ferreira et al., 2016)"},"properties":{"noteIndex":0},"schema":"https://github.com/citation-style-language/schema/raw/master/csl-citation.json"}</w:instrText>
      </w:r>
      <w:r w:rsidRPr="00A2171C">
        <w:rPr>
          <w:rFonts w:eastAsia="Times New Roman" w:cs="Times New Roman"/>
        </w:rPr>
        <w:fldChar w:fldCharType="separate"/>
      </w:r>
      <w:r w:rsidRPr="00A2171C">
        <w:rPr>
          <w:rFonts w:eastAsia="Times New Roman" w:cs="Times New Roman"/>
          <w:noProof/>
          <w:lang w:val="en-US"/>
        </w:rPr>
        <w:t>(Ferreira et al., 2016)</w:t>
      </w:r>
      <w:r w:rsidRPr="00A2171C">
        <w:rPr>
          <w:rFonts w:eastAsia="Times New Roman" w:cs="Times New Roman"/>
        </w:rPr>
        <w:fldChar w:fldCharType="end"/>
      </w:r>
      <w:r w:rsidRPr="00A2171C">
        <w:rPr>
          <w:rFonts w:eastAsia="Times New Roman" w:cs="Times New Roman"/>
          <w:lang w:val="en-US"/>
        </w:rPr>
        <w:t>, an adaptation of the original ARICA method to the urban-scale. Considering the relative advantages and disadvantages of these methods, the FRI method was selected herein because of its simplicity and larger accuracy with collected data. Despite its simplicity, the Gretener method was excluded because it does not allow differentiation between large areas and escape routes, ignores conditions of the electrical and gas systems as the eventual absence of fire protection walls, which are all factors that affect fire risk levels of aggregate historic buildings. In the case of the FRIM-HB and ARICA methodologies, both were intended for individual buildings, and hence, their applicability to the larger geographic scale of a neighborhood, as in the analyzed case study, would be unrealistic in terms of time and resources.</w:t>
      </w:r>
    </w:p>
    <w:p w14:paraId="19C16D1E" w14:textId="77777777" w:rsidR="0030464D" w:rsidRPr="00A2171C" w:rsidRDefault="00A46867" w:rsidP="0030464D">
      <w:pPr>
        <w:pBdr>
          <w:top w:val="nil"/>
          <w:left w:val="nil"/>
          <w:bottom w:val="nil"/>
          <w:right w:val="nil"/>
          <w:between w:val="nil"/>
        </w:pBdr>
        <w:spacing w:after="0"/>
        <w:rPr>
          <w:rFonts w:eastAsia="Times New Roman" w:cs="Times New Roman"/>
          <w:lang w:val="en-US"/>
        </w:rPr>
      </w:pPr>
      <w:r w:rsidRPr="00A2171C">
        <w:rPr>
          <w:rFonts w:eastAsia="Times New Roman" w:cs="Times New Roman"/>
          <w:szCs w:val="20"/>
          <w:lang w:val="en-US"/>
        </w:rPr>
        <w:t xml:space="preserve">Therefore, this research uses the FRI method </w:t>
      </w:r>
      <w:r w:rsidRPr="00A2171C">
        <w:rPr>
          <w:rFonts w:eastAsia="Times New Roman" w:cs="Times New Roman"/>
          <w:szCs w:val="20"/>
          <w:lang w:val="en-US"/>
        </w:rPr>
        <w:fldChar w:fldCharType="begin" w:fldLock="1"/>
      </w:r>
      <w:r w:rsidRPr="00A2171C">
        <w:rPr>
          <w:rFonts w:eastAsia="Times New Roman" w:cs="Times New Roman"/>
          <w:szCs w:val="20"/>
          <w:lang w:val="en-US"/>
        </w:rPr>
        <w:instrText>ADDIN CSL_CITATION {"citationItems":[{"id":"ITEM-1","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Heritage","id":"ITEM-1","issue":"426","issued":{"date-parts":[["2016"]]},"page":"1-7","title":"Urban fire risk: Evaluation and emergency planning","type":"article-journal","volume":"20"},"uris":["http://www.mendeley.com/documents/?uuid=8b45f97f-58a1-4a84-9208-ddf32f667d2c"]}],"mendeley":{"formattedCitation":"(Ferreira et al., 2016)","plainTextFormattedCitation":"(Ferreira et al., 2016)","previouslyFormattedCitation":"(Ferreira et al., 2016)"},"properties":{"noteIndex":0},"schema":"https://github.com/citation-style-language/schema/raw/master/csl-citation.json"}</w:instrText>
      </w:r>
      <w:r w:rsidRPr="00A2171C">
        <w:rPr>
          <w:rFonts w:eastAsia="Times New Roman" w:cs="Times New Roman"/>
          <w:szCs w:val="20"/>
          <w:lang w:val="en-US"/>
        </w:rPr>
        <w:fldChar w:fldCharType="separate"/>
      </w:r>
      <w:r w:rsidRPr="00A2171C">
        <w:rPr>
          <w:rFonts w:eastAsia="Times New Roman" w:cs="Times New Roman"/>
          <w:noProof/>
          <w:szCs w:val="20"/>
          <w:lang w:val="en-US"/>
        </w:rPr>
        <w:t>(Ferreira et al., 2016)</w:t>
      </w:r>
      <w:r w:rsidRPr="00A2171C">
        <w:rPr>
          <w:rFonts w:eastAsia="Times New Roman" w:cs="Times New Roman"/>
          <w:szCs w:val="20"/>
          <w:lang w:val="en-US"/>
        </w:rPr>
        <w:fldChar w:fldCharType="end"/>
      </w:r>
      <w:r w:rsidRPr="00A2171C">
        <w:rPr>
          <w:rFonts w:eastAsia="Times New Roman" w:cs="Times New Roman"/>
          <w:szCs w:val="20"/>
          <w:lang w:val="en-US"/>
        </w:rPr>
        <w:t xml:space="preserve"> to identify recurrent vulnerabilities in terms of the fire evolving stages: ignition, propagation, evacuation and combat for 443 Chilean historic buildings that belong to the Yungay’s neighborhood in Santiago, Chile.</w:t>
      </w:r>
      <w:bookmarkStart w:id="4" w:name="_Hlk120550999"/>
      <w:bookmarkEnd w:id="2"/>
      <w:bookmarkEnd w:id="3"/>
      <w:r w:rsidR="0030464D" w:rsidRPr="00A2171C">
        <w:rPr>
          <w:rFonts w:eastAsia="Times New Roman" w:cs="Times New Roman"/>
          <w:szCs w:val="20"/>
          <w:lang w:val="en-US"/>
        </w:rPr>
        <w:t xml:space="preserve"> </w:t>
      </w:r>
      <w:r w:rsidR="0030464D" w:rsidRPr="00A2171C">
        <w:rPr>
          <w:rFonts w:eastAsia="Times New Roman" w:cs="Times New Roman"/>
          <w:lang w:val="en-US"/>
        </w:rPr>
        <w:t xml:space="preserve">The first result is a complete database of the architectural, constructive, structural, and urban features considering the 22 fire risk sub-factors of FRI analysis for each of the 443 historic buildings. Furthermore, the FRI method was adapted to specific Fire Safety Conditions of Chilean regulations and to the </w:t>
      </w:r>
      <w:r w:rsidR="0030464D" w:rsidRPr="00A2171C">
        <w:rPr>
          <w:rFonts w:cs="Times New Roman"/>
          <w:lang w:val="en-US"/>
        </w:rPr>
        <w:t xml:space="preserve">typological, constructive, and as-built structural characteristics of this heritage, which may be </w:t>
      </w:r>
      <w:r w:rsidR="0030464D" w:rsidRPr="00A2171C">
        <w:rPr>
          <w:rFonts w:eastAsia="Times New Roman" w:cs="Times New Roman"/>
          <w:lang w:val="en-US"/>
        </w:rPr>
        <w:t>used, at least as a proxy, to extrapolate information to other historic centers in Central and Latin American regions</w:t>
      </w:r>
      <w:r w:rsidR="0030464D" w:rsidRPr="00A2171C">
        <w:rPr>
          <w:rFonts w:cs="Times New Roman"/>
          <w:lang w:val="en-US"/>
        </w:rPr>
        <w:t>. The modified-FRI-factors presents novel contributions in: (a)</w:t>
      </w:r>
      <w:r w:rsidR="0030464D" w:rsidRPr="00A2171C">
        <w:rPr>
          <w:rFonts w:eastAsia="Times New Roman" w:cs="Times New Roman"/>
          <w:lang w:val="en-US"/>
        </w:rPr>
        <w:t xml:space="preserve"> the assessment of the fire ignition risk, and the condition of the electrical system by looking at the extension cords and possible overloading of the basic installations together with the analysis of fire propagation risk; (b) categorization of fixed fire loads according to structural typologies and movable fire loads; and (c) categorization according to the building’s use. </w:t>
      </w:r>
    </w:p>
    <w:p w14:paraId="0CC9D8D1" w14:textId="7F8B03A1" w:rsidR="0030464D" w:rsidRPr="00A2171C" w:rsidRDefault="0030464D" w:rsidP="0030464D">
      <w:pPr>
        <w:pBdr>
          <w:top w:val="nil"/>
          <w:left w:val="nil"/>
          <w:bottom w:val="nil"/>
          <w:right w:val="nil"/>
          <w:between w:val="nil"/>
        </w:pBdr>
        <w:spacing w:after="0"/>
        <w:rPr>
          <w:rFonts w:eastAsia="Times New Roman" w:cs="Times New Roman"/>
          <w:szCs w:val="20"/>
          <w:lang w:val="en-US"/>
        </w:rPr>
      </w:pPr>
      <w:r w:rsidRPr="00A2171C">
        <w:rPr>
          <w:rFonts w:eastAsia="Times New Roman" w:cs="Times New Roman"/>
          <w:lang w:val="en-US"/>
        </w:rPr>
        <w:t xml:space="preserve">The results of the application of FRI-modified-form are used to assess the phases of ignition, propagation, evacuation, and combat fire-risk levels, as well as to estimate the fire risk index. To validate the results, fire-risk index results are correlated with the data of historical fires (from 2016 to 2021) to evaluate the ability of the index to identify areas of higher and lower risk. Moreover, the risk level for each of the fire evolution stages </w:t>
      </w:r>
      <w:r w:rsidRPr="00A2171C">
        <w:rPr>
          <w:rFonts w:eastAsia="Times New Roman" w:cs="Times New Roman"/>
          <w:lang w:val="en-US"/>
        </w:rPr>
        <w:lastRenderedPageBreak/>
        <w:t>were cross-correlated with the urban and architectural layouts in order to identify the most vulnerable configurations. This work starts with a description of the study area, then moves into the fire-risk assessment, and the application and discussion of the results, to end with some of the conclusions. It is a first step and an input for the development of guidelines and recommendations for the conservation of cultural heritage in urban areas exposed to fire-risk by means of disaster risk mitigation measures and emergency plans developed with the participation of better-informed community and local authorities</w:t>
      </w:r>
      <w:r w:rsidR="00FB600E" w:rsidRPr="00A2171C">
        <w:rPr>
          <w:rFonts w:eastAsia="Times New Roman" w:cs="Times New Roman"/>
          <w:lang w:val="en-US"/>
        </w:rPr>
        <w:t>.</w:t>
      </w:r>
    </w:p>
    <w:bookmarkEnd w:id="4"/>
    <w:p w14:paraId="230640F0" w14:textId="77777777" w:rsidR="00A46867" w:rsidRPr="00A2171C" w:rsidRDefault="00A46867" w:rsidP="00A46867">
      <w:pPr>
        <w:pStyle w:val="Heading1"/>
        <w:numPr>
          <w:ilvl w:val="0"/>
          <w:numId w:val="1"/>
        </w:numPr>
        <w:rPr>
          <w:lang w:val="en-GB"/>
        </w:rPr>
      </w:pPr>
      <w:r w:rsidRPr="00A2171C">
        <w:rPr>
          <w:lang w:val="en-GB"/>
        </w:rPr>
        <w:t xml:space="preserve">Study area: Yungay neighborhood </w:t>
      </w:r>
    </w:p>
    <w:p w14:paraId="41F5EF89" w14:textId="77777777" w:rsidR="00A46867" w:rsidRPr="00A2171C" w:rsidRDefault="00A46867" w:rsidP="00A46867">
      <w:pPr>
        <w:widowControl w:val="0"/>
        <w:autoSpaceDE w:val="0"/>
        <w:autoSpaceDN w:val="0"/>
        <w:adjustRightInd w:val="0"/>
        <w:spacing w:after="0"/>
        <w:rPr>
          <w:rFonts w:cs="Times"/>
          <w:szCs w:val="20"/>
          <w:lang w:val="en-US"/>
        </w:rPr>
      </w:pPr>
      <w:r w:rsidRPr="00A2171C">
        <w:rPr>
          <w:rFonts w:cs="Times"/>
          <w:szCs w:val="20"/>
          <w:lang w:val="en-US"/>
        </w:rPr>
        <w:t xml:space="preserve">The city of Santiago has a well-defined matrix form configured as a radio-concentric spatial organization, whose shape originates from the historical foundational center, which progressively expanded radially toward the periphery. Historical formation characteristics of this urban structure were stabilized during the 19th century, when a clearly differentiated urbanization process became visible between the densification and monumentalization of the capital city center, and the emergence of new residential peripheries in the outer territory. </w:t>
      </w:r>
    </w:p>
    <w:p w14:paraId="14E0313F" w14:textId="6E452D67" w:rsidR="00A46867" w:rsidRPr="00A2171C" w:rsidRDefault="00A46867" w:rsidP="00A46867">
      <w:pPr>
        <w:widowControl w:val="0"/>
        <w:autoSpaceDE w:val="0"/>
        <w:autoSpaceDN w:val="0"/>
        <w:adjustRightInd w:val="0"/>
        <w:spacing w:after="0"/>
        <w:rPr>
          <w:szCs w:val="20"/>
          <w:lang w:val="en-US"/>
        </w:rPr>
      </w:pPr>
      <w:r w:rsidRPr="00A2171C">
        <w:rPr>
          <w:szCs w:val="20"/>
          <w:lang w:val="en-US"/>
        </w:rPr>
        <w:t xml:space="preserve">Located in the south-west area of the historic foundational center, the Yungay quarter (neighborhood) forms an urban continuity with other quarters of the city, the Brasil, Portales Park, and Concha y Toro, which generate a protected area of about 120 hectares </w:t>
      </w:r>
      <w:r w:rsidRPr="00A2171C">
        <w:rPr>
          <w:rFonts w:eastAsia="Times New Roman" w:cs="Times New Roman"/>
          <w:szCs w:val="20"/>
          <w:lang w:val="en-GB"/>
        </w:rPr>
        <w:t>(</w:t>
      </w:r>
      <w:r w:rsidR="006E2ECD" w:rsidRPr="00A2171C">
        <w:rPr>
          <w:szCs w:val="20"/>
          <w:lang w:val="en-GB"/>
        </w:rPr>
        <w:fldChar w:fldCharType="begin"/>
      </w:r>
      <w:r w:rsidR="006E2ECD" w:rsidRPr="00A2171C">
        <w:rPr>
          <w:rFonts w:eastAsia="Times New Roman" w:cs="Times New Roman"/>
          <w:szCs w:val="20"/>
          <w:lang w:val="en-GB"/>
        </w:rPr>
        <w:instrText xml:space="preserve"> REF _Ref121172169 \h </w:instrText>
      </w:r>
      <w:r w:rsidR="006E2ECD" w:rsidRPr="00A2171C">
        <w:rPr>
          <w:szCs w:val="20"/>
          <w:lang w:val="en-GB"/>
        </w:rPr>
      </w:r>
      <w:r w:rsidR="006E2ECD" w:rsidRPr="00A2171C">
        <w:rPr>
          <w:szCs w:val="20"/>
          <w:lang w:val="en-GB"/>
        </w:rPr>
        <w:fldChar w:fldCharType="separate"/>
      </w:r>
      <w:r w:rsidR="006E2ECD" w:rsidRPr="00A2171C">
        <w:rPr>
          <w:lang w:val="en-US"/>
        </w:rPr>
        <w:t xml:space="preserve">Figure </w:t>
      </w:r>
      <w:r w:rsidR="006E2ECD" w:rsidRPr="00A2171C">
        <w:rPr>
          <w:noProof/>
          <w:lang w:val="en-US"/>
        </w:rPr>
        <w:t>1</w:t>
      </w:r>
      <w:r w:rsidR="006E2ECD" w:rsidRPr="00A2171C">
        <w:rPr>
          <w:szCs w:val="20"/>
          <w:lang w:val="en-GB"/>
        </w:rPr>
        <w:fldChar w:fldCharType="end"/>
      </w:r>
      <w:r w:rsidR="006E2ECD" w:rsidRPr="00A2171C">
        <w:rPr>
          <w:szCs w:val="20"/>
          <w:lang w:val="en-GB"/>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828"/>
      </w:tblGrid>
      <w:tr w:rsidR="00A2171C" w:rsidRPr="00A2171C" w14:paraId="0E17DCE4" w14:textId="77777777" w:rsidTr="00D231D2">
        <w:tc>
          <w:tcPr>
            <w:tcW w:w="8828" w:type="dxa"/>
          </w:tcPr>
          <w:p w14:paraId="3499F879" w14:textId="05100CE4" w:rsidR="00A46867" w:rsidRPr="00A2171C" w:rsidRDefault="00A46867" w:rsidP="00BA2612">
            <w:pPr>
              <w:keepNext/>
              <w:jc w:val="center"/>
              <w:rPr>
                <w:sz w:val="10"/>
                <w:szCs w:val="10"/>
                <w:lang w:val="en-US"/>
              </w:rPr>
            </w:pPr>
            <w:r w:rsidRPr="00A2171C">
              <w:rPr>
                <w:szCs w:val="20"/>
                <w:lang w:val="en-US"/>
              </w:rPr>
              <w:t xml:space="preserve"> </w:t>
            </w:r>
          </w:p>
          <w:p w14:paraId="11DE094F" w14:textId="511AA8D9" w:rsidR="00D231D2" w:rsidRPr="00A2171C" w:rsidRDefault="00D231D2" w:rsidP="00D231D2">
            <w:pPr>
              <w:keepNext/>
              <w:jc w:val="left"/>
              <w:rPr>
                <w:szCs w:val="20"/>
                <w:lang w:val="en-GB"/>
              </w:rPr>
            </w:pPr>
            <w:r w:rsidRPr="00A2171C">
              <w:rPr>
                <w:noProof/>
                <w:szCs w:val="20"/>
                <w:lang w:val="en-GB"/>
              </w:rPr>
              <w:drawing>
                <wp:inline distT="0" distB="0" distL="0" distR="0" wp14:anchorId="6764E29E" wp14:editId="0FE3AFB3">
                  <wp:extent cx="5400675" cy="14478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735" b="10588"/>
                          <a:stretch/>
                        </pic:blipFill>
                        <pic:spPr bwMode="auto">
                          <a:xfrm>
                            <a:off x="0" y="0"/>
                            <a:ext cx="5406771" cy="14494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81CB5A" w14:textId="1100EE55" w:rsidR="00A46867" w:rsidRPr="00A2171C" w:rsidRDefault="0093046F" w:rsidP="0093046F">
      <w:pPr>
        <w:pStyle w:val="Caption"/>
        <w:jc w:val="center"/>
        <w:rPr>
          <w:color w:val="auto"/>
          <w:lang w:val="en-US"/>
        </w:rPr>
      </w:pPr>
      <w:bookmarkStart w:id="5" w:name="_Ref121172169"/>
      <w:bookmarkStart w:id="6" w:name="_Ref89270088"/>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1</w:t>
      </w:r>
      <w:r w:rsidRPr="00A2171C">
        <w:rPr>
          <w:color w:val="auto"/>
        </w:rPr>
        <w:fldChar w:fldCharType="end"/>
      </w:r>
      <w:bookmarkEnd w:id="5"/>
      <w:r w:rsidR="00A46867" w:rsidRPr="00A2171C">
        <w:rPr>
          <w:color w:val="auto"/>
          <w:lang w:val="en-US"/>
        </w:rPr>
        <w:t xml:space="preserve">: Schematic </w:t>
      </w:r>
      <w:r w:rsidR="00A46867" w:rsidRPr="00A2171C">
        <w:rPr>
          <w:color w:val="auto"/>
          <w:lang w:val="en-GB"/>
        </w:rPr>
        <w:t>growth urban process of the Yungay neighborhood between 1850 and 2020</w:t>
      </w:r>
    </w:p>
    <w:bookmarkEnd w:id="6"/>
    <w:p w14:paraId="273981F7" w14:textId="497CC9E3" w:rsidR="00A46867" w:rsidRPr="00A2171C" w:rsidRDefault="00A46867" w:rsidP="00D231D2">
      <w:pPr>
        <w:widowControl w:val="0"/>
        <w:autoSpaceDE w:val="0"/>
        <w:autoSpaceDN w:val="0"/>
        <w:adjustRightInd w:val="0"/>
        <w:rPr>
          <w:rFonts w:eastAsia="Times New Roman" w:cs="Times New Roman"/>
          <w:szCs w:val="20"/>
          <w:lang w:val="en-GB"/>
        </w:rPr>
      </w:pPr>
      <w:r w:rsidRPr="00A2171C">
        <w:rPr>
          <w:szCs w:val="20"/>
          <w:lang w:val="en-US"/>
        </w:rPr>
        <w:t xml:space="preserve">The neighborhood, a </w:t>
      </w:r>
      <w:r w:rsidRPr="00A2171C">
        <w:rPr>
          <w:i/>
          <w:iCs/>
          <w:szCs w:val="20"/>
          <w:lang w:val="en-US"/>
        </w:rPr>
        <w:t>Villa</w:t>
      </w:r>
      <w:r w:rsidRPr="00A2171C">
        <w:rPr>
          <w:szCs w:val="20"/>
          <w:lang w:val="en-US"/>
        </w:rPr>
        <w:t xml:space="preserve"> distant and autonomous from the city center, was a project designed in 1839 on the agricultural land of </w:t>
      </w:r>
      <w:r w:rsidRPr="00A2171C">
        <w:rPr>
          <w:i/>
          <w:iCs/>
          <w:szCs w:val="20"/>
          <w:lang w:val="en-US"/>
        </w:rPr>
        <w:t>Quinta de los Portales</w:t>
      </w:r>
      <w:r w:rsidRPr="00A2171C">
        <w:rPr>
          <w:szCs w:val="20"/>
          <w:lang w:val="en-US"/>
        </w:rPr>
        <w:t xml:space="preserve"> as a new residential periphery, originated from the urbanization and construction of one-story adobe houses arranged on the lots around inner courtyards. Today it is recognized as a consolidated physical structure and urban landscape. During the second half of the 19th century and the first decades of the 20th century, </w:t>
      </w:r>
      <w:r w:rsidRPr="00A2171C">
        <w:rPr>
          <w:i/>
          <w:iCs/>
          <w:szCs w:val="20"/>
          <w:lang w:val="en-US"/>
        </w:rPr>
        <w:t>Villa Yungay</w:t>
      </w:r>
      <w:r w:rsidRPr="00A2171C">
        <w:rPr>
          <w:szCs w:val="20"/>
          <w:lang w:val="en-US"/>
        </w:rPr>
        <w:t xml:space="preserve"> was not only morphologically and typologically consolidated, but also integrated and connected as a neighborhood to the entire central downtown area of the Santiago commune. Around 1929, with the arrival of</w:t>
      </w:r>
      <w:r w:rsidRPr="00A2171C">
        <w:rPr>
          <w:lang w:val="en-US"/>
        </w:rPr>
        <w:t xml:space="preserve"> </w:t>
      </w:r>
      <w:r w:rsidRPr="00A2171C">
        <w:rPr>
          <w:szCs w:val="20"/>
          <w:lang w:val="en-US"/>
        </w:rPr>
        <w:t xml:space="preserve">architect and engineer Karl Brunner, and his proposal to modernize the city of Santiago, a review process of the existing urban blocks began, deriving from the criticism that modern urbanism raised about the efficiency of the macro compact urban blocks (i.e., closed urban block [C]). However, as a consequence of the operational difficulties of the application of the </w:t>
      </w:r>
      <w:r w:rsidRPr="00A2171C">
        <w:rPr>
          <w:i/>
          <w:iCs/>
          <w:szCs w:val="20"/>
          <w:lang w:val="en-US"/>
        </w:rPr>
        <w:t>Official Urbanization Plan of the Santiago Commune</w:t>
      </w:r>
      <w:r w:rsidRPr="00A2171C">
        <w:rPr>
          <w:szCs w:val="20"/>
          <w:lang w:val="en-US"/>
        </w:rPr>
        <w:t xml:space="preserve">—due to the modification of the line and the opening of interior streets, the lack of incentives for private development in its densification and renovation, and the high costs of expropriation—the sector </w:t>
      </w:r>
      <w:r w:rsidRPr="00A2171C">
        <w:rPr>
          <w:szCs w:val="20"/>
          <w:lang w:val="en-US"/>
        </w:rPr>
        <w:lastRenderedPageBreak/>
        <w:t xml:space="preserve">remained unchanged during the 50 years that the plan was in effect (Rosas et al., 2015). In 1989 the </w:t>
      </w:r>
      <w:r w:rsidRPr="00A2171C">
        <w:rPr>
          <w:i/>
          <w:iCs/>
          <w:szCs w:val="20"/>
          <w:lang w:val="en-US"/>
        </w:rPr>
        <w:t>Official Urbanization Plan of the Santiago Commune</w:t>
      </w:r>
      <w:r w:rsidRPr="00A2171C">
        <w:rPr>
          <w:szCs w:val="20"/>
          <w:lang w:val="en-US"/>
        </w:rPr>
        <w:t xml:space="preserve"> was revoked with the objective to impose a dynamic speculative growth by typological substitution of low-rise housing attached to the block module, for new high-rise buildings composed of blocks and isolated towers attached to the lot and absent from the rules of the block. In this urban context, the affected neighbors reacted against the destruction of this consolidated quarter, being declared a Typical Zone. The </w:t>
      </w:r>
      <w:r w:rsidRPr="00A2171C">
        <w:rPr>
          <w:rFonts w:eastAsia="Times New Roman" w:cs="Times New Roman"/>
          <w:szCs w:val="20"/>
          <w:lang w:val="en-GB"/>
        </w:rPr>
        <w:t xml:space="preserve">Yungay neighbourhood is now considered one of the most representative historical zones of Santiago as evidenced by the declaration of </w:t>
      </w:r>
      <w:r w:rsidRPr="00A2171C">
        <w:rPr>
          <w:rFonts w:eastAsia="Times New Roman" w:cs="Times New Roman"/>
          <w:i/>
          <w:szCs w:val="20"/>
          <w:lang w:val="en-GB"/>
        </w:rPr>
        <w:t xml:space="preserve">Typical Zone </w:t>
      </w:r>
      <w:r w:rsidRPr="00A2171C">
        <w:rPr>
          <w:rFonts w:eastAsia="Times New Roman" w:cs="Times New Roman"/>
          <w:i/>
          <w:szCs w:val="20"/>
          <w:lang w:val="en-GB"/>
        </w:rPr>
        <w:fldChar w:fldCharType="begin" w:fldLock="1"/>
      </w:r>
      <w:r w:rsidRPr="00A2171C">
        <w:rPr>
          <w:rFonts w:eastAsia="Times New Roman" w:cs="Times New Roman"/>
          <w:i/>
          <w:szCs w:val="20"/>
          <w:lang w:val="en-GB"/>
        </w:rPr>
        <w:instrText>ADDIN CSL_CITATION {"citationItems":[{"id":"ITEM-1","itemData":{"author":[{"dropping-particle":"","family":"Decree No. 43","given":"","non-dropping-particle":"","parse-names":false,"suffix":""}],"id":"ITEM-1","issued":{"date-parts":[["2009"]]},"title":"Declárese Monumento Nacional en la Categoría de Zona Típica o Pintoresca el Sector que indica de los Barrios Yungay y Brasil de Santiago Poniente, de la Cuidad de Santiago, Comuna y Provincia de Santiago, Región Metropolitana. Consejo de Monumentos Nacion","type":"article-journal"},"uris":["http://www.mendeley.com/documents/?uuid=97bd3cff-5237-4a53-b14e-c3ca23d1e2b8"]}],"mendeley":{"formattedCitation":"(Decree No. 43, 2009)","plainTextFormattedCitation":"(Decree No. 43, 2009)","previouslyFormattedCitation":"(Decree No. 43, 2009)"},"properties":{"noteIndex":0},"schema":"https://github.com/citation-style-language/schema/raw/master/csl-citation.json"}</w:instrText>
      </w:r>
      <w:r w:rsidRPr="00A2171C">
        <w:rPr>
          <w:rFonts w:eastAsia="Times New Roman" w:cs="Times New Roman"/>
          <w:i/>
          <w:szCs w:val="20"/>
          <w:lang w:val="en-GB"/>
        </w:rPr>
        <w:fldChar w:fldCharType="separate"/>
      </w:r>
      <w:r w:rsidRPr="00A2171C">
        <w:rPr>
          <w:rFonts w:eastAsia="Times New Roman" w:cs="Times New Roman"/>
          <w:noProof/>
          <w:szCs w:val="20"/>
          <w:lang w:val="en-GB"/>
        </w:rPr>
        <w:t>(Decree No. 43, 2009)</w:t>
      </w:r>
      <w:r w:rsidRPr="00A2171C">
        <w:rPr>
          <w:rFonts w:eastAsia="Times New Roman" w:cs="Times New Roman"/>
          <w:i/>
          <w:szCs w:val="20"/>
          <w:lang w:val="en-GB"/>
        </w:rPr>
        <w:fldChar w:fldCharType="end"/>
      </w:r>
      <w:r w:rsidRPr="00A2171C">
        <w:rPr>
          <w:rFonts w:eastAsia="Times New Roman" w:cs="Times New Roman"/>
          <w:i/>
          <w:szCs w:val="20"/>
          <w:lang w:val="en-GB"/>
        </w:rPr>
        <w:t>.</w:t>
      </w:r>
    </w:p>
    <w:p w14:paraId="643BA1B1" w14:textId="228415AB" w:rsidR="00A46867" w:rsidRPr="00A2171C" w:rsidRDefault="00A46867" w:rsidP="00A46867">
      <w:pPr>
        <w:rPr>
          <w:rFonts w:eastAsia="Times New Roman" w:cs="Times New Roman"/>
          <w:szCs w:val="20"/>
          <w:lang w:val="en-GB"/>
        </w:rPr>
      </w:pPr>
      <w:r w:rsidRPr="00A2171C">
        <w:rPr>
          <w:rFonts w:eastAsia="Times New Roman" w:cs="Times New Roman"/>
          <w:szCs w:val="20"/>
          <w:lang w:val="en-GB"/>
        </w:rPr>
        <w:t>Due to the constant growth and reuse of this urban area (</w:t>
      </w:r>
      <w:r w:rsidRPr="00A2171C">
        <w:rPr>
          <w:rFonts w:eastAsia="Times New Roman" w:cs="Times New Roman"/>
          <w:szCs w:val="20"/>
          <w:lang w:val="en-GB"/>
        </w:rPr>
        <w:fldChar w:fldCharType="begin"/>
      </w:r>
      <w:r w:rsidRPr="00A2171C">
        <w:rPr>
          <w:rFonts w:eastAsia="Times New Roman" w:cs="Times New Roman"/>
          <w:szCs w:val="20"/>
          <w:lang w:val="en-GB"/>
        </w:rPr>
        <w:instrText xml:space="preserve"> REF _Ref89270088 \h  \* MERGEFORMAT </w:instrText>
      </w:r>
      <w:r w:rsidRPr="00A2171C">
        <w:rPr>
          <w:rFonts w:eastAsia="Times New Roman" w:cs="Times New Roman"/>
          <w:szCs w:val="20"/>
          <w:lang w:val="en-GB"/>
        </w:rPr>
      </w:r>
      <w:r w:rsidRPr="00A2171C">
        <w:rPr>
          <w:rFonts w:eastAsia="Times New Roman" w:cs="Times New Roman"/>
          <w:szCs w:val="20"/>
          <w:lang w:val="en-GB"/>
        </w:rPr>
        <w:fldChar w:fldCharType="separate"/>
      </w:r>
      <w:r w:rsidR="00C20049" w:rsidRPr="00A2171C">
        <w:rPr>
          <w:szCs w:val="20"/>
          <w:lang w:val="en-GB"/>
        </w:rPr>
        <w:t xml:space="preserve">Figure </w:t>
      </w:r>
      <w:r w:rsidR="00C20049" w:rsidRPr="00A2171C">
        <w:rPr>
          <w:noProof/>
          <w:szCs w:val="20"/>
          <w:lang w:val="en-GB"/>
        </w:rPr>
        <w:t>1</w:t>
      </w:r>
      <w:r w:rsidR="00C20049" w:rsidRPr="00A2171C">
        <w:rPr>
          <w:lang w:val="en-US"/>
        </w:rPr>
        <w:t xml:space="preserve">: Schematic </w:t>
      </w:r>
      <w:r w:rsidR="00C20049" w:rsidRPr="00A2171C">
        <w:rPr>
          <w:lang w:val="en-GB"/>
        </w:rPr>
        <w:t>growth urban process of the Yungay neighborhood between 1850 and 2020</w:t>
      </w:r>
      <w:r w:rsidRPr="00A2171C">
        <w:rPr>
          <w:rFonts w:eastAsia="Times New Roman" w:cs="Times New Roman"/>
          <w:szCs w:val="20"/>
          <w:lang w:val="en-GB"/>
        </w:rPr>
        <w:fldChar w:fldCharType="end"/>
      </w:r>
      <w:r w:rsidRPr="00A2171C">
        <w:rPr>
          <w:rFonts w:eastAsia="Times New Roman" w:cs="Times New Roman"/>
          <w:szCs w:val="20"/>
          <w:lang w:val="en-GB"/>
        </w:rPr>
        <w:t xml:space="preserve">), the Yungay quarter is now composed of heterogeneous urban blocks considering an architectural, constructive, and structural point of view. As for the great part of historical centers and neighbourhoods in Chile, the Yungay’s urban shape is the result of an accelerated and dispersed growth process characterized by demolitions, modifications, alterations and reconstructions to the urban plot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Bramerini","given":"F.","non-dropping-particle":"","parse-names":false,"suffix":""},{"dropping-particle":"","family":"Castenetto","given":"S.","non-dropping-particle":"","parse-names":false,"suffix":""}],"edition":"BetMultime","id":"ITEM-1","issued":{"date-parts":[["2014"]]},"publisher-place":"Rome, Italy","title":"Manuale per l’analisi della Condizione Limite per l’Emergenza (CLE) dell’insediamento urbano. Commissione tecnica per la microzonazione sismica.","type":"book"},"uris":["http://www.mendeley.com/documents/?uuid=43b22bee-35ad-4367-ac12-51a90f989f00"]}],"mendeley":{"formattedCitation":"(Bramerini &amp; Castenetto, 2014)","plainTextFormattedCitation":"(Bramerini &amp; Castenetto, 2014)","previouslyFormattedCitation":"(Bramerini &amp; Castenetto, 2014)"},"properties":{"noteIndex":0},"schema":"https://github.com/citation-style-language/schema/raw/master/csl-citation.json"}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(Bramerini &amp; Castenetto, 2014)</w:t>
      </w:r>
      <w:r w:rsidRPr="00A2171C">
        <w:rPr>
          <w:rFonts w:eastAsia="Times New Roman" w:cs="Times New Roman"/>
          <w:szCs w:val="20"/>
          <w:lang w:val="en-GB"/>
        </w:rPr>
        <w:fldChar w:fldCharType="end"/>
      </w:r>
      <w:r w:rsidRPr="00A2171C">
        <w:rPr>
          <w:rFonts w:eastAsia="Times New Roman" w:cs="Times New Roman"/>
          <w:szCs w:val="20"/>
          <w:lang w:val="en-GB"/>
        </w:rPr>
        <w:t xml:space="preserve"> due to the new dynamics of urbanization, and damage caused by several past earthquakes and fires. </w:t>
      </w:r>
      <w:hyperlink r:id="rId14">
        <w:r w:rsidRPr="00A2171C">
          <w:rPr>
            <w:rFonts w:eastAsia="Times New Roman" w:cs="Times New Roman"/>
            <w:szCs w:val="20"/>
            <w:lang w:val="en-GB"/>
          </w:rPr>
          <w:t>As discussed in the next sections,</w:t>
        </w:r>
      </w:hyperlink>
      <w:r w:rsidRPr="00A2171C">
        <w:rPr>
          <w:rFonts w:eastAsia="Times New Roman" w:cs="Times New Roman"/>
          <w:szCs w:val="20"/>
          <w:lang w:val="en-GB"/>
        </w:rPr>
        <w:t xml:space="preserve"> the alterations of the urban blocks have important direct and indirect impacts on the structural response, fire risk, and socio-demographic vulnerabilities of </w:t>
      </w:r>
      <w:r w:rsidRPr="00A2171C">
        <w:rPr>
          <w:rFonts w:eastAsia="Times New Roman" w:cs="Times New Roman"/>
          <w:b/>
          <w:bCs/>
          <w:szCs w:val="20"/>
          <w:lang w:val="en-GB"/>
        </w:rPr>
        <w:t>single buildings</w:t>
      </w:r>
      <w:r w:rsidRPr="00A2171C">
        <w:rPr>
          <w:rFonts w:eastAsia="Times New Roman" w:cs="Times New Roman"/>
          <w:szCs w:val="20"/>
          <w:lang w:val="en-GB"/>
        </w:rPr>
        <w:t xml:space="preserve">, making them more or less vulnerable. </w:t>
      </w:r>
    </w:p>
    <w:p w14:paraId="5EB6EFA5" w14:textId="77777777" w:rsidR="00A46867" w:rsidRPr="00A2171C" w:rsidRDefault="00A46867" w:rsidP="00A46867">
      <w:pPr>
        <w:pStyle w:val="Heading2"/>
        <w:rPr>
          <w:rFonts w:eastAsia="Times New Roman"/>
          <w:i/>
          <w:color w:val="auto"/>
          <w:sz w:val="24"/>
          <w:szCs w:val="24"/>
          <w:lang w:val="en-GB"/>
        </w:rPr>
      </w:pPr>
      <w:r w:rsidRPr="00A2171C">
        <w:rPr>
          <w:rFonts w:eastAsia="Times New Roman"/>
          <w:color w:val="auto"/>
          <w:sz w:val="24"/>
          <w:szCs w:val="24"/>
          <w:lang w:val="en-GB"/>
        </w:rPr>
        <w:t>2.1. Urban layout analysis</w:t>
      </w:r>
    </w:p>
    <w:p w14:paraId="2B147FCF" w14:textId="77777777" w:rsidR="00A46867" w:rsidRPr="00A2171C" w:rsidRDefault="00A46867" w:rsidP="00A46867">
      <w:pPr>
        <w:spacing w:after="0"/>
        <w:rPr>
          <w:rFonts w:eastAsia="Times New Roman" w:cs="Times New Roman"/>
          <w:szCs w:val="20"/>
          <w:lang w:val="en-GB"/>
        </w:rPr>
      </w:pPr>
      <w:r w:rsidRPr="00A2171C">
        <w:rPr>
          <w:rFonts w:eastAsia="Times New Roman" w:cs="Times New Roman"/>
          <w:szCs w:val="20"/>
          <w:lang w:val="en-GB"/>
        </w:rPr>
        <w:t>The first Typical Zone of the Yungay’s quarter presents a regular plot of orthogonal streets and 43 rectangular urban blocks of different dimensions with a territorial extension greater than 370 hectares and a total of 1,229 structural units. The largest urban blocks (</w:t>
      </w:r>
      <m:oMath>
        <m:r>
          <w:rPr>
            <w:rFonts w:ascii="Cambria Math" w:eastAsia="Times New Roman" w:hAnsi="Cambria Math" w:cs="Times New Roman"/>
            <w:szCs w:val="20"/>
            <w:lang w:val="en-GB"/>
          </w:rPr>
          <m:t>~</m:t>
        </m:r>
      </m:oMath>
      <w:r w:rsidRPr="00A2171C">
        <w:rPr>
          <w:rFonts w:eastAsia="Times New Roman" w:cs="Times New Roman"/>
          <w:szCs w:val="20"/>
          <w:lang w:val="en-GB"/>
        </w:rPr>
        <w:t>85m wide and 180-195m long) are located in the north area (up in Figure 2), between the San Pablo and Cathedral streets, while the smaller blocks (</w:t>
      </w:r>
      <m:oMath>
        <m:r>
          <w:rPr>
            <w:rFonts w:ascii="Cambria Math" w:eastAsia="Times New Roman" w:hAnsi="Cambria Math" w:cs="Times New Roman"/>
            <w:szCs w:val="20"/>
            <w:lang w:val="en-GB"/>
          </w:rPr>
          <m:t>~</m:t>
        </m:r>
      </m:oMath>
      <w:r w:rsidRPr="00A2171C">
        <w:rPr>
          <w:rFonts w:eastAsia="Times New Roman" w:cs="Times New Roman"/>
          <w:szCs w:val="20"/>
          <w:lang w:val="en-GB"/>
        </w:rPr>
        <w:t xml:space="preserve">85m wide and 85-125m long) are in the south area, between Catedral and Portales streets. As detected in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Rosas","given":"José","non-dropping-particle":"","parse-names":false,"suffix":""},{"dropping-particle":"","family":"Parcerisa","given":"Josep","non-dropping-particle":"","parse-names":false,"suffix":""}],"editor":[{"dropping-particle":"","family":"Ediciones UC","given":"","non-dropping-particle":"","parse-names":false,"suffix":""}],"id":"ITEM-1","issued":{"date-parts":[["2017"]]},"number-of-pages":"116","title":"El canon republicano y la distancia cinco mil (The republic canon at a distance of five thousand): Santiago 1910 (Spanish Edition)","type":"book"},"uris":["http://www.mendeley.com/documents/?uuid=b6004cb0-fa9e-4f01-a14e-de781c71d2a2"]}],"mendeley":{"formattedCitation":"(Rosas &amp; Parcerisa, 2017)","plainTextFormattedCitation":"(Rosas &amp; Parcerisa, 2017)","previouslyFormattedCitation":"(Rosas &amp; Parcerisa, 2017)"},"properties":{"noteIndex":0},"schema":"https://github.com/citation-style-language/schema/raw/master/csl-citation.json"}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(Rosas &amp; Parcerisa, 2017)</w:t>
      </w:r>
      <w:r w:rsidRPr="00A2171C">
        <w:rPr>
          <w:rFonts w:eastAsia="Times New Roman" w:cs="Times New Roman"/>
          <w:szCs w:val="20"/>
          <w:lang w:val="en-GB"/>
        </w:rPr>
        <w:fldChar w:fldCharType="end"/>
      </w:r>
      <w:r w:rsidRPr="00A2171C">
        <w:rPr>
          <w:rFonts w:eastAsia="Times New Roman" w:cs="Times New Roman"/>
          <w:szCs w:val="20"/>
          <w:lang w:val="en-GB"/>
        </w:rPr>
        <w:t xml:space="preserve">, the Yungay neighbourhood has permanent features (e.g. street and façade are the same, the private is developed inside the house, and the tendency to the horizontality of the heights), and parcelled and metric structures of the lots that constitute compact urban blocks, giving identity and character to this extensive and heterogenous urban area. </w:t>
      </w:r>
    </w:p>
    <w:p w14:paraId="7B0D5748" w14:textId="51090A9D" w:rsidR="00A46867" w:rsidRPr="00A2171C" w:rsidRDefault="00A46867" w:rsidP="00A46867">
      <w:pPr>
        <w:shd w:val="clear" w:color="auto" w:fill="FFFFFF"/>
        <w:spacing w:after="0"/>
        <w:rPr>
          <w:rFonts w:eastAsia="Times New Roman" w:cs="Times New Roman"/>
          <w:szCs w:val="20"/>
          <w:lang w:val="en-GB"/>
        </w:rPr>
      </w:pPr>
      <w:r w:rsidRPr="00A2171C">
        <w:rPr>
          <w:rFonts w:eastAsia="Times New Roman" w:cs="Times New Roman"/>
          <w:szCs w:val="20"/>
          <w:lang w:val="en-GB"/>
        </w:rPr>
        <w:t xml:space="preserve">In the Typical Zone, four main traditional construction typologies are identified: (a) 30% of buildings are adobe masonry with mud mortar, and wooden roof and floors (Pager construction type A1, according to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Jaiswal","given":"K","non-dropping-particle":"","parse-names":false,"suffix":""},{"dropping-particle":"","family":"D'Ayala","given":"D","non-dropping-particle":"","parse-names":false,"suffix":""}],"container-title":"Earthq Apectra","id":"ITEM-1","issue":"3","issued":{"date-parts":[["2011"]]},"page":"2-6","title":"Developing empirical collapse fragility functions for global building","type":"article-journal","volume":"27"},"uris":["http://www.mendeley.com/documents/?uuid=cc0a3282-1324-41ad-9f61-6bd01fd52504"]}],"mendeley":{"formattedCitation":"(Jaiswal &amp; D’Ayala, 2011)","manualFormatting":"Jaiswal &amp; D’Ayala, 2011","plainTextFormattedCitation":"(Jaiswal &amp; D’Ayala, 2011)","previouslyFormattedCitation":"(Jaiswal &amp; D’Ayala, 2011)"},"properties":{"noteIndex":0},"schema":"https://github.com/citation-style-language/schema/raw/master/csl-citation.json"}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Jaiswal &amp; D’Ayala, 2011</w:t>
      </w:r>
      <w:r w:rsidRPr="00A2171C">
        <w:rPr>
          <w:rFonts w:eastAsia="Times New Roman" w:cs="Times New Roman"/>
          <w:szCs w:val="20"/>
          <w:lang w:val="en-GB"/>
        </w:rPr>
        <w:fldChar w:fldCharType="end"/>
      </w:r>
      <w:r w:rsidRPr="00A2171C">
        <w:rPr>
          <w:rFonts w:eastAsia="Times New Roman" w:cs="Times New Roman"/>
          <w:szCs w:val="20"/>
          <w:lang w:val="en-GB"/>
        </w:rPr>
        <w:t xml:space="preserve"> taxonomy); (b) 11% is unreinforced brick masonry with lime mortar (Pager construction type UFB3,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Jaiswal","given":"K","non-dropping-particle":"","parse-names":false,"suffix":""},{"dropping-particle":"","family":"D'Ayala","given":"D","non-dropping-particle":"","parse-names":false,"suffix":""}],"container-title":"Earthq Apectra","id":"ITEM-1","issue":"3","issued":{"date-parts":[["2011"]]},"page":"2-6","title":"Developing empirical collapse fragility functions for global building","type":"article-journal","volume":"27"},"uris":["http://www.mendeley.com/documents/?uuid=cc0a3282-1324-41ad-9f61-6bd01fd52504"]}],"mendeley":{"formattedCitation":"(Jaiswal &amp; D’Ayala, 2011)","manualFormatting":"Jaiswal &amp; D’Ayala, 2011)","plainTextFormattedCitation":"(Jaiswal &amp; D’Ayala, 2011)","previouslyFormattedCitation":"(Jaiswal &amp; D’Ayala, 2011)"},"properties":{"noteIndex":0},"schema":"https://github.com/citation-style-language/schema/raw/master/csl-citation.json"}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Jaiswal &amp; D’Ayala, 2011)</w:t>
      </w:r>
      <w:r w:rsidRPr="00A2171C">
        <w:rPr>
          <w:rFonts w:eastAsia="Times New Roman" w:cs="Times New Roman"/>
          <w:szCs w:val="20"/>
          <w:lang w:val="en-GB"/>
        </w:rPr>
        <w:fldChar w:fldCharType="end"/>
      </w:r>
      <w:r w:rsidRPr="00A2171C">
        <w:rPr>
          <w:rFonts w:eastAsia="Times New Roman" w:cs="Times New Roman"/>
          <w:szCs w:val="20"/>
          <w:lang w:val="en-GB"/>
        </w:rPr>
        <w:t xml:space="preserve">; (c) 5% is </w:t>
      </w:r>
      <w:r w:rsidRPr="00A2171C">
        <w:rPr>
          <w:rFonts w:eastAsia="Times New Roman" w:cs="Times New Roman"/>
          <w:i/>
          <w:szCs w:val="20"/>
          <w:lang w:val="en-GB"/>
        </w:rPr>
        <w:t>adobillo</w:t>
      </w:r>
      <w:r w:rsidRPr="00A2171C">
        <w:rPr>
          <w:rFonts w:eastAsia="Times New Roman" w:cs="Times New Roman"/>
          <w:iCs/>
          <w:szCs w:val="20"/>
          <w:lang w:val="en-GB"/>
        </w:rPr>
        <w:t xml:space="preserve"> structures, </w:t>
      </w:r>
      <w:r w:rsidRPr="00A2171C">
        <w:rPr>
          <w:rFonts w:eastAsia="Times New Roman" w:cs="Times New Roman"/>
          <w:szCs w:val="20"/>
          <w:lang w:val="en-GB"/>
        </w:rPr>
        <w:t xml:space="preserve">timber frame with shaped earthen blocks (about 15 x 60 x 10cm); and (d) 11% of </w:t>
      </w:r>
      <w:r w:rsidRPr="00A2171C">
        <w:rPr>
          <w:rFonts w:eastAsia="Times New Roman" w:cs="Times New Roman"/>
          <w:i/>
          <w:szCs w:val="20"/>
          <w:lang w:val="en-GB"/>
        </w:rPr>
        <w:t>clay</w:t>
      </w:r>
      <w:r w:rsidRPr="00A2171C">
        <w:rPr>
          <w:rFonts w:eastAsia="Times New Roman" w:cs="Times New Roman"/>
          <w:szCs w:val="20"/>
          <w:lang w:val="en-GB"/>
        </w:rPr>
        <w:t>-</w:t>
      </w:r>
      <w:r w:rsidRPr="00A2171C">
        <w:rPr>
          <w:rFonts w:eastAsia="Times New Roman" w:cs="Times New Roman"/>
          <w:i/>
          <w:szCs w:val="20"/>
          <w:lang w:val="en-GB"/>
        </w:rPr>
        <w:t>brick partitions</w:t>
      </w:r>
      <w:r w:rsidRPr="00A2171C">
        <w:rPr>
          <w:rFonts w:eastAsia="Times New Roman" w:cs="Times New Roman"/>
          <w:szCs w:val="20"/>
          <w:lang w:val="en-GB"/>
        </w:rPr>
        <w:t xml:space="preserve"> are wooden frames with infill walls made of brick masonry. A total of 62% of these structures is one-storey, 34% is two-stories, and the 4% is three or four-stories. According to morphological features of the urban area, i.e. shape and composition of the blocks, three types of urban blocks are identified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{"citationItems":[{"id":"ITEM-1","itemData":{"ISBN":"2900222117, 9782900222119","author":[{"dropping-particle":"","family":"Saavedra","given":"Miguel","non-dropping-particle":"","parse-names":false,"suffix":""},{"dropping-particle":"","family":"Starkman","given":"Nathan","non-dropping-particle":"","parse-names":false,"suffix":""}],"edition":"Dirección ","id":"ITEM-1","issued":{"date-parts":[["2000"]]},"number-of-pages":"216","publisher-place":"Santiago, Chile","title":"Santiago Poniente: desarrollo urbano y patrimonio","type":"book"},"uris":["http://www.mendeley.com/documents/?uuid=120ebe6a-b041-4e0d-9d5a-2c14ef10ee9c"]}],"mendeley":{"formattedCitation":"(Saavedra &amp; Starkman, 2000)","plainTextFormattedCitation":"(Saavedra &amp; Starkman, 2000)","previouslyFormattedCitation":"(Saavedra &amp; Starkman, 2000)"},"properties":{"noteIndex":0},"schema":"https://github.com/citation-style-language/schema/raw/master/csl-citation.json"}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(Saavedra &amp; Starkman, 2000)</w:t>
      </w:r>
      <w:r w:rsidRPr="00A2171C">
        <w:rPr>
          <w:rFonts w:eastAsia="Times New Roman" w:cs="Times New Roman"/>
          <w:szCs w:val="20"/>
          <w:lang w:val="en-GB"/>
        </w:rPr>
        <w:fldChar w:fldCharType="end"/>
      </w:r>
      <w:r w:rsidRPr="00A2171C">
        <w:rPr>
          <w:rFonts w:eastAsia="Times New Roman" w:cs="Times New Roman"/>
          <w:szCs w:val="20"/>
          <w:lang w:val="en-GB"/>
        </w:rPr>
        <w:t xml:space="preserve"> as shown in </w:t>
      </w:r>
      <w:r w:rsidRPr="00A2171C">
        <w:rPr>
          <w:rFonts w:eastAsia="Times New Roman" w:cs="Times New Roman"/>
          <w:b/>
          <w:bCs/>
          <w:szCs w:val="20"/>
          <w:lang w:val="en-GB"/>
        </w:rPr>
        <w:fldChar w:fldCharType="begin"/>
      </w:r>
      <w:r w:rsidRPr="00A2171C">
        <w:rPr>
          <w:rFonts w:eastAsia="Times New Roman" w:cs="Times New Roman"/>
          <w:b/>
          <w:bCs/>
          <w:szCs w:val="20"/>
          <w:lang w:val="en-GB"/>
        </w:rPr>
        <w:instrText xml:space="preserve"> REF _Ref116578221 \h </w:instrText>
      </w:r>
      <w:r w:rsidR="008F20B4" w:rsidRPr="00A2171C">
        <w:rPr>
          <w:rFonts w:eastAsia="Times New Roman" w:cs="Times New Roman"/>
          <w:b/>
          <w:bCs/>
          <w:szCs w:val="20"/>
          <w:lang w:val="en-GB"/>
        </w:rPr>
        <w:instrText xml:space="preserve"> \* MERGEFORMAT </w:instrText>
      </w:r>
      <w:r w:rsidRPr="00A2171C">
        <w:rPr>
          <w:rFonts w:eastAsia="Times New Roman" w:cs="Times New Roman"/>
          <w:b/>
          <w:bCs/>
          <w:szCs w:val="20"/>
          <w:lang w:val="en-GB"/>
        </w:rPr>
      </w:r>
      <w:r w:rsidRPr="00A2171C">
        <w:rPr>
          <w:rFonts w:eastAsia="Times New Roman" w:cs="Times New Roman"/>
          <w:b/>
          <w:bCs/>
          <w:szCs w:val="20"/>
          <w:lang w:val="en-GB"/>
        </w:rPr>
        <w:fldChar w:fldCharType="separate"/>
      </w:r>
      <w:r w:rsidR="00C20049" w:rsidRPr="00A2171C">
        <w:rPr>
          <w:b/>
          <w:bCs/>
          <w:lang w:val="en-US"/>
        </w:rPr>
        <w:t xml:space="preserve">Figure </w:t>
      </w:r>
      <w:r w:rsidR="00C20049" w:rsidRPr="00A2171C">
        <w:rPr>
          <w:b/>
          <w:bCs/>
          <w:noProof/>
          <w:lang w:val="en-US"/>
        </w:rPr>
        <w:t>2</w:t>
      </w:r>
      <w:r w:rsidRPr="00A2171C">
        <w:rPr>
          <w:rFonts w:eastAsia="Times New Roman" w:cs="Times New Roman"/>
          <w:b/>
          <w:bCs/>
          <w:szCs w:val="20"/>
          <w:lang w:val="en-GB"/>
        </w:rPr>
        <w:fldChar w:fldCharType="end"/>
      </w:r>
      <w:r w:rsidR="00AD0257" w:rsidRPr="00A2171C">
        <w:rPr>
          <w:rFonts w:eastAsia="Times New Roman" w:cs="Times New Roman"/>
          <w:b/>
          <w:bCs/>
          <w:szCs w:val="20"/>
          <w:lang w:val="en-GB"/>
        </w:rPr>
        <w:t xml:space="preserve"> </w:t>
      </w:r>
      <w:r w:rsidRPr="00A2171C">
        <w:rPr>
          <w:rFonts w:eastAsia="Times New Roman" w:cs="Times New Roman"/>
          <w:b/>
          <w:bCs/>
          <w:szCs w:val="20"/>
          <w:lang w:val="en-GB"/>
        </w:rPr>
        <w:t>(a) and (b)</w:t>
      </w:r>
      <w:r w:rsidRPr="00A2171C">
        <w:rPr>
          <w:rFonts w:eastAsia="Times New Roman" w:cs="Times New Roman"/>
          <w:szCs w:val="20"/>
          <w:lang w:val="en-GB"/>
        </w:rPr>
        <w:t xml:space="preserve">: (i) closed [C]; (ii) penetrated [P]; and (iii) divided [D]. Each block combines different sizes: (a) a small lot [S] has 6-9m wide </w:t>
      </w:r>
      <w:r w:rsidRPr="00A2171C">
        <w:rPr>
          <w:rFonts w:eastAsia="Times New Roman" w:cs="Times New Roman"/>
          <w:szCs w:val="20"/>
          <w:lang w:val="en-GB"/>
        </w:rPr>
        <w:lastRenderedPageBreak/>
        <w:t xml:space="preserve">façades and 8-25m long transverse walls; (b) a large lot [L] has 7-15m wide façades and 25-40-60m long transverse walls; and (c) a deep lot [D] has facades 7-15m wide and 25-40-60m long transverse walls. </w:t>
      </w:r>
    </w:p>
    <w:tbl>
      <w:tblPr>
        <w:tblW w:w="5000" w:type="pct"/>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400" w:firstRow="0" w:lastRow="0" w:firstColumn="0" w:lastColumn="0" w:noHBand="0" w:noVBand="1"/>
      </w:tblPr>
      <w:tblGrid>
        <w:gridCol w:w="4023"/>
        <w:gridCol w:w="4805"/>
      </w:tblGrid>
      <w:tr w:rsidR="00A2171C" w:rsidRPr="00A2171C" w14:paraId="381230B7" w14:textId="77777777" w:rsidTr="008C0AF2">
        <w:trPr>
          <w:jc w:val="center"/>
        </w:trPr>
        <w:tc>
          <w:tcPr>
            <w:tcW w:w="2282" w:type="pct"/>
          </w:tcPr>
          <w:p w14:paraId="54ACA19C" w14:textId="77777777" w:rsidR="000772EE" w:rsidRPr="00A2171C" w:rsidRDefault="000772EE" w:rsidP="008C0AF2">
            <w:pPr>
              <w:spacing w:after="0"/>
              <w:rPr>
                <w:rFonts w:eastAsia="Times New Roman" w:cs="Times New Roman"/>
                <w:sz w:val="10"/>
                <w:szCs w:val="10"/>
                <w:lang w:val="en-US"/>
              </w:rPr>
            </w:pPr>
          </w:p>
          <w:p w14:paraId="7DC0B46F" w14:textId="77777777" w:rsidR="000772EE" w:rsidRPr="00A2171C" w:rsidRDefault="000772EE" w:rsidP="008C0AF2">
            <w:pPr>
              <w:spacing w:after="0"/>
              <w:rPr>
                <w:rFonts w:eastAsia="Times New Roman" w:cs="Times New Roman"/>
                <w:szCs w:val="20"/>
              </w:rPr>
            </w:pPr>
            <w:r w:rsidRPr="00A2171C">
              <w:rPr>
                <w:rFonts w:eastAsia="Times New Roman" w:cs="Times New Roman"/>
                <w:noProof/>
                <w:szCs w:val="20"/>
              </w:rPr>
              <w:drawing>
                <wp:inline distT="0" distB="0" distL="0" distR="0" wp14:anchorId="314C7813" wp14:editId="5DA74126">
                  <wp:extent cx="2497592" cy="2331085"/>
                  <wp:effectExtent l="0" t="0" r="0" b="0"/>
                  <wp:docPr id="22" name="image1.jpg" descr="Matrix Blocks-Lots"/>
                  <wp:cNvGraphicFramePr/>
                  <a:graphic xmlns:a="http://schemas.openxmlformats.org/drawingml/2006/main">
                    <a:graphicData uri="http://schemas.openxmlformats.org/drawingml/2006/picture">
                      <pic:pic xmlns:pic="http://schemas.openxmlformats.org/drawingml/2006/picture">
                        <pic:nvPicPr>
                          <pic:cNvPr id="0" name="image1.jpg" descr="Matrix Blocks-Lots"/>
                          <pic:cNvPicPr preferRelativeResize="0"/>
                        </pic:nvPicPr>
                        <pic:blipFill>
                          <a:blip r:embed="rId15"/>
                          <a:srcRect/>
                          <a:stretch>
                            <a:fillRect/>
                          </a:stretch>
                        </pic:blipFill>
                        <pic:spPr>
                          <a:xfrm>
                            <a:off x="0" y="0"/>
                            <a:ext cx="2505875" cy="2338816"/>
                          </a:xfrm>
                          <a:prstGeom prst="rect">
                            <a:avLst/>
                          </a:prstGeom>
                          <a:ln/>
                        </pic:spPr>
                      </pic:pic>
                    </a:graphicData>
                  </a:graphic>
                </wp:inline>
              </w:drawing>
            </w:r>
          </w:p>
        </w:tc>
        <w:tc>
          <w:tcPr>
            <w:tcW w:w="2718" w:type="pct"/>
          </w:tcPr>
          <w:p w14:paraId="64D71390" w14:textId="77777777" w:rsidR="000772EE" w:rsidRPr="00A2171C" w:rsidRDefault="000772EE" w:rsidP="008C0AF2">
            <w:pPr>
              <w:spacing w:after="0"/>
              <w:rPr>
                <w:rFonts w:eastAsia="Times New Roman" w:cs="Times New Roman"/>
                <w:sz w:val="10"/>
                <w:szCs w:val="10"/>
              </w:rPr>
            </w:pPr>
          </w:p>
          <w:p w14:paraId="2A16644A" w14:textId="77777777" w:rsidR="000772EE" w:rsidRPr="00A2171C" w:rsidRDefault="000772EE" w:rsidP="008C0AF2">
            <w:pPr>
              <w:spacing w:after="0"/>
              <w:rPr>
                <w:rFonts w:eastAsia="Times New Roman" w:cs="Times New Roman"/>
                <w:szCs w:val="20"/>
              </w:rPr>
            </w:pPr>
            <w:r w:rsidRPr="00A2171C">
              <w:rPr>
                <w:rFonts w:eastAsia="Times New Roman" w:cs="Times New Roman"/>
                <w:b/>
                <w:noProof/>
                <w:szCs w:val="20"/>
              </w:rPr>
              <w:drawing>
                <wp:inline distT="0" distB="0" distL="0" distR="0" wp14:anchorId="747B3D3F" wp14:editId="36E9900D">
                  <wp:extent cx="3004492" cy="2331218"/>
                  <wp:effectExtent l="0" t="0" r="5715" b="0"/>
                  <wp:docPr id="23" name="image4.jpg" descr="Imagen que contiene texto, juego&#10;&#10;Descripción generada automáticamente"/>
                  <wp:cNvGraphicFramePr/>
                  <a:graphic xmlns:a="http://schemas.openxmlformats.org/drawingml/2006/main">
                    <a:graphicData uri="http://schemas.openxmlformats.org/drawingml/2006/picture">
                      <pic:pic xmlns:pic="http://schemas.openxmlformats.org/drawingml/2006/picture">
                        <pic:nvPicPr>
                          <pic:cNvPr id="318" name="image4.jpg" descr="Imagen que contiene texto, juego&#10;&#10;Descripción generada automáticamente"/>
                          <pic:cNvPicPr preferRelativeResize="0"/>
                        </pic:nvPicPr>
                        <pic:blipFill>
                          <a:blip r:embed="rId16"/>
                          <a:srcRect/>
                          <a:stretch>
                            <a:fillRect/>
                          </a:stretch>
                        </pic:blipFill>
                        <pic:spPr>
                          <a:xfrm>
                            <a:off x="0" y="0"/>
                            <a:ext cx="3014231" cy="2338775"/>
                          </a:xfrm>
                          <a:prstGeom prst="rect">
                            <a:avLst/>
                          </a:prstGeom>
                          <a:ln/>
                        </pic:spPr>
                      </pic:pic>
                    </a:graphicData>
                  </a:graphic>
                </wp:inline>
              </w:drawing>
            </w:r>
          </w:p>
        </w:tc>
      </w:tr>
      <w:tr w:rsidR="00A2171C" w:rsidRPr="00A2171C" w14:paraId="141C7514" w14:textId="77777777" w:rsidTr="008C0AF2">
        <w:trPr>
          <w:jc w:val="center"/>
        </w:trPr>
        <w:tc>
          <w:tcPr>
            <w:tcW w:w="2282" w:type="pct"/>
          </w:tcPr>
          <w:p w14:paraId="2CE3C169" w14:textId="77777777" w:rsidR="000772EE" w:rsidRPr="00A2171C" w:rsidRDefault="000772EE" w:rsidP="008C0AF2">
            <w:pPr>
              <w:spacing w:after="0"/>
              <w:jc w:val="center"/>
              <w:rPr>
                <w:rFonts w:eastAsia="Times New Roman" w:cs="Times New Roman"/>
                <w:szCs w:val="20"/>
              </w:rPr>
            </w:pPr>
            <w:r w:rsidRPr="00A2171C">
              <w:rPr>
                <w:rFonts w:eastAsia="Times New Roman" w:cs="Times New Roman"/>
                <w:szCs w:val="20"/>
              </w:rPr>
              <w:t>(a)</w:t>
            </w:r>
          </w:p>
        </w:tc>
        <w:tc>
          <w:tcPr>
            <w:tcW w:w="2718" w:type="pct"/>
          </w:tcPr>
          <w:p w14:paraId="387FA652" w14:textId="77777777" w:rsidR="000772EE" w:rsidRPr="00A2171C" w:rsidRDefault="000772EE" w:rsidP="008C0AF2">
            <w:pPr>
              <w:spacing w:after="0"/>
              <w:jc w:val="center"/>
              <w:rPr>
                <w:rFonts w:eastAsia="Times New Roman" w:cs="Times New Roman"/>
                <w:szCs w:val="20"/>
              </w:rPr>
            </w:pPr>
            <w:r w:rsidRPr="00A2171C">
              <w:rPr>
                <w:rFonts w:eastAsia="Times New Roman" w:cs="Times New Roman"/>
                <w:szCs w:val="20"/>
              </w:rPr>
              <w:t>(b)</w:t>
            </w:r>
          </w:p>
        </w:tc>
      </w:tr>
      <w:tr w:rsidR="00A2171C" w:rsidRPr="00A2171C" w14:paraId="5CD3A841" w14:textId="77777777" w:rsidTr="008C0AF2">
        <w:trPr>
          <w:jc w:val="center"/>
        </w:trPr>
        <w:tc>
          <w:tcPr>
            <w:tcW w:w="5000" w:type="pct"/>
            <w:gridSpan w:val="2"/>
          </w:tcPr>
          <w:p w14:paraId="22C43937" w14:textId="77777777" w:rsidR="000772EE" w:rsidRPr="00A2171C" w:rsidRDefault="000772EE" w:rsidP="008C0AF2">
            <w:pPr>
              <w:spacing w:after="0" w:line="240" w:lineRule="auto"/>
              <w:rPr>
                <w:szCs w:val="20"/>
              </w:rPr>
            </w:pPr>
            <w:r w:rsidRPr="00A2171C">
              <w:rPr>
                <w:noProof/>
                <w:szCs w:val="20"/>
              </w:rPr>
              <w:drawing>
                <wp:inline distT="0" distB="0" distL="0" distR="0" wp14:anchorId="3948076F" wp14:editId="1B51F675">
                  <wp:extent cx="5495925" cy="1343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038" b="16071"/>
                          <a:stretch/>
                        </pic:blipFill>
                        <pic:spPr bwMode="auto">
                          <a:xfrm>
                            <a:off x="0" y="0"/>
                            <a:ext cx="5495925" cy="1343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171C" w:rsidRPr="00A2171C" w14:paraId="4ACB8D1D" w14:textId="77777777" w:rsidTr="008C0AF2">
        <w:trPr>
          <w:jc w:val="center"/>
        </w:trPr>
        <w:tc>
          <w:tcPr>
            <w:tcW w:w="5000" w:type="pct"/>
            <w:gridSpan w:val="2"/>
          </w:tcPr>
          <w:p w14:paraId="3EEAA513" w14:textId="77777777" w:rsidR="000772EE" w:rsidRPr="00A2171C" w:rsidRDefault="000772EE" w:rsidP="008C0AF2">
            <w:pPr>
              <w:keepNext/>
              <w:spacing w:after="0"/>
              <w:jc w:val="center"/>
              <w:rPr>
                <w:rFonts w:eastAsia="Times New Roman" w:cs="Times New Roman"/>
                <w:szCs w:val="20"/>
              </w:rPr>
            </w:pPr>
            <w:r w:rsidRPr="00A2171C">
              <w:rPr>
                <w:rFonts w:eastAsia="Times New Roman" w:cs="Times New Roman"/>
                <w:szCs w:val="20"/>
              </w:rPr>
              <w:t>(c)</w:t>
            </w:r>
          </w:p>
        </w:tc>
      </w:tr>
    </w:tbl>
    <w:p w14:paraId="7DF168C0" w14:textId="23533365" w:rsidR="000772EE" w:rsidRPr="00A2171C" w:rsidRDefault="000772EE" w:rsidP="000772EE">
      <w:pPr>
        <w:pStyle w:val="Caption"/>
        <w:rPr>
          <w:rFonts w:eastAsia="Times New Roman" w:cs="Times New Roman"/>
          <w:color w:val="auto"/>
          <w:szCs w:val="20"/>
          <w:lang w:val="en-GB"/>
        </w:rPr>
      </w:pPr>
      <w:bookmarkStart w:id="7" w:name="_Ref116578221"/>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2</w:t>
      </w:r>
      <w:r w:rsidRPr="00A2171C">
        <w:rPr>
          <w:noProof/>
          <w:color w:val="auto"/>
        </w:rPr>
        <w:fldChar w:fldCharType="end"/>
      </w:r>
      <w:bookmarkEnd w:id="7"/>
      <w:r w:rsidRPr="00A2171C">
        <w:rPr>
          <w:color w:val="auto"/>
          <w:lang w:val="en-US"/>
        </w:rPr>
        <w:t>:</w:t>
      </w:r>
      <w:r w:rsidRPr="00A2171C">
        <w:rPr>
          <w:color w:val="auto"/>
          <w:sz w:val="20"/>
          <w:szCs w:val="20"/>
          <w:lang w:val="en-GB"/>
        </w:rPr>
        <w:t xml:space="preserve"> </w:t>
      </w:r>
      <w:r w:rsidR="00A433A3" w:rsidRPr="00A2171C">
        <w:rPr>
          <w:color w:val="auto"/>
          <w:sz w:val="20"/>
          <w:szCs w:val="20"/>
          <w:lang w:val="en-GB"/>
        </w:rPr>
        <w:t>(</w:t>
      </w:r>
      <w:r w:rsidRPr="00A2171C">
        <w:rPr>
          <w:rFonts w:eastAsia="Times New Roman" w:cs="Times New Roman"/>
          <w:color w:val="auto"/>
          <w:sz w:val="20"/>
          <w:szCs w:val="20"/>
          <w:lang w:val="en-GB"/>
        </w:rPr>
        <w:t>a</w:t>
      </w:r>
      <w:r w:rsidR="00A433A3" w:rsidRPr="00A2171C">
        <w:rPr>
          <w:rFonts w:eastAsia="Times New Roman" w:cs="Times New Roman"/>
          <w:color w:val="auto"/>
          <w:sz w:val="20"/>
          <w:szCs w:val="20"/>
          <w:lang w:val="en-GB"/>
        </w:rPr>
        <w:t>)</w:t>
      </w:r>
      <w:r w:rsidRPr="00A2171C">
        <w:rPr>
          <w:rFonts w:eastAsia="Times New Roman" w:cs="Times New Roman"/>
          <w:color w:val="auto"/>
          <w:sz w:val="20"/>
          <w:szCs w:val="20"/>
          <w:lang w:val="en-GB"/>
        </w:rPr>
        <w:t xml:space="preserve"> Matrix Yungay urban structure: block types in columns (closed, penetrated, divided); and lot types in rows (small, large and small lots, and deep and small lots); </w:t>
      </w:r>
      <w:r w:rsidR="00A433A3" w:rsidRPr="00A2171C">
        <w:rPr>
          <w:rFonts w:eastAsia="Times New Roman" w:cs="Times New Roman"/>
          <w:color w:val="auto"/>
          <w:sz w:val="20"/>
          <w:szCs w:val="20"/>
          <w:lang w:val="en-GB"/>
        </w:rPr>
        <w:t>(</w:t>
      </w:r>
      <w:r w:rsidRPr="00A2171C">
        <w:rPr>
          <w:rFonts w:eastAsia="Times New Roman" w:cs="Times New Roman"/>
          <w:color w:val="auto"/>
          <w:sz w:val="20"/>
          <w:szCs w:val="20"/>
          <w:lang w:val="en-GB"/>
        </w:rPr>
        <w:t>b</w:t>
      </w:r>
      <w:r w:rsidR="00A433A3" w:rsidRPr="00A2171C">
        <w:rPr>
          <w:rFonts w:eastAsia="Times New Roman" w:cs="Times New Roman"/>
          <w:color w:val="auto"/>
          <w:sz w:val="20"/>
          <w:szCs w:val="20"/>
          <w:lang w:val="en-GB"/>
        </w:rPr>
        <w:t>)</w:t>
      </w:r>
      <w:r w:rsidRPr="00A2171C">
        <w:rPr>
          <w:rFonts w:eastAsia="Times New Roman" w:cs="Times New Roman"/>
          <w:color w:val="auto"/>
          <w:sz w:val="20"/>
          <w:szCs w:val="20"/>
          <w:lang w:val="en-GB"/>
        </w:rPr>
        <w:t xml:space="preserve"> Yungay urban structure compound by block types (closed, penetrated, divided); and lot types (small, large and small lots, and deep and small lots); and </w:t>
      </w:r>
      <w:r w:rsidR="00F43021" w:rsidRPr="00A2171C">
        <w:rPr>
          <w:rFonts w:eastAsia="Times New Roman" w:cs="Times New Roman"/>
          <w:color w:val="auto"/>
          <w:sz w:val="20"/>
          <w:szCs w:val="20"/>
          <w:lang w:val="en-GB"/>
        </w:rPr>
        <w:t>(</w:t>
      </w:r>
      <w:r w:rsidRPr="00A2171C">
        <w:rPr>
          <w:rFonts w:eastAsia="Times New Roman" w:cs="Times New Roman"/>
          <w:bCs/>
          <w:color w:val="auto"/>
          <w:sz w:val="20"/>
          <w:szCs w:val="20"/>
          <w:lang w:val="en-GB"/>
        </w:rPr>
        <w:t>c</w:t>
      </w:r>
      <w:r w:rsidR="00F43021" w:rsidRPr="00A2171C">
        <w:rPr>
          <w:rFonts w:eastAsia="Times New Roman" w:cs="Times New Roman"/>
          <w:b/>
          <w:color w:val="auto"/>
          <w:sz w:val="20"/>
          <w:szCs w:val="20"/>
          <w:lang w:val="en-GB"/>
        </w:rPr>
        <w:t>)</w:t>
      </w:r>
      <w:r w:rsidRPr="00A2171C">
        <w:rPr>
          <w:rFonts w:eastAsia="Times New Roman" w:cs="Times New Roman"/>
          <w:color w:val="auto"/>
          <w:sz w:val="20"/>
          <w:szCs w:val="20"/>
          <w:lang w:val="en-GB"/>
        </w:rPr>
        <w:t xml:space="preserve"> photos of block types (closed, penetrated, divided</w:t>
      </w:r>
      <w:r w:rsidR="00F43021" w:rsidRPr="00A2171C">
        <w:rPr>
          <w:rFonts w:eastAsia="Times New Roman" w:cs="Times New Roman"/>
          <w:color w:val="auto"/>
          <w:sz w:val="20"/>
          <w:szCs w:val="20"/>
          <w:lang w:val="en-GB"/>
        </w:rPr>
        <w:t>)</w:t>
      </w:r>
      <w:r w:rsidRPr="00A2171C">
        <w:rPr>
          <w:rFonts w:eastAsia="Times New Roman" w:cs="Times New Roman"/>
          <w:color w:val="auto"/>
          <w:sz w:val="20"/>
          <w:szCs w:val="20"/>
          <w:lang w:val="en-GB"/>
        </w:rPr>
        <w:t>.</w:t>
      </w:r>
    </w:p>
    <w:p w14:paraId="49DA6941" w14:textId="163B234F" w:rsidR="00A46867" w:rsidRPr="00A2171C" w:rsidRDefault="00A46867" w:rsidP="00A46867">
      <w:pPr>
        <w:spacing w:before="240" w:after="0"/>
        <w:rPr>
          <w:rFonts w:eastAsia="Times New Roman" w:cs="Times New Roman"/>
          <w:szCs w:val="20"/>
          <w:lang w:val="en-GB"/>
        </w:rPr>
      </w:pPr>
      <w:r w:rsidRPr="00A2171C">
        <w:rPr>
          <w:rFonts w:eastAsia="Times New Roman" w:cs="Times New Roman"/>
          <w:szCs w:val="20"/>
          <w:lang w:val="en-GB"/>
        </w:rPr>
        <w:t xml:space="preserve">The </w:t>
      </w:r>
      <w:r w:rsidRPr="00A2171C">
        <w:rPr>
          <w:rFonts w:eastAsia="Times New Roman" w:cs="Times New Roman"/>
          <w:i/>
          <w:szCs w:val="20"/>
          <w:lang w:val="en-GB"/>
        </w:rPr>
        <w:t xml:space="preserve">closed block </w:t>
      </w:r>
      <w:r w:rsidRPr="00A2171C">
        <w:rPr>
          <w:rFonts w:eastAsia="Times New Roman" w:cs="Times New Roman"/>
          <w:szCs w:val="20"/>
          <w:lang w:val="en-GB"/>
        </w:rPr>
        <w:t>[C] (</w:t>
      </w:r>
      <w:r w:rsidRPr="00A2171C">
        <w:rPr>
          <w:rFonts w:eastAsia="Times New Roman" w:cs="Times New Roman"/>
          <w:szCs w:val="20"/>
          <w:lang w:val="en-GB"/>
        </w:rPr>
        <w:fldChar w:fldCharType="begin"/>
      </w:r>
      <w:r w:rsidRPr="00A2171C">
        <w:rPr>
          <w:rFonts w:eastAsia="Times New Roman" w:cs="Times New Roman"/>
          <w:szCs w:val="20"/>
          <w:lang w:val="en-GB"/>
        </w:rPr>
        <w:instrText xml:space="preserve"> REF _Ref116578221 \h </w:instrText>
      </w:r>
      <w:r w:rsidR="000772EE" w:rsidRPr="00A2171C">
        <w:rPr>
          <w:rFonts w:eastAsia="Times New Roman" w:cs="Times New Roman"/>
          <w:szCs w:val="20"/>
          <w:lang w:val="en-GB"/>
        </w:rPr>
        <w:instrText xml:space="preserve"> \* MERGEFORMAT </w:instrText>
      </w:r>
      <w:r w:rsidRPr="00A2171C">
        <w:rPr>
          <w:rFonts w:eastAsia="Times New Roman" w:cs="Times New Roman"/>
          <w:szCs w:val="20"/>
          <w:lang w:val="en-GB"/>
        </w:rPr>
      </w:r>
      <w:r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2</w:t>
      </w:r>
      <w:r w:rsidRPr="00A2171C">
        <w:rPr>
          <w:rFonts w:eastAsia="Times New Roman" w:cs="Times New Roman"/>
          <w:szCs w:val="20"/>
          <w:lang w:val="en-GB"/>
        </w:rPr>
        <w:fldChar w:fldCharType="end"/>
      </w:r>
      <w:r w:rsidRPr="00A2171C">
        <w:rPr>
          <w:rFonts w:eastAsia="Times New Roman" w:cs="Times New Roman"/>
          <w:szCs w:val="20"/>
          <w:lang w:val="en-GB"/>
        </w:rPr>
        <w:t>b)</w:t>
      </w:r>
      <w:r w:rsidRPr="00A2171C" w:rsidDel="00B97957">
        <w:rPr>
          <w:rFonts w:eastAsia="Times New Roman" w:cs="Times New Roman"/>
          <w:szCs w:val="20"/>
          <w:lang w:val="en-GB"/>
        </w:rPr>
        <w:t xml:space="preserve"> </w:t>
      </w:r>
      <w:r w:rsidRPr="00A2171C">
        <w:rPr>
          <w:rFonts w:eastAsia="Times New Roman" w:cs="Times New Roman"/>
          <w:szCs w:val="20"/>
          <w:lang w:val="en-GB"/>
        </w:rPr>
        <w:t xml:space="preserve">has façades contiguously arranged and with a direct building access from the public area. They are characterized by heterogeneous Structural Units (SUs) of different ages, with or without continuity, and with an elongated rectangular-shape, i.e.: (a) diachronic (built in different historical context) and (b) synchronic (built in the same historical context). The adjacent SUs are interconnected by wall-to-wall and roof-to-wall connections, depending on their evolutionary process. The Yungay’s neighborhood has 29 closed blocks corresponding to the 67% of blocks. </w:t>
      </w:r>
      <w:r w:rsidRPr="00A2171C">
        <w:rPr>
          <w:rFonts w:eastAsia="Times New Roman" w:cs="Times New Roman"/>
          <w:i/>
          <w:szCs w:val="20"/>
          <w:lang w:val="en-GB"/>
        </w:rPr>
        <w:t>The penetrated blocks</w:t>
      </w:r>
      <w:r w:rsidRPr="00A2171C">
        <w:rPr>
          <w:rFonts w:eastAsia="Times New Roman" w:cs="Times New Roman"/>
          <w:szCs w:val="20"/>
          <w:lang w:val="en-GB"/>
        </w:rPr>
        <w:t xml:space="preserve"> [P] derive from a closed block alteration due to the introduction of </w:t>
      </w:r>
      <w:r w:rsidRPr="00A2171C">
        <w:rPr>
          <w:rFonts w:eastAsia="Times New Roman" w:cs="Times New Roman"/>
          <w:i/>
          <w:szCs w:val="20"/>
          <w:lang w:val="en-GB"/>
        </w:rPr>
        <w:t>Cités</w:t>
      </w:r>
      <w:r w:rsidRPr="00A2171C">
        <w:rPr>
          <w:rFonts w:eastAsia="Times New Roman" w:cs="Times New Roman"/>
          <w:szCs w:val="20"/>
          <w:lang w:val="en-GB"/>
        </w:rPr>
        <w:t xml:space="preserve">. </w:t>
      </w:r>
      <w:r w:rsidRPr="00A2171C">
        <w:rPr>
          <w:rFonts w:eastAsia="Times New Roman" w:cs="Times New Roman"/>
          <w:i/>
          <w:szCs w:val="20"/>
          <w:lang w:val="en-GB"/>
        </w:rPr>
        <w:t xml:space="preserve">Cités </w:t>
      </w:r>
      <w:r w:rsidRPr="00A2171C">
        <w:rPr>
          <w:rFonts w:eastAsia="Times New Roman" w:cs="Times New Roman"/>
          <w:szCs w:val="20"/>
          <w:lang w:val="en-GB"/>
        </w:rPr>
        <w:t>correspond to a group of aggregate dwellings (land occupation between 70-90%) that fragments a single deep lot with several houses organized around one central or lateral alley of width 1.5m to 6m. This architectural typology emerged in the 20</w:t>
      </w:r>
      <w:r w:rsidRPr="00A2171C">
        <w:rPr>
          <w:rFonts w:eastAsia="Times New Roman" w:cs="Times New Roman"/>
          <w:szCs w:val="20"/>
          <w:vertAlign w:val="superscript"/>
          <w:lang w:val="en-GB"/>
        </w:rPr>
        <w:t>th</w:t>
      </w:r>
      <w:r w:rsidRPr="00A2171C">
        <w:rPr>
          <w:rFonts w:eastAsia="Times New Roman" w:cs="Times New Roman"/>
          <w:szCs w:val="20"/>
          <w:lang w:val="en-GB"/>
        </w:rPr>
        <w:t xml:space="preserve"> century in response to housing problems with the intention of applying new modern ideas of hygiene and to densify the existing areas instead of building new ones. Currently, the neighbourhood has 8 penetrated blocks and 10 </w:t>
      </w:r>
      <w:r w:rsidRPr="00A2171C">
        <w:rPr>
          <w:rFonts w:eastAsia="Times New Roman" w:cs="Times New Roman"/>
          <w:i/>
          <w:szCs w:val="20"/>
          <w:lang w:val="en-GB"/>
        </w:rPr>
        <w:t xml:space="preserve">Cités </w:t>
      </w:r>
      <w:r w:rsidRPr="00A2171C">
        <w:rPr>
          <w:rFonts w:eastAsia="Times New Roman" w:cs="Times New Roman"/>
          <w:szCs w:val="20"/>
          <w:lang w:val="en-GB"/>
        </w:rPr>
        <w:t>(</w:t>
      </w:r>
      <w:r w:rsidRPr="00A2171C">
        <w:rPr>
          <w:rFonts w:eastAsia="Times New Roman" w:cs="Times New Roman"/>
          <w:szCs w:val="20"/>
          <w:lang w:val="en-GB"/>
        </w:rPr>
        <w:fldChar w:fldCharType="begin"/>
      </w:r>
      <w:r w:rsidRPr="00A2171C">
        <w:rPr>
          <w:rFonts w:eastAsia="Times New Roman" w:cs="Times New Roman"/>
          <w:szCs w:val="20"/>
          <w:lang w:val="en-GB"/>
        </w:rPr>
        <w:instrText xml:space="preserve"> REF _Ref116578221 \h </w:instrText>
      </w:r>
      <w:r w:rsidR="000772EE" w:rsidRPr="00A2171C">
        <w:rPr>
          <w:rFonts w:eastAsia="Times New Roman" w:cs="Times New Roman"/>
          <w:szCs w:val="20"/>
          <w:lang w:val="en-GB"/>
        </w:rPr>
        <w:instrText xml:space="preserve"> \* MERGEFORMAT </w:instrText>
      </w:r>
      <w:r w:rsidRPr="00A2171C">
        <w:rPr>
          <w:rFonts w:eastAsia="Times New Roman" w:cs="Times New Roman"/>
          <w:szCs w:val="20"/>
          <w:lang w:val="en-GB"/>
        </w:rPr>
      </w:r>
      <w:r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2</w:t>
      </w:r>
      <w:r w:rsidRPr="00A2171C">
        <w:rPr>
          <w:rFonts w:eastAsia="Times New Roman" w:cs="Times New Roman"/>
          <w:szCs w:val="20"/>
          <w:lang w:val="en-GB"/>
        </w:rPr>
        <w:fldChar w:fldCharType="end"/>
      </w:r>
      <w:r w:rsidRPr="00A2171C">
        <w:rPr>
          <w:rFonts w:eastAsia="Times New Roman" w:cs="Times New Roman"/>
          <w:szCs w:val="20"/>
          <w:lang w:val="en-GB"/>
        </w:rPr>
        <w:fldChar w:fldCharType="begin"/>
      </w:r>
      <w:r w:rsidRPr="00A2171C">
        <w:rPr>
          <w:rFonts w:eastAsia="Times New Roman" w:cs="Times New Roman"/>
          <w:szCs w:val="20"/>
          <w:lang w:val="en-GB"/>
        </w:rPr>
        <w:instrText xml:space="preserve"> REF _Ref89267091 \h  \* MERGEFORMAT </w:instrText>
      </w:r>
      <w:r w:rsidRPr="00A2171C">
        <w:rPr>
          <w:rFonts w:eastAsia="Times New Roman" w:cs="Times New Roman"/>
          <w:szCs w:val="20"/>
          <w:lang w:val="en-GB"/>
        </w:rPr>
      </w:r>
      <w:r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5</w:t>
      </w:r>
      <w:r w:rsidR="00C20049" w:rsidRPr="00A2171C">
        <w:rPr>
          <w:lang w:val="en-US"/>
        </w:rPr>
        <w:t xml:space="preserve">: </w:t>
      </w:r>
      <w:r w:rsidRPr="00A2171C">
        <w:rPr>
          <w:rFonts w:eastAsia="Times New Roman" w:cs="Times New Roman"/>
          <w:szCs w:val="20"/>
          <w:lang w:val="en-GB"/>
        </w:rPr>
        <w:fldChar w:fldCharType="end"/>
      </w:r>
      <w:r w:rsidRPr="00A2171C">
        <w:rPr>
          <w:rFonts w:eastAsia="Times New Roman" w:cs="Times New Roman"/>
          <w:szCs w:val="20"/>
          <w:lang w:val="en-GB"/>
        </w:rPr>
        <w:t xml:space="preserve">b), of which five are deep-small lots [P/D+S] and three are large-small parcels [P/L+S]. The </w:t>
      </w:r>
      <w:r w:rsidRPr="00A2171C">
        <w:rPr>
          <w:rFonts w:eastAsia="Times New Roman" w:cs="Times New Roman"/>
          <w:i/>
          <w:szCs w:val="20"/>
          <w:lang w:val="en-GB"/>
        </w:rPr>
        <w:t xml:space="preserve">divided blocks </w:t>
      </w:r>
      <w:r w:rsidRPr="00A2171C">
        <w:rPr>
          <w:rFonts w:eastAsia="Times New Roman" w:cs="Times New Roman"/>
          <w:szCs w:val="20"/>
          <w:lang w:val="en-GB"/>
        </w:rPr>
        <w:t>[D]</w:t>
      </w:r>
      <w:r w:rsidRPr="00A2171C">
        <w:rPr>
          <w:rFonts w:eastAsia="Times New Roman" w:cs="Times New Roman"/>
          <w:i/>
          <w:szCs w:val="20"/>
          <w:lang w:val="en-GB"/>
        </w:rPr>
        <w:t xml:space="preserve"> </w:t>
      </w:r>
      <w:r w:rsidRPr="00A2171C">
        <w:rPr>
          <w:rFonts w:eastAsia="Times New Roman" w:cs="Times New Roman"/>
          <w:szCs w:val="20"/>
          <w:lang w:val="en-GB"/>
        </w:rPr>
        <w:t>are</w:t>
      </w:r>
      <w:r w:rsidRPr="00A2171C">
        <w:rPr>
          <w:rFonts w:eastAsia="Times New Roman" w:cs="Times New Roman"/>
          <w:i/>
          <w:szCs w:val="20"/>
          <w:lang w:val="en-GB"/>
        </w:rPr>
        <w:t xml:space="preserve"> </w:t>
      </w:r>
      <w:r w:rsidRPr="00A2171C">
        <w:rPr>
          <w:rFonts w:eastAsia="Times New Roman" w:cs="Times New Roman"/>
          <w:szCs w:val="20"/>
          <w:lang w:val="en-GB"/>
        </w:rPr>
        <w:lastRenderedPageBreak/>
        <w:t xml:space="preserve">formed by the division caused by one or two complete streets. There are 4 divided blocks as shown in </w:t>
      </w:r>
      <w:r w:rsidRPr="00A2171C">
        <w:rPr>
          <w:rFonts w:eastAsia="Times New Roman" w:cs="Times New Roman"/>
          <w:szCs w:val="20"/>
          <w:lang w:val="en-GB"/>
        </w:rPr>
        <w:fldChar w:fldCharType="begin"/>
      </w:r>
      <w:r w:rsidRPr="00A2171C">
        <w:rPr>
          <w:rFonts w:eastAsia="Times New Roman" w:cs="Times New Roman"/>
          <w:szCs w:val="20"/>
          <w:lang w:val="en-GB"/>
        </w:rPr>
        <w:instrText xml:space="preserve"> REF _Ref116578221 \h </w:instrText>
      </w:r>
      <w:r w:rsidR="000772EE" w:rsidRPr="00A2171C">
        <w:rPr>
          <w:rFonts w:eastAsia="Times New Roman" w:cs="Times New Roman"/>
          <w:szCs w:val="20"/>
          <w:lang w:val="en-GB"/>
        </w:rPr>
        <w:instrText xml:space="preserve"> \* MERGEFORMAT </w:instrText>
      </w:r>
      <w:r w:rsidRPr="00A2171C">
        <w:rPr>
          <w:rFonts w:eastAsia="Times New Roman" w:cs="Times New Roman"/>
          <w:szCs w:val="20"/>
          <w:lang w:val="en-GB"/>
        </w:rPr>
      </w:r>
      <w:r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2</w:t>
      </w:r>
      <w:r w:rsidRPr="00A2171C">
        <w:rPr>
          <w:rFonts w:eastAsia="Times New Roman" w:cs="Times New Roman"/>
          <w:szCs w:val="20"/>
          <w:lang w:val="en-GB"/>
        </w:rPr>
        <w:fldChar w:fldCharType="end"/>
      </w:r>
      <w:r w:rsidRPr="00A2171C">
        <w:rPr>
          <w:rFonts w:eastAsia="Times New Roman" w:cs="Times New Roman"/>
          <w:szCs w:val="20"/>
          <w:lang w:val="en-GB"/>
        </w:rPr>
        <w:t xml:space="preserve">b; one is a deep-small parcel [D/D+S] and three are small lots [D/S]. </w:t>
      </w:r>
    </w:p>
    <w:p w14:paraId="5B04C571" w14:textId="77777777" w:rsidR="00A46867" w:rsidRPr="00A2171C" w:rsidRDefault="00A46867" w:rsidP="00A46867">
      <w:pPr>
        <w:pStyle w:val="Heading2"/>
        <w:rPr>
          <w:rFonts w:eastAsia="Times New Roman"/>
          <w:color w:val="auto"/>
          <w:sz w:val="24"/>
          <w:szCs w:val="24"/>
          <w:lang w:val="en-GB"/>
        </w:rPr>
      </w:pPr>
      <w:r w:rsidRPr="00A2171C">
        <w:rPr>
          <w:rFonts w:eastAsia="Times New Roman"/>
          <w:color w:val="auto"/>
          <w:sz w:val="24"/>
          <w:szCs w:val="24"/>
          <w:lang w:val="en-GB"/>
        </w:rPr>
        <w:t xml:space="preserve">2.2. Structural unit [SU] typologies </w:t>
      </w:r>
    </w:p>
    <w:p w14:paraId="6117704B" w14:textId="74D4084C" w:rsidR="00A46867" w:rsidRPr="00A2171C" w:rsidRDefault="00A46867" w:rsidP="00A46867">
      <w:pPr>
        <w:rPr>
          <w:szCs w:val="20"/>
          <w:lang w:val="en-GB"/>
        </w:rPr>
      </w:pPr>
      <w:r w:rsidRPr="00A2171C">
        <w:rPr>
          <w:szCs w:val="20"/>
          <w:lang w:val="en-GB"/>
        </w:rPr>
        <w:t xml:space="preserve">The most common lot types are: (1) </w:t>
      </w:r>
      <w:r w:rsidRPr="00A2171C">
        <w:rPr>
          <w:i/>
          <w:szCs w:val="20"/>
          <w:lang w:val="en-GB"/>
        </w:rPr>
        <w:t>deep rectangular</w:t>
      </w:r>
      <w:r w:rsidRPr="00A2171C">
        <w:rPr>
          <w:szCs w:val="20"/>
          <w:lang w:val="en-GB"/>
        </w:rPr>
        <w:t xml:space="preserve"> lots of courtyard houses (7-8 x 50m, 12 x 45m, 15 x 60m and 16 x 40m), generally part of the original block layout; (2) large </w:t>
      </w:r>
      <w:r w:rsidRPr="00A2171C">
        <w:rPr>
          <w:i/>
          <w:szCs w:val="20"/>
          <w:lang w:val="en-GB"/>
        </w:rPr>
        <w:t xml:space="preserve">rectangular or square </w:t>
      </w:r>
      <w:r w:rsidRPr="00A2171C">
        <w:rPr>
          <w:szCs w:val="20"/>
          <w:lang w:val="en-GB"/>
        </w:rPr>
        <w:t xml:space="preserve">lots, destined to equipment such as schools, churches, convents and hospitals covering an area corresponding to the entire urban block (as for blocks 9, 20, 29, 30 and 31 with dimensions </w:t>
      </w:r>
      <w:r w:rsidRPr="00A2171C">
        <w:rPr>
          <w:rFonts w:ascii="Cambria Math" w:eastAsia="Cambria Math" w:hAnsi="Cambria Math" w:cs="Cambria Math"/>
          <w:szCs w:val="20"/>
          <w:lang w:val="en-GB"/>
        </w:rPr>
        <w:t xml:space="preserve">≅ </w:t>
      </w:r>
      <w:r w:rsidRPr="00A2171C">
        <w:rPr>
          <w:szCs w:val="20"/>
          <w:lang w:val="en-GB"/>
        </w:rPr>
        <w:t>82 x 110m,</w:t>
      </w:r>
      <w:r w:rsidR="00D65DBD" w:rsidRPr="00A2171C">
        <w:rPr>
          <w:szCs w:val="20"/>
          <w:lang w:val="en-GB"/>
        </w:rPr>
        <w:t xml:space="preserve"> </w:t>
      </w:r>
      <w:r w:rsidR="000E1AEF" w:rsidRPr="00A2171C">
        <w:rPr>
          <w:szCs w:val="20"/>
          <w:lang w:val="en-GB"/>
        </w:rPr>
        <w:fldChar w:fldCharType="begin"/>
      </w:r>
      <w:r w:rsidR="000E1AEF" w:rsidRPr="00A2171C">
        <w:rPr>
          <w:szCs w:val="20"/>
          <w:lang w:val="en-GB"/>
        </w:rPr>
        <w:instrText xml:space="preserve"> REF _Ref116578221 \h </w:instrText>
      </w:r>
      <w:r w:rsidR="000E1AEF" w:rsidRPr="00A2171C">
        <w:rPr>
          <w:szCs w:val="20"/>
          <w:lang w:val="en-GB"/>
        </w:rPr>
      </w:r>
      <w:r w:rsidR="000E1AEF" w:rsidRPr="00A2171C">
        <w:rPr>
          <w:szCs w:val="20"/>
          <w:lang w:val="en-GB"/>
        </w:rPr>
        <w:fldChar w:fldCharType="separate"/>
      </w:r>
      <w:r w:rsidR="00C20049" w:rsidRPr="00A2171C">
        <w:rPr>
          <w:lang w:val="en-US"/>
        </w:rPr>
        <w:t xml:space="preserve">Figure </w:t>
      </w:r>
      <w:r w:rsidR="00C20049" w:rsidRPr="00A2171C">
        <w:rPr>
          <w:noProof/>
          <w:lang w:val="en-US"/>
        </w:rPr>
        <w:t>2</w:t>
      </w:r>
      <w:r w:rsidR="000E1AEF" w:rsidRPr="00A2171C">
        <w:rPr>
          <w:szCs w:val="20"/>
          <w:lang w:val="en-GB"/>
        </w:rPr>
        <w:fldChar w:fldCharType="end"/>
      </w:r>
      <w:r w:rsidR="000E1AEF" w:rsidRPr="00A2171C">
        <w:rPr>
          <w:szCs w:val="20"/>
          <w:lang w:val="en-GB"/>
        </w:rPr>
        <w:t>b</w:t>
      </w:r>
      <w:r w:rsidRPr="00A2171C">
        <w:rPr>
          <w:szCs w:val="20"/>
          <w:lang w:val="en-GB"/>
        </w:rPr>
        <w:t>), or intended for new reinforced concrete (RC) residential structures erected after demolition (e.g., blocks 15, 16, 35, 40, with dimensions 42 x 120m, 70 x 70m,</w:t>
      </w:r>
      <w:r w:rsidR="00AF0FF8" w:rsidRPr="00A2171C">
        <w:rPr>
          <w:szCs w:val="20"/>
          <w:lang w:val="en-GB"/>
        </w:rPr>
        <w:t xml:space="preserve"> </w:t>
      </w:r>
      <w:r w:rsidR="00CA18C8" w:rsidRPr="00A2171C">
        <w:rPr>
          <w:szCs w:val="20"/>
          <w:lang w:val="en-GB"/>
        </w:rPr>
        <w:fldChar w:fldCharType="begin"/>
      </w:r>
      <w:r w:rsidR="00CA18C8" w:rsidRPr="00A2171C">
        <w:rPr>
          <w:szCs w:val="20"/>
          <w:lang w:val="en-GB"/>
        </w:rPr>
        <w:instrText xml:space="preserve"> REF _Ref116578221 \h </w:instrText>
      </w:r>
      <w:r w:rsidR="00CA18C8" w:rsidRPr="00A2171C">
        <w:rPr>
          <w:szCs w:val="20"/>
          <w:lang w:val="en-GB"/>
        </w:rPr>
      </w:r>
      <w:r w:rsidR="00CA18C8" w:rsidRPr="00A2171C">
        <w:rPr>
          <w:szCs w:val="20"/>
          <w:lang w:val="en-GB"/>
        </w:rPr>
        <w:fldChar w:fldCharType="separate"/>
      </w:r>
      <w:r w:rsidR="00C20049" w:rsidRPr="00A2171C">
        <w:rPr>
          <w:lang w:val="en-US"/>
        </w:rPr>
        <w:t xml:space="preserve">Figure </w:t>
      </w:r>
      <w:r w:rsidR="00C20049" w:rsidRPr="00A2171C">
        <w:rPr>
          <w:noProof/>
          <w:lang w:val="en-US"/>
        </w:rPr>
        <w:t>2</w:t>
      </w:r>
      <w:r w:rsidR="00CA18C8" w:rsidRPr="00A2171C">
        <w:rPr>
          <w:szCs w:val="20"/>
          <w:lang w:val="en-GB"/>
        </w:rPr>
        <w:fldChar w:fldCharType="end"/>
      </w:r>
      <w:r w:rsidR="00CA18C8" w:rsidRPr="00A2171C">
        <w:rPr>
          <w:szCs w:val="20"/>
          <w:lang w:val="en-GB"/>
        </w:rPr>
        <w:t>b</w:t>
      </w:r>
      <w:r w:rsidRPr="00A2171C">
        <w:rPr>
          <w:szCs w:val="20"/>
          <w:lang w:val="en-GB"/>
        </w:rPr>
        <w:t xml:space="preserve">); and (3) </w:t>
      </w:r>
      <w:r w:rsidRPr="00A2171C">
        <w:rPr>
          <w:i/>
          <w:szCs w:val="20"/>
          <w:lang w:val="en-GB"/>
        </w:rPr>
        <w:t xml:space="preserve">small </w:t>
      </w:r>
      <w:r w:rsidRPr="00A2171C">
        <w:rPr>
          <w:szCs w:val="20"/>
          <w:lang w:val="en-GB"/>
        </w:rPr>
        <w:t>SUs</w:t>
      </w:r>
      <w:r w:rsidRPr="00A2171C">
        <w:rPr>
          <w:i/>
          <w:szCs w:val="20"/>
          <w:lang w:val="en-GB"/>
        </w:rPr>
        <w:t xml:space="preserve"> </w:t>
      </w:r>
      <w:r w:rsidRPr="00A2171C">
        <w:rPr>
          <w:szCs w:val="20"/>
          <w:lang w:val="en-GB"/>
        </w:rPr>
        <w:t>(6x8m, 9x20m and 15x21m), resulting from the increase in land price and density during the 19</w:t>
      </w:r>
      <w:r w:rsidRPr="00A2171C">
        <w:rPr>
          <w:szCs w:val="20"/>
          <w:vertAlign w:val="superscript"/>
          <w:lang w:val="en-GB"/>
        </w:rPr>
        <w:t>th</w:t>
      </w:r>
      <w:r w:rsidRPr="00A2171C">
        <w:rPr>
          <w:szCs w:val="20"/>
          <w:lang w:val="en-GB"/>
        </w:rPr>
        <w:t xml:space="preserve"> and 20</w:t>
      </w:r>
      <w:r w:rsidRPr="00A2171C">
        <w:rPr>
          <w:szCs w:val="20"/>
          <w:vertAlign w:val="superscript"/>
          <w:lang w:val="en-GB"/>
        </w:rPr>
        <w:t xml:space="preserve">th </w:t>
      </w:r>
      <w:r w:rsidRPr="00A2171C">
        <w:rPr>
          <w:szCs w:val="20"/>
          <w:lang w:val="en-GB"/>
        </w:rPr>
        <w:t>centuries, as shown in blocks 18, 22, 23, 24, and 35 (</w:t>
      </w:r>
      <w:r w:rsidR="00CA18C8" w:rsidRPr="00A2171C">
        <w:rPr>
          <w:szCs w:val="20"/>
          <w:lang w:val="en-GB"/>
        </w:rPr>
        <w:fldChar w:fldCharType="begin"/>
      </w:r>
      <w:r w:rsidR="00CA18C8" w:rsidRPr="00A2171C">
        <w:rPr>
          <w:szCs w:val="20"/>
          <w:lang w:val="en-GB"/>
        </w:rPr>
        <w:instrText xml:space="preserve"> REF _Ref116578221 \h </w:instrText>
      </w:r>
      <w:r w:rsidR="00CA18C8" w:rsidRPr="00A2171C">
        <w:rPr>
          <w:szCs w:val="20"/>
          <w:lang w:val="en-GB"/>
        </w:rPr>
      </w:r>
      <w:r w:rsidR="00CA18C8" w:rsidRPr="00A2171C">
        <w:rPr>
          <w:szCs w:val="20"/>
          <w:lang w:val="en-GB"/>
        </w:rPr>
        <w:fldChar w:fldCharType="separate"/>
      </w:r>
      <w:r w:rsidR="00C20049" w:rsidRPr="00A2171C">
        <w:rPr>
          <w:lang w:val="en-US"/>
        </w:rPr>
        <w:t xml:space="preserve">Figure </w:t>
      </w:r>
      <w:r w:rsidR="00C20049" w:rsidRPr="00A2171C">
        <w:rPr>
          <w:noProof/>
          <w:lang w:val="en-US"/>
        </w:rPr>
        <w:t>2</w:t>
      </w:r>
      <w:r w:rsidR="00CA18C8" w:rsidRPr="00A2171C">
        <w:rPr>
          <w:szCs w:val="20"/>
          <w:lang w:val="en-GB"/>
        </w:rPr>
        <w:fldChar w:fldCharType="end"/>
      </w:r>
      <w:r w:rsidR="00CA18C8" w:rsidRPr="00A2171C">
        <w:rPr>
          <w:szCs w:val="20"/>
          <w:lang w:val="en-GB"/>
        </w:rPr>
        <w:t>b</w:t>
      </w:r>
      <w:r w:rsidRPr="00A2171C">
        <w:rPr>
          <w:szCs w:val="20"/>
          <w:lang w:val="en-GB"/>
        </w:rPr>
        <w:t>).</w:t>
      </w:r>
    </w:p>
    <w:tbl>
      <w:tblPr>
        <w:tblStyle w:val="TableGrid"/>
        <w:tblW w:w="0" w:type="auto"/>
        <w:tblLook w:val="04A0" w:firstRow="1" w:lastRow="0" w:firstColumn="1" w:lastColumn="0" w:noHBand="0" w:noVBand="1"/>
      </w:tblPr>
      <w:tblGrid>
        <w:gridCol w:w="8828"/>
      </w:tblGrid>
      <w:tr w:rsidR="00A2171C" w:rsidRPr="00A2171C" w14:paraId="1FE12233" w14:textId="77777777" w:rsidTr="00BA2612">
        <w:trPr>
          <w:trHeight w:val="2835"/>
        </w:trPr>
        <w:tc>
          <w:tcPr>
            <w:tcW w:w="9354" w:type="dxa"/>
            <w:vAlign w:val="center"/>
          </w:tcPr>
          <w:p w14:paraId="5B3BCAD5" w14:textId="77777777" w:rsidR="00A46867" w:rsidRPr="00A2171C" w:rsidRDefault="00A46867" w:rsidP="00BA2612">
            <w:pPr>
              <w:keepNext/>
              <w:spacing w:line="240" w:lineRule="auto"/>
              <w:jc w:val="center"/>
              <w:rPr>
                <w:rFonts w:eastAsia="Times New Roman" w:cs="Times New Roman"/>
                <w:szCs w:val="20"/>
                <w:lang w:val="en-GB"/>
              </w:rPr>
            </w:pPr>
            <w:r w:rsidRPr="00A2171C">
              <w:rPr>
                <w:rFonts w:eastAsia="Times New Roman" w:cs="Times New Roman"/>
                <w:noProof/>
                <w:szCs w:val="20"/>
              </w:rPr>
              <w:drawing>
                <wp:inline distT="0" distB="0" distL="0" distR="0" wp14:anchorId="068DF68D" wp14:editId="620608CF">
                  <wp:extent cx="5497033" cy="1561162"/>
                  <wp:effectExtent l="0" t="0" r="0" b="1270"/>
                  <wp:docPr id="3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5528916" cy="1570217"/>
                          </a:xfrm>
                          <a:prstGeom prst="rect">
                            <a:avLst/>
                          </a:prstGeom>
                          <a:ln/>
                        </pic:spPr>
                      </pic:pic>
                    </a:graphicData>
                  </a:graphic>
                </wp:inline>
              </w:drawing>
            </w:r>
          </w:p>
        </w:tc>
      </w:tr>
    </w:tbl>
    <w:p w14:paraId="1AE9C9AF" w14:textId="6C73796E" w:rsidR="00A46867" w:rsidRPr="00A2171C" w:rsidRDefault="00A46867" w:rsidP="0093046F">
      <w:pPr>
        <w:pStyle w:val="Caption"/>
        <w:jc w:val="center"/>
        <w:rPr>
          <w:rFonts w:eastAsia="Times New Roman" w:cs="Times New Roman"/>
          <w:color w:val="auto"/>
          <w:sz w:val="20"/>
          <w:szCs w:val="20"/>
          <w:lang w:val="en-GB"/>
        </w:rPr>
      </w:pPr>
      <w:bookmarkStart w:id="8" w:name="_Ref116578384"/>
      <w:bookmarkStart w:id="9" w:name="_Ref89271780"/>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3</w:t>
      </w:r>
      <w:r w:rsidRPr="00A2171C">
        <w:rPr>
          <w:noProof/>
          <w:color w:val="auto"/>
        </w:rPr>
        <w:fldChar w:fldCharType="end"/>
      </w:r>
      <w:bookmarkEnd w:id="8"/>
      <w:r w:rsidRPr="00A2171C">
        <w:rPr>
          <w:color w:val="auto"/>
          <w:lang w:val="en-US"/>
        </w:rPr>
        <w:t>:</w:t>
      </w:r>
      <w:bookmarkEnd w:id="9"/>
      <w:r w:rsidRPr="00A2171C">
        <w:rPr>
          <w:color w:val="auto"/>
          <w:sz w:val="20"/>
          <w:szCs w:val="20"/>
          <w:lang w:val="en-GB"/>
        </w:rPr>
        <w:t xml:space="preserve"> </w:t>
      </w:r>
      <w:r w:rsidRPr="00A2171C">
        <w:rPr>
          <w:rFonts w:eastAsia="Times New Roman" w:cs="Times New Roman"/>
          <w:color w:val="auto"/>
          <w:sz w:val="20"/>
          <w:szCs w:val="20"/>
          <w:lang w:val="en-GB"/>
        </w:rPr>
        <w:t>Example of colonial derivation style: Huèrfanos 2729, in a closed block (n° 25) with deep and small lots.</w:t>
      </w:r>
    </w:p>
    <w:p w14:paraId="15EAF92C" w14:textId="22C57A64" w:rsidR="00A46867" w:rsidRPr="00A2171C" w:rsidRDefault="00A46867" w:rsidP="00A46867">
      <w:pPr>
        <w:rPr>
          <w:szCs w:val="20"/>
          <w:highlight w:val="yellow"/>
          <w:lang w:val="en-GB"/>
        </w:rPr>
      </w:pPr>
      <w:r w:rsidRPr="00A2171C">
        <w:rPr>
          <w:szCs w:val="20"/>
          <w:lang w:val="en-GB"/>
        </w:rPr>
        <w:t xml:space="preserve">According to </w:t>
      </w:r>
      <w:r w:rsidRPr="00A2171C">
        <w:rPr>
          <w:szCs w:val="20"/>
          <w:lang w:val="en-GB"/>
        </w:rPr>
        <w:fldChar w:fldCharType="begin" w:fldLock="1"/>
      </w:r>
      <w:r w:rsidR="00CC5FDE" w:rsidRPr="00A2171C">
        <w:rPr>
          <w:szCs w:val="20"/>
          <w:lang w:val="en-GB"/>
        </w:rPr>
        <w:instrText>ADDIN CSL_CITATION {"citationItems":[{"id":"ITEM-1","itemData":{"DOI":"10.1080/13632469.2022.2087793","ISSN":"1363-2469","author":[{"dropping-particle":"","family":"Palazzi","given":"Nuria Chiara","non-dropping-particle":"","parse-names":false,"suffix":""},{"dropping-particle":"","family":"Barrientos","given":"Marco","non-dropping-particle":"","parse-names":false,"suffix":""},{"dropping-particle":"","family":"Sandoval","given":"Cristián","non-dropping-particle":"","parse-names":false,"suffix":""},{"dropping-particle":"","family":"De","given":"Juan Carlos","non-dropping-particle":"","parse-names":false,"suffix":""}],"container-title":"Journal of Earthquake Engineering","id":"ITEM-1","issue":"00","issued":{"date-parts":[["2022"]]},"page":"1-28","publisher":"Taylor &amp; Francis","title":"Seismic Vulnerability Assessment of the Yungay ’ s Historic Urban Center in Santiago , Chile Seismic Vulnerability Assessment of the Yungay ’ s Historic Urban","type":"article-journal","volume":"00"},"uris":["http://www.mendeley.com/documents/?uuid=7d9d5924-ba58-40f0-9d4b-039a7257adb8"]}],"mendeley":{"formattedCitation":"(Palazzi et al., 2022)","manualFormatting":"Palazzi et al., 2022","plainTextFormattedCitation":"(Palazzi et al., 2022)","previouslyFormattedCitation":"(Palazzi et al., 2022)"},"properties":{"noteIndex":0},"schema":"https://github.com/citation-style-language/schema/raw/master/csl-citation.json"}</w:instrText>
      </w:r>
      <w:r w:rsidRPr="00A2171C">
        <w:rPr>
          <w:szCs w:val="20"/>
          <w:lang w:val="en-GB"/>
        </w:rPr>
        <w:fldChar w:fldCharType="separate"/>
      </w:r>
      <w:r w:rsidRPr="00A2171C">
        <w:rPr>
          <w:noProof/>
          <w:szCs w:val="20"/>
          <w:lang w:val="en-GB"/>
        </w:rPr>
        <w:t>Palazzi et al., 2022</w:t>
      </w:r>
      <w:r w:rsidRPr="00A2171C">
        <w:rPr>
          <w:szCs w:val="20"/>
          <w:lang w:val="en-GB"/>
        </w:rPr>
        <w:fldChar w:fldCharType="end"/>
      </w:r>
      <w:r w:rsidRPr="00A2171C">
        <w:rPr>
          <w:szCs w:val="20"/>
          <w:lang w:val="en-GB"/>
        </w:rPr>
        <w:t>, 60% of Yungay’s SUs are ordinary buildings with continuous one- or (rarely) two-storey façades with an elongated plan aspect ratio that includes a backyard—with north-south and east-west orientations—a  shed-roof with mono-pitch wooden traditional trusses, and a flat ceiling. The general distribution is defined in Palazzi et al (2022) as Colonial Derivation style (CD) including popular classicism and republican architectures (</w:t>
      </w:r>
      <w:r w:rsidRPr="00A2171C">
        <w:rPr>
          <w:szCs w:val="20"/>
          <w:lang w:val="en-GB"/>
        </w:rPr>
        <w:fldChar w:fldCharType="begin"/>
      </w:r>
      <w:r w:rsidRPr="00A2171C">
        <w:rPr>
          <w:szCs w:val="20"/>
          <w:lang w:val="en-GB"/>
        </w:rPr>
        <w:instrText xml:space="preserve"> REF _Ref116578384 \h  \* MERGEFORMAT </w:instrText>
      </w:r>
      <w:r w:rsidRPr="00A2171C">
        <w:rPr>
          <w:szCs w:val="20"/>
          <w:lang w:val="en-GB"/>
        </w:rPr>
      </w:r>
      <w:r w:rsidRPr="00A2171C">
        <w:rPr>
          <w:szCs w:val="20"/>
          <w:lang w:val="en-GB"/>
        </w:rPr>
        <w:fldChar w:fldCharType="separate"/>
      </w:r>
      <w:r w:rsidR="00C20049" w:rsidRPr="00A2171C">
        <w:rPr>
          <w:lang w:val="en-US"/>
        </w:rPr>
        <w:t xml:space="preserve">Figure </w:t>
      </w:r>
      <w:r w:rsidR="00C20049" w:rsidRPr="00A2171C">
        <w:rPr>
          <w:noProof/>
          <w:lang w:val="en-US"/>
        </w:rPr>
        <w:t>3</w:t>
      </w:r>
      <w:r w:rsidRPr="00A2171C">
        <w:rPr>
          <w:szCs w:val="20"/>
          <w:lang w:val="en-GB"/>
        </w:rPr>
        <w:fldChar w:fldCharType="end"/>
      </w:r>
      <w:r w:rsidRPr="00A2171C">
        <w:rPr>
          <w:szCs w:val="20"/>
          <w:lang w:val="en-GB"/>
        </w:rPr>
        <w:t>). The well-done interlocking of the masonry between the main and adjacent façades, and the façade and the orthogonal walls, shows that CD dwellings had synchronic growth. Nevertheless, the original in-plane and in-height alignments are, in some cases, altered by urban growth processes</w:t>
      </w:r>
      <w:r w:rsidRPr="00A2171C">
        <w:rPr>
          <w:i/>
          <w:szCs w:val="20"/>
          <w:lang w:val="en-GB"/>
        </w:rPr>
        <w:t xml:space="preserve"> </w:t>
      </w:r>
      <w:r w:rsidRPr="00A2171C">
        <w:rPr>
          <w:szCs w:val="20"/>
          <w:lang w:val="en-GB"/>
        </w:rPr>
        <w:t xml:space="preserve">which generated remodelling in the internal spaces, enlargements, and addition of a new storey, causing structural discontinuities. These alterations have direct implications on the seismic and fire vulnerabilities of historical SUs. New </w:t>
      </w:r>
      <w:r w:rsidR="00F55F6B" w:rsidRPr="00A2171C">
        <w:rPr>
          <w:szCs w:val="20"/>
          <w:lang w:val="en-GB"/>
        </w:rPr>
        <w:t>insufficiently spaced aligned openings</w:t>
      </w:r>
      <w:r w:rsidRPr="00A2171C">
        <w:rPr>
          <w:szCs w:val="20"/>
          <w:lang w:val="en-GB"/>
        </w:rPr>
        <w:t>, for example, can enhance the spread of fire between floors depending on the distance between the two or more overlapping</w:t>
      </w:r>
      <w:r w:rsidR="00F55F6B" w:rsidRPr="00A2171C">
        <w:rPr>
          <w:szCs w:val="20"/>
          <w:lang w:val="en-GB"/>
        </w:rPr>
        <w:t xml:space="preserve"> windows and/or doors</w:t>
      </w:r>
      <w:r w:rsidRPr="00A2171C">
        <w:rPr>
          <w:szCs w:val="20"/>
          <w:lang w:val="en-GB"/>
        </w:rPr>
        <w:t>. Exterior walls built in unreinforced masonry have good fire behaviour; however, this performance can be compromised due to a poor conservation state.</w:t>
      </w:r>
    </w:p>
    <w:p w14:paraId="7265C21B" w14:textId="43AB01E1" w:rsidR="00A46867" w:rsidRPr="00A2171C" w:rsidRDefault="00A46867" w:rsidP="00A46867">
      <w:pPr>
        <w:spacing w:after="0"/>
        <w:rPr>
          <w:rFonts w:eastAsia="Times New Roman" w:cs="Times New Roman"/>
          <w:szCs w:val="20"/>
          <w:lang w:val="en-GB"/>
        </w:rPr>
      </w:pPr>
      <w:r w:rsidRPr="00A2171C">
        <w:rPr>
          <w:rFonts w:eastAsia="Times New Roman" w:cs="Times New Roman"/>
          <w:szCs w:val="20"/>
          <w:lang w:val="en-GB"/>
        </w:rPr>
        <w:t>Between the mid-19th to the early 20th-century, the Classical style (CL&amp;Va) was introduced (</w:t>
      </w:r>
      <w:r w:rsidRPr="00A2171C">
        <w:rPr>
          <w:rFonts w:eastAsia="Times New Roman" w:cs="Times New Roman"/>
          <w:szCs w:val="20"/>
          <w:lang w:val="en-GB"/>
        </w:rPr>
        <w:fldChar w:fldCharType="begin"/>
      </w:r>
      <w:r w:rsidRPr="00A2171C">
        <w:rPr>
          <w:rFonts w:eastAsia="Times New Roman" w:cs="Times New Roman"/>
          <w:szCs w:val="20"/>
          <w:lang w:val="en-GB"/>
        </w:rPr>
        <w:instrText xml:space="preserve"> REF _Ref116578558 \h  \* MERGEFORMAT </w:instrText>
      </w:r>
      <w:r w:rsidRPr="00A2171C">
        <w:rPr>
          <w:rFonts w:eastAsia="Times New Roman" w:cs="Times New Roman"/>
          <w:szCs w:val="20"/>
          <w:lang w:val="en-GB"/>
        </w:rPr>
      </w:r>
      <w:r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4</w:t>
      </w:r>
      <w:r w:rsidRPr="00A2171C">
        <w:rPr>
          <w:rFonts w:eastAsia="Times New Roman" w:cs="Times New Roman"/>
          <w:szCs w:val="20"/>
          <w:lang w:val="en-GB"/>
        </w:rPr>
        <w:fldChar w:fldCharType="end"/>
      </w:r>
      <w:r w:rsidRPr="00A2171C">
        <w:rPr>
          <w:rFonts w:eastAsia="Times New Roman" w:cs="Times New Roman"/>
          <w:szCs w:val="20"/>
          <w:lang w:val="en-GB"/>
        </w:rPr>
        <w:t xml:space="preserve">). New multi-storey buildings in Neoclassical, Neo-Baroque, and other eclectic stylistic expressions were built in mixed </w:t>
      </w:r>
      <w:r w:rsidRPr="00A2171C">
        <w:rPr>
          <w:rFonts w:eastAsia="Times New Roman" w:cs="Times New Roman"/>
          <w:szCs w:val="20"/>
          <w:lang w:val="en-GB"/>
        </w:rPr>
        <w:lastRenderedPageBreak/>
        <w:t>techniques with adobe and brick masonry, adobe and wood, and brick-wooden walls. This style completely overcame colonial influence, changing the physiognomy of the neighborhood. About 40% of the historical buildings in this neighborhood are CL&amp;Va 2-storey structures (rarely 3-stories), which are a variant of the colonial continuous-façade typology with an elongated rectangular layout 10-12m wide and 50-60m long, oriented north-south or east-west with one or two back-yards, a gable-roof with timber king-post trusses with a collar tie, and a timber flat ceiling. Two constructive typologies of CL&amp;Va can be identified: (i) CL&amp;Va_T1 resulting from the addition of a story above the original roof level (including mezzanines). Their first floor was built in adobe or brick masonry, and the second one is characterized by mixed techniques (</w:t>
      </w:r>
      <w:r w:rsidRPr="00A2171C">
        <w:rPr>
          <w:rFonts w:eastAsia="Times New Roman" w:cs="Times New Roman"/>
          <w:i/>
          <w:szCs w:val="20"/>
          <w:lang w:val="en-GB"/>
        </w:rPr>
        <w:t>tabique</w:t>
      </w:r>
      <w:r w:rsidRPr="00A2171C">
        <w:rPr>
          <w:rFonts w:eastAsia="Times New Roman" w:cs="Times New Roman"/>
          <w:szCs w:val="20"/>
          <w:lang w:val="en-GB"/>
        </w:rPr>
        <w:t xml:space="preserve">, wood structure with oak piers of 15x15cm and adobe in tambourine, or </w:t>
      </w:r>
      <w:r w:rsidRPr="00A2171C">
        <w:rPr>
          <w:rFonts w:eastAsia="Times New Roman" w:cs="Times New Roman"/>
          <w:i/>
          <w:szCs w:val="20"/>
          <w:lang w:val="en-GB"/>
        </w:rPr>
        <w:t xml:space="preserve">adobillo, </w:t>
      </w:r>
      <w:r w:rsidRPr="00A2171C">
        <w:rPr>
          <w:rFonts w:eastAsia="Times New Roman" w:cs="Times New Roman"/>
          <w:szCs w:val="20"/>
          <w:lang w:val="en-GB"/>
        </w:rPr>
        <w:t>defined by</w:t>
      </w:r>
      <w:r w:rsidRPr="00A2171C">
        <w:rPr>
          <w:rFonts w:eastAsia="Times New Roman" w:cs="Times New Roman"/>
          <w:i/>
          <w:szCs w:val="20"/>
          <w:lang w:val="en-GB"/>
        </w:rPr>
        <w:t xml:space="preserve"> </w:t>
      </w:r>
      <w:r w:rsidRPr="00A2171C">
        <w:rPr>
          <w:rFonts w:eastAsia="Times New Roman" w:cs="Times New Roman"/>
          <w:szCs w:val="20"/>
          <w:lang w:val="en-GB"/>
        </w:rPr>
        <w:t xml:space="preserve">timber piers with earthen blocks about 15x60x10cm; and (ii) CL&amp;Va_T2, which are buildings belonging to urban aggregates built at the same time and with homogeneous construction techniques. Generally, this is the case of </w:t>
      </w:r>
      <w:r w:rsidRPr="00A2171C">
        <w:rPr>
          <w:rFonts w:eastAsia="Times New Roman" w:cs="Times New Roman"/>
          <w:i/>
          <w:szCs w:val="20"/>
          <w:lang w:val="en-GB"/>
        </w:rPr>
        <w:t>Cités</w:t>
      </w:r>
      <w:r w:rsidRPr="00A2171C">
        <w:rPr>
          <w:rFonts w:eastAsia="Times New Roman" w:cs="Times New Roman"/>
          <w:szCs w:val="20"/>
          <w:lang w:val="en-GB"/>
        </w:rPr>
        <w:t xml:space="preserve"> built with clay-brick masonry (wall thickness ~0.7m), where each aggregate structural unit has a good lateral bond between adjacent and orthogonal walls. </w:t>
      </w:r>
    </w:p>
    <w:tbl>
      <w:tblPr>
        <w:tblStyle w:val="TableGrid"/>
        <w:tblW w:w="0" w:type="auto"/>
        <w:jc w:val="center"/>
        <w:tblLook w:val="04A0" w:firstRow="1" w:lastRow="0" w:firstColumn="1" w:lastColumn="0" w:noHBand="0" w:noVBand="1"/>
      </w:tblPr>
      <w:tblGrid>
        <w:gridCol w:w="8686"/>
      </w:tblGrid>
      <w:tr w:rsidR="00A2171C" w:rsidRPr="00A2171C" w14:paraId="26E6E11E" w14:textId="77777777" w:rsidTr="003D1839">
        <w:trPr>
          <w:trHeight w:val="2494"/>
          <w:jc w:val="center"/>
        </w:trPr>
        <w:tc>
          <w:tcPr>
            <w:tcW w:w="8674" w:type="dxa"/>
            <w:vAlign w:val="center"/>
          </w:tcPr>
          <w:p w14:paraId="44D47DB2" w14:textId="77777777" w:rsidR="00A46867" w:rsidRPr="00A2171C" w:rsidRDefault="00A46867" w:rsidP="00BA2612">
            <w:pPr>
              <w:keepNext/>
              <w:jc w:val="center"/>
              <w:rPr>
                <w:rFonts w:eastAsia="Times New Roman" w:cs="Times New Roman"/>
                <w:szCs w:val="20"/>
                <w:lang w:val="en-GB"/>
              </w:rPr>
            </w:pPr>
            <w:r w:rsidRPr="00A2171C">
              <w:rPr>
                <w:noProof/>
              </w:rPr>
              <w:drawing>
                <wp:inline distT="0" distB="0" distL="0" distR="0" wp14:anchorId="7CCF4E3C" wp14:editId="05A44DAD">
                  <wp:extent cx="5378824" cy="1495045"/>
                  <wp:effectExtent l="0" t="0" r="0" b="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b="3987"/>
                          <a:stretch>
                            <a:fillRect/>
                          </a:stretch>
                        </pic:blipFill>
                        <pic:spPr>
                          <a:xfrm>
                            <a:off x="0" y="0"/>
                            <a:ext cx="5416546" cy="1505530"/>
                          </a:xfrm>
                          <a:prstGeom prst="rect">
                            <a:avLst/>
                          </a:prstGeom>
                          <a:ln/>
                        </pic:spPr>
                      </pic:pic>
                    </a:graphicData>
                  </a:graphic>
                </wp:inline>
              </w:drawing>
            </w:r>
          </w:p>
        </w:tc>
      </w:tr>
    </w:tbl>
    <w:p w14:paraId="0257125F" w14:textId="738548EA" w:rsidR="00A46867" w:rsidRPr="00A2171C" w:rsidRDefault="00A46867" w:rsidP="00A46867">
      <w:pPr>
        <w:pStyle w:val="Caption"/>
        <w:jc w:val="center"/>
        <w:rPr>
          <w:color w:val="auto"/>
          <w:szCs w:val="20"/>
          <w:lang w:val="en-GB"/>
        </w:rPr>
      </w:pPr>
      <w:bookmarkStart w:id="10" w:name="_Ref116578558"/>
      <w:bookmarkStart w:id="11" w:name="_Ref89271868"/>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4</w:t>
      </w:r>
      <w:r w:rsidRPr="00A2171C">
        <w:rPr>
          <w:noProof/>
          <w:color w:val="auto"/>
        </w:rPr>
        <w:fldChar w:fldCharType="end"/>
      </w:r>
      <w:bookmarkEnd w:id="10"/>
      <w:r w:rsidRPr="00A2171C">
        <w:rPr>
          <w:color w:val="auto"/>
          <w:lang w:val="en-US"/>
        </w:rPr>
        <w:t>:</w:t>
      </w:r>
      <w:bookmarkEnd w:id="11"/>
      <w:r w:rsidRPr="00A2171C">
        <w:rPr>
          <w:color w:val="auto"/>
          <w:szCs w:val="20"/>
          <w:lang w:val="en-GB"/>
        </w:rPr>
        <w:t xml:space="preserve"> </w:t>
      </w:r>
      <w:r w:rsidRPr="00A2171C">
        <w:rPr>
          <w:rFonts w:eastAsia="Times New Roman" w:cs="Times New Roman"/>
          <w:color w:val="auto"/>
          <w:szCs w:val="20"/>
          <w:lang w:val="en-GB"/>
        </w:rPr>
        <w:t>Example of classicist style: Adriana Cousiño cité 320, in a divided block (n° 22) with small lots</w:t>
      </w:r>
    </w:p>
    <w:p w14:paraId="61686B26" w14:textId="79CF14AB" w:rsidR="00A46867" w:rsidRPr="00A2171C" w:rsidRDefault="00A46867" w:rsidP="00A46867">
      <w:pPr>
        <w:pBdr>
          <w:top w:val="nil"/>
          <w:left w:val="nil"/>
          <w:bottom w:val="nil"/>
          <w:right w:val="nil"/>
          <w:between w:val="nil"/>
        </w:pBdr>
        <w:rPr>
          <w:rFonts w:eastAsia="Times New Roman" w:cs="Times New Roman"/>
          <w:szCs w:val="20"/>
          <w:lang w:val="en-GB"/>
        </w:rPr>
      </w:pPr>
      <w:r w:rsidRPr="00A2171C">
        <w:rPr>
          <w:rFonts w:eastAsia="Times New Roman" w:cs="Times New Roman"/>
          <w:szCs w:val="20"/>
          <w:lang w:val="en-GB"/>
        </w:rPr>
        <w:t xml:space="preserve">While in the case of 2-storey CL&amp;Va_T1 buildings, the absence of compartment walls and shared partitions between adjacent SUs favour fire spreading; for the 2-storey CL&amp;Va_T2 structures, the masonry partition walls help contain the spread of fire and allow people to reach other areas of the building with better chances to exit. In CD buildings, the modifications, remodelling, enlargement, and addition have direct implications on the fire vulnerabilities, thus increasing the risk of spread and propagation. Recent fires in this neighborhood have shown the high vulnerability of CL&amp;Va_T1 buildings. In fact, the 11.09.2021, 17.10.2020, and 07.10.2020 fires generated in a single residential unit, quickly expander over 5-8 adjacent properties affecting between 40 to 113 people including children. Although the rapid development of fires is extremely dangerous for rescue actions, the prompt evacuation and combat observed during the last fires has been effective, recording less than 1% (0.6%) fatalities in the last 21 fires (4 people). </w:t>
      </w:r>
    </w:p>
    <w:p w14:paraId="7DE38A30" w14:textId="299A8A18" w:rsidR="00A46867" w:rsidRPr="00A2171C" w:rsidRDefault="00A46867" w:rsidP="00A46867">
      <w:pPr>
        <w:pBdr>
          <w:top w:val="nil"/>
          <w:left w:val="nil"/>
          <w:bottom w:val="nil"/>
          <w:right w:val="nil"/>
          <w:between w:val="nil"/>
        </w:pBdr>
        <w:spacing w:before="240" w:after="0"/>
        <w:rPr>
          <w:rFonts w:eastAsia="Times New Roman" w:cs="Times New Roman"/>
          <w:szCs w:val="20"/>
          <w:lang w:val="en-GB"/>
        </w:rPr>
      </w:pPr>
      <w:r w:rsidRPr="00A2171C">
        <w:rPr>
          <w:rFonts w:eastAsia="Times New Roman" w:cs="Times New Roman"/>
          <w:szCs w:val="20"/>
          <w:lang w:val="en-GB"/>
        </w:rPr>
        <w:t>Between 2016 and 2021, 21 Yungay’s structural fires in historical buildings (</w:t>
      </w:r>
      <w:r w:rsidR="00563B1C" w:rsidRPr="00A2171C">
        <w:rPr>
          <w:rFonts w:eastAsia="Times New Roman" w:cs="Times New Roman"/>
          <w:szCs w:val="20"/>
          <w:lang w:val="en-GB"/>
        </w:rPr>
        <w:fldChar w:fldCharType="begin"/>
      </w:r>
      <w:r w:rsidR="00563B1C" w:rsidRPr="00A2171C">
        <w:rPr>
          <w:rFonts w:eastAsia="Times New Roman" w:cs="Times New Roman"/>
          <w:szCs w:val="20"/>
          <w:lang w:val="en-GB"/>
        </w:rPr>
        <w:instrText xml:space="preserve"> REF _Ref121162984 \h </w:instrText>
      </w:r>
      <w:r w:rsidR="00563B1C" w:rsidRPr="00A2171C">
        <w:rPr>
          <w:rFonts w:eastAsia="Times New Roman" w:cs="Times New Roman"/>
          <w:szCs w:val="20"/>
          <w:lang w:val="en-GB"/>
        </w:rPr>
      </w:r>
      <w:r w:rsidR="00563B1C"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5</w:t>
      </w:r>
      <w:r w:rsidR="00563B1C" w:rsidRPr="00A2171C">
        <w:rPr>
          <w:rFonts w:eastAsia="Times New Roman" w:cs="Times New Roman"/>
          <w:szCs w:val="20"/>
          <w:lang w:val="en-GB"/>
        </w:rPr>
        <w:fldChar w:fldCharType="end"/>
      </w:r>
      <w:r w:rsidRPr="00A2171C">
        <w:rPr>
          <w:rFonts w:eastAsia="Times New Roman" w:cs="Times New Roman"/>
          <w:szCs w:val="20"/>
          <w:lang w:val="en-GB"/>
        </w:rPr>
        <w:t xml:space="preserve">) caused losses of 17.4% of its building heritage. About 77 historical properties were irreparably damaged by fires, more than 580 people lost their homes or suffered physical damage, and as said before, 4 people died. The inherent fire exposure and risk of historical buildings due to their morphology, construction systems, and materials, are dramatically increased by socio-demographic vulnerabilities that negatively impact resilience. </w:t>
      </w:r>
    </w:p>
    <w:tbl>
      <w:tblPr>
        <w:tblStyle w:val="TableGrid"/>
        <w:tblW w:w="0" w:type="auto"/>
        <w:jc w:val="center"/>
        <w:tblLook w:val="04A0" w:firstRow="1" w:lastRow="0" w:firstColumn="1" w:lastColumn="0" w:noHBand="0" w:noVBand="1"/>
      </w:tblPr>
      <w:tblGrid>
        <w:gridCol w:w="7370"/>
      </w:tblGrid>
      <w:tr w:rsidR="00A2171C" w:rsidRPr="00A2171C" w14:paraId="5AACB9CD" w14:textId="77777777" w:rsidTr="000772EE">
        <w:trPr>
          <w:jc w:val="center"/>
        </w:trPr>
        <w:tc>
          <w:tcPr>
            <w:tcW w:w="7370" w:type="dxa"/>
            <w:vAlign w:val="center"/>
          </w:tcPr>
          <w:p w14:paraId="2AC56445" w14:textId="77777777" w:rsidR="003D1839" w:rsidRPr="00A2171C" w:rsidRDefault="003D1839" w:rsidP="008C0AF2">
            <w:pPr>
              <w:keepNext/>
              <w:jc w:val="center"/>
              <w:rPr>
                <w:rFonts w:eastAsia="Times New Roman" w:cs="Times New Roman"/>
                <w:noProof/>
                <w:sz w:val="4"/>
                <w:szCs w:val="4"/>
                <w:lang w:val="en-US"/>
              </w:rPr>
            </w:pPr>
          </w:p>
          <w:p w14:paraId="518E49A9" w14:textId="3F57EA54" w:rsidR="000772EE" w:rsidRPr="00A2171C" w:rsidRDefault="000772EE" w:rsidP="008C0AF2">
            <w:pPr>
              <w:keepNext/>
              <w:jc w:val="center"/>
              <w:rPr>
                <w:rFonts w:eastAsia="Times New Roman" w:cs="Times New Roman"/>
                <w:szCs w:val="20"/>
                <w:lang w:val="en-GB"/>
              </w:rPr>
            </w:pPr>
            <w:r w:rsidRPr="00A2171C">
              <w:rPr>
                <w:rFonts w:eastAsia="Times New Roman" w:cs="Times New Roman"/>
                <w:noProof/>
                <w:szCs w:val="20"/>
              </w:rPr>
              <w:drawing>
                <wp:inline distT="0" distB="0" distL="0" distR="0" wp14:anchorId="2F8E90F1" wp14:editId="38021B0A">
                  <wp:extent cx="4381500" cy="48848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0497" cy="4950577"/>
                          </a:xfrm>
                          <a:prstGeom prst="rect">
                            <a:avLst/>
                          </a:prstGeom>
                          <a:noFill/>
                          <a:ln>
                            <a:noFill/>
                          </a:ln>
                        </pic:spPr>
                      </pic:pic>
                    </a:graphicData>
                  </a:graphic>
                </wp:inline>
              </w:drawing>
            </w:r>
          </w:p>
        </w:tc>
      </w:tr>
    </w:tbl>
    <w:p w14:paraId="2F60CC68" w14:textId="64F17B9C" w:rsidR="000772EE" w:rsidRPr="00A2171C" w:rsidRDefault="00AC5E9F" w:rsidP="00AC5E9F">
      <w:pPr>
        <w:pStyle w:val="Caption"/>
        <w:rPr>
          <w:color w:val="auto"/>
          <w:lang w:val="en-US"/>
        </w:rPr>
      </w:pPr>
      <w:bookmarkStart w:id="12" w:name="_Ref121162984"/>
      <w:bookmarkStart w:id="13" w:name="_Ref89267091"/>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5</w:t>
      </w:r>
      <w:r w:rsidRPr="00A2171C">
        <w:rPr>
          <w:color w:val="auto"/>
        </w:rPr>
        <w:fldChar w:fldCharType="end"/>
      </w:r>
      <w:bookmarkEnd w:id="12"/>
      <w:r w:rsidR="000772EE" w:rsidRPr="00A2171C">
        <w:rPr>
          <w:color w:val="auto"/>
          <w:lang w:val="en-US"/>
        </w:rPr>
        <w:t xml:space="preserve">: </w:t>
      </w:r>
      <w:bookmarkEnd w:id="13"/>
      <w:r w:rsidR="000772EE" w:rsidRPr="00A2171C">
        <w:rPr>
          <w:color w:val="auto"/>
          <w:lang w:val="en-US"/>
        </w:rPr>
        <w:t xml:space="preserve"> </w:t>
      </w:r>
      <w:r w:rsidR="000772EE" w:rsidRPr="00A2171C">
        <w:rPr>
          <w:color w:val="auto"/>
          <w:lang w:val="en-GB"/>
        </w:rPr>
        <w:t>Fires of historical buildings of Yungay’s quarter in Santiago, Chile (Metropolitan region, RM), between 2017 and 2022. (A) 26.04.2022 fire in Esperanza 581; (B) 21.02.2022 fire of Libertad 550; (C) 07.10.2020 fire of Agustinas 2321; (D) 17.10.2020 fire of Yungay’s square; (E) 13.12.2020 fire of Garcia Reyes 521; and (F) 11.09.2021 fire of Esperanza 377-365 (</w:t>
      </w:r>
      <w:r w:rsidR="000772EE" w:rsidRPr="00A2171C">
        <w:rPr>
          <w:rFonts w:eastAsia="Times New Roman" w:cs="Times New Roman"/>
          <w:noProof/>
          <w:color w:val="auto"/>
          <w:szCs w:val="20"/>
          <w:lang w:val="en-GB"/>
        </w:rPr>
        <w:t>SBI, 2021</w:t>
      </w:r>
      <w:r w:rsidR="000772EE" w:rsidRPr="00A2171C">
        <w:rPr>
          <w:color w:val="auto"/>
          <w:lang w:val="en-US"/>
        </w:rPr>
        <w:t>).</w:t>
      </w:r>
    </w:p>
    <w:p w14:paraId="5603CA0E" w14:textId="77777777" w:rsidR="00A46867" w:rsidRPr="00A2171C" w:rsidRDefault="00A46867" w:rsidP="00A46867">
      <w:pPr>
        <w:pStyle w:val="Heading1"/>
        <w:numPr>
          <w:ilvl w:val="0"/>
          <w:numId w:val="1"/>
        </w:numPr>
        <w:rPr>
          <w:lang w:val="en-GB"/>
        </w:rPr>
      </w:pPr>
      <w:r w:rsidRPr="00A2171C">
        <w:rPr>
          <w:lang w:val="en-GB"/>
        </w:rPr>
        <w:t>Fire risk assessment of Yungay Quarter</w:t>
      </w:r>
    </w:p>
    <w:p w14:paraId="6A6B6E66" w14:textId="77777777" w:rsidR="00A46867" w:rsidRPr="00A2171C" w:rsidRDefault="00A46867" w:rsidP="00A46867">
      <w:pPr>
        <w:pStyle w:val="Heading2"/>
        <w:spacing w:before="0"/>
        <w:rPr>
          <w:color w:val="auto"/>
          <w:sz w:val="22"/>
          <w:szCs w:val="22"/>
          <w:lang w:val="en-US"/>
        </w:rPr>
      </w:pPr>
      <w:r w:rsidRPr="00A2171C">
        <w:rPr>
          <w:color w:val="auto"/>
          <w:sz w:val="22"/>
          <w:szCs w:val="22"/>
          <w:lang w:val="en-US"/>
        </w:rPr>
        <w:t xml:space="preserve">3.1 Inspection Procedure and Database Construction </w:t>
      </w:r>
    </w:p>
    <w:p w14:paraId="36772DCD" w14:textId="3E8AE412" w:rsidR="00A46867" w:rsidRPr="00A2171C" w:rsidRDefault="00A46867" w:rsidP="00A46867">
      <w:pPr>
        <w:shd w:val="clear" w:color="auto" w:fill="FFFFFF"/>
        <w:rPr>
          <w:rFonts w:eastAsia="Times New Roman" w:cs="Times New Roman"/>
          <w:szCs w:val="20"/>
          <w:lang w:val="en-GB"/>
        </w:rPr>
      </w:pPr>
      <w:r w:rsidRPr="00A2171C">
        <w:rPr>
          <w:rFonts w:eastAsia="Times New Roman" w:cs="Times New Roman"/>
          <w:szCs w:val="20"/>
          <w:lang w:val="en-GB"/>
        </w:rPr>
        <w:t xml:space="preserve">In order to develop a complete database to assess the fire risk vulnerability, a stock of 443 SUs corresponding to aggregate unreinforced masonry buildings of the Typical Zone were identified and directly inspected between April 2020 and November 2021. During this period, two instances of community participation were carried out by </w:t>
      </w:r>
      <w:r w:rsidRPr="00A2171C">
        <w:rPr>
          <w:rFonts w:eastAsia="Times New Roman" w:cs="Times New Roman"/>
          <w:i/>
          <w:szCs w:val="20"/>
          <w:lang w:val="en-GB"/>
        </w:rPr>
        <w:t>Vecinos del Barrio Yungay</w:t>
      </w:r>
      <w:r w:rsidRPr="00A2171C">
        <w:rPr>
          <w:rFonts w:eastAsia="Times New Roman" w:cs="Times New Roman"/>
          <w:szCs w:val="20"/>
          <w:lang w:val="en-GB"/>
        </w:rPr>
        <w:t xml:space="preserve"> (neighbors of the Yungay’s quarter), with the aim of presenting the research and requesting to complete a questionnaire to collect some data necessary for risk analyses. A total of 384 questionnaires were obtained and processed such as the state of conservation of the electricity system, the number of inhabitants, the number of </w:t>
      </w:r>
      <w:r w:rsidR="00DD1213" w:rsidRPr="00A2171C">
        <w:rPr>
          <w:rFonts w:eastAsia="Times New Roman" w:cs="Times New Roman"/>
          <w:szCs w:val="20"/>
          <w:lang w:val="en-US"/>
        </w:rPr>
        <w:t xml:space="preserve">extension cords </w:t>
      </w:r>
      <w:r w:rsidRPr="00A2171C">
        <w:rPr>
          <w:rFonts w:eastAsia="Times New Roman" w:cs="Times New Roman"/>
          <w:szCs w:val="20"/>
          <w:lang w:val="en-GB"/>
        </w:rPr>
        <w:t xml:space="preserve">and households used, and the type of heating system. This information was supplemented with the database of constructive, architectural, and urbanistic parameters of the Yungay´s Sus. The database was processed in a GIS software, using the Q-Geographic Information </w:t>
      </w:r>
      <w:r w:rsidRPr="00A2171C">
        <w:rPr>
          <w:rFonts w:eastAsia="Times New Roman" w:cs="Times New Roman"/>
          <w:szCs w:val="20"/>
          <w:lang w:val="en-GB"/>
        </w:rPr>
        <w:lastRenderedPageBreak/>
        <w:t xml:space="preserve">System open-source suite (QGIS), which allows combination of geo-referenced graphical data (vectorized information and orthophoto maps) with building parameters. Each polygon corresponding to a building, was linked with surveyed features allowing for visualization, selection, searching, layering and editing of building information. All data processed with the GIS tool could be updated at any time and will be openly available. </w:t>
      </w:r>
    </w:p>
    <w:p w14:paraId="1524D6C9" w14:textId="77777777" w:rsidR="00A46867" w:rsidRPr="00A2171C" w:rsidRDefault="00A46867" w:rsidP="00A46867">
      <w:pPr>
        <w:pStyle w:val="Heading2"/>
        <w:rPr>
          <w:color w:val="auto"/>
          <w:sz w:val="22"/>
          <w:szCs w:val="22"/>
          <w:lang w:val="en-US"/>
        </w:rPr>
      </w:pPr>
      <w:r w:rsidRPr="00A2171C">
        <w:rPr>
          <w:color w:val="auto"/>
          <w:sz w:val="22"/>
          <w:szCs w:val="22"/>
          <w:lang w:val="en-US"/>
        </w:rPr>
        <w:t>3.2 Proposed Methodology for Fire Vulnerability Assessment of Historic Aggregate Buildings</w:t>
      </w:r>
    </w:p>
    <w:p w14:paraId="4ADE08A5" w14:textId="02CCFD38" w:rsidR="00A46867" w:rsidRPr="00A2171C" w:rsidRDefault="00A46867" w:rsidP="00A46867">
      <w:pPr>
        <w:pBdr>
          <w:top w:val="nil"/>
          <w:left w:val="nil"/>
          <w:bottom w:val="nil"/>
          <w:right w:val="nil"/>
          <w:between w:val="nil"/>
        </w:pBdr>
        <w:spacing w:after="0"/>
        <w:rPr>
          <w:rFonts w:eastAsia="Times New Roman" w:cs="Times New Roman"/>
          <w:szCs w:val="20"/>
          <w:lang w:val="en-GB"/>
        </w:rPr>
      </w:pPr>
      <w:r w:rsidRPr="00A2171C">
        <w:rPr>
          <w:rFonts w:eastAsia="Times New Roman" w:cs="Times New Roman"/>
          <w:szCs w:val="20"/>
          <w:lang w:val="en-US"/>
        </w:rPr>
        <w:t>I</w:t>
      </w:r>
      <w:r w:rsidRPr="00A2171C">
        <w:rPr>
          <w:rFonts w:eastAsia="Times New Roman" w:cs="Times New Roman"/>
          <w:szCs w:val="20"/>
          <w:lang w:val="en-GB"/>
        </w:rPr>
        <w:t xml:space="preserve">n this research, a modified version of the </w:t>
      </w:r>
      <w:r w:rsidRPr="00A2171C">
        <w:rPr>
          <w:rFonts w:eastAsia="Times New Roman" w:cs="Times New Roman"/>
          <w:szCs w:val="20"/>
          <w:lang w:val="en-US"/>
        </w:rPr>
        <w:t xml:space="preserve">FRI </w:t>
      </w:r>
      <w:r w:rsidRPr="00A2171C">
        <w:rPr>
          <w:rFonts w:eastAsia="Times New Roman" w:cs="Times New Roman"/>
          <w:szCs w:val="20"/>
          <w:lang w:val="en-GB"/>
        </w:rPr>
        <w:t xml:space="preserve">method was selected to assess fire vulnerability of historic aggregate buildings. The FRI method was adapted to specific </w:t>
      </w:r>
      <w:r w:rsidRPr="00A2171C">
        <w:rPr>
          <w:szCs w:val="20"/>
          <w:lang w:val="en-US"/>
        </w:rPr>
        <w:t xml:space="preserve">typological, constructive, and structural characteristics of the Chilean historic buildings, which are representative of several other South American historic urban centers. </w:t>
      </w:r>
      <w:r w:rsidRPr="00A2171C">
        <w:rPr>
          <w:rFonts w:eastAsia="Times New Roman" w:cs="Times New Roman"/>
          <w:szCs w:val="20"/>
          <w:lang w:val="en-GB"/>
        </w:rPr>
        <w:t>Following the conceptual basis of the ARICA method, the FRI method is composed of two global factors: a global risk factor (</w:t>
      </w:r>
      <w:r w:rsidRPr="00A2171C">
        <w:rPr>
          <w:rFonts w:eastAsia="Times New Roman" w:cs="Times New Roman"/>
          <w:i/>
          <w:szCs w:val="20"/>
          <w:lang w:val="en-GB"/>
        </w:rPr>
        <w:t>FGR</w:t>
      </w:r>
      <w:r w:rsidRPr="00A2171C">
        <w:rPr>
          <w:rFonts w:eastAsia="Times New Roman" w:cs="Times New Roman"/>
          <w:szCs w:val="20"/>
          <w:lang w:val="en-GB"/>
        </w:rPr>
        <w:t>) and a global efficiency factor (</w:t>
      </w:r>
      <w:r w:rsidRPr="00A2171C">
        <w:rPr>
          <w:rFonts w:eastAsia="Times New Roman" w:cs="Times New Roman"/>
          <w:i/>
          <w:szCs w:val="20"/>
          <w:lang w:val="en-GB"/>
        </w:rPr>
        <w:t>FGE</w:t>
      </w:r>
      <w:r w:rsidRPr="00A2171C">
        <w:rPr>
          <w:rFonts w:eastAsia="Times New Roman" w:cs="Times New Roman"/>
          <w:szCs w:val="20"/>
          <w:lang w:val="en-GB"/>
        </w:rPr>
        <w:t>), which together form the Fire Risk Index (</w:t>
      </w:r>
      <w:r w:rsidRPr="00A2171C">
        <w:rPr>
          <w:rFonts w:eastAsia="Times New Roman" w:cs="Times New Roman"/>
          <w:i/>
          <w:szCs w:val="20"/>
          <w:lang w:val="en-GB"/>
        </w:rPr>
        <w:t>FR</w:t>
      </w:r>
      <w:r w:rsidRPr="00A2171C">
        <w:rPr>
          <w:rFonts w:eastAsia="Times New Roman" w:cs="Times New Roman"/>
          <w:i/>
          <w:szCs w:val="20"/>
          <w:vertAlign w:val="subscript"/>
          <w:lang w:val="en-GB"/>
        </w:rPr>
        <w:t>I</w:t>
      </w:r>
      <w:r w:rsidRPr="00A2171C">
        <w:rPr>
          <w:rFonts w:eastAsia="Times New Roman" w:cs="Times New Roman"/>
          <w:szCs w:val="20"/>
          <w:lang w:val="en-GB"/>
        </w:rPr>
        <w:t>). As shown in</w:t>
      </w:r>
      <w:r w:rsidR="00D92328" w:rsidRPr="00A2171C">
        <w:rPr>
          <w:rFonts w:eastAsia="Times New Roman" w:cs="Times New Roman"/>
          <w:szCs w:val="20"/>
          <w:lang w:val="en-GB"/>
        </w:rPr>
        <w:t xml:space="preserve"> </w:t>
      </w:r>
      <w:r w:rsidR="00D92328" w:rsidRPr="00A2171C">
        <w:rPr>
          <w:rFonts w:eastAsia="Times New Roman" w:cs="Times New Roman"/>
          <w:szCs w:val="20"/>
          <w:lang w:val="en-GB"/>
        </w:rPr>
        <w:fldChar w:fldCharType="begin"/>
      </w:r>
      <w:r w:rsidR="00D92328" w:rsidRPr="00A2171C">
        <w:rPr>
          <w:rFonts w:eastAsia="Times New Roman" w:cs="Times New Roman"/>
          <w:szCs w:val="20"/>
          <w:lang w:val="en-GB"/>
        </w:rPr>
        <w:instrText xml:space="preserve"> REF _Ref121155972 \h </w:instrText>
      </w:r>
      <w:r w:rsidR="00D92328" w:rsidRPr="00A2171C">
        <w:rPr>
          <w:rFonts w:eastAsia="Times New Roman" w:cs="Times New Roman"/>
          <w:szCs w:val="20"/>
          <w:lang w:val="en-GB"/>
        </w:rPr>
      </w:r>
      <w:r w:rsidR="00D92328" w:rsidRPr="00A2171C">
        <w:rPr>
          <w:rFonts w:eastAsia="Times New Roman" w:cs="Times New Roman"/>
          <w:szCs w:val="20"/>
          <w:lang w:val="en-GB"/>
        </w:rPr>
        <w:fldChar w:fldCharType="separate"/>
      </w:r>
      <w:r w:rsidR="00C20049" w:rsidRPr="00A2171C">
        <w:rPr>
          <w:lang w:val="en-US"/>
        </w:rPr>
        <w:t xml:space="preserve">Table </w:t>
      </w:r>
      <w:r w:rsidR="00C20049" w:rsidRPr="00A2171C">
        <w:rPr>
          <w:noProof/>
          <w:lang w:val="en-US"/>
        </w:rPr>
        <w:t>1</w:t>
      </w:r>
      <w:r w:rsidR="00D92328" w:rsidRPr="00A2171C">
        <w:rPr>
          <w:rFonts w:eastAsia="Times New Roman" w:cs="Times New Roman"/>
          <w:szCs w:val="20"/>
          <w:lang w:val="en-GB"/>
        </w:rPr>
        <w:fldChar w:fldCharType="end"/>
      </w:r>
      <w:r w:rsidRPr="00A2171C">
        <w:rPr>
          <w:rFonts w:eastAsia="Times New Roman" w:cs="Times New Roman"/>
          <w:szCs w:val="20"/>
          <w:lang w:val="en-GB"/>
        </w:rPr>
        <w:t xml:space="preserve">, the </w:t>
      </w:r>
      <w:r w:rsidRPr="00A2171C">
        <w:rPr>
          <w:rFonts w:eastAsia="Times New Roman" w:cs="Times New Roman"/>
          <w:i/>
          <w:szCs w:val="20"/>
          <w:lang w:val="en-GB"/>
        </w:rPr>
        <w:t>FGR</w:t>
      </w:r>
      <w:r w:rsidRPr="00A2171C">
        <w:rPr>
          <w:rFonts w:eastAsia="Times New Roman" w:cs="Times New Roman"/>
          <w:szCs w:val="20"/>
          <w:lang w:val="en-GB"/>
        </w:rPr>
        <w:t xml:space="preserve"> is composed of three additional factors related to fire ignition (</w:t>
      </w:r>
      <w:r w:rsidRPr="00A2171C">
        <w:rPr>
          <w:rFonts w:eastAsia="Times New Roman" w:cs="Times New Roman"/>
          <w:i/>
          <w:szCs w:val="20"/>
          <w:lang w:val="en-GB"/>
        </w:rPr>
        <w:t>SF</w:t>
      </w:r>
      <w:r w:rsidRPr="00A2171C">
        <w:rPr>
          <w:rFonts w:eastAsia="Times New Roman" w:cs="Times New Roman"/>
          <w:i/>
          <w:szCs w:val="20"/>
          <w:vertAlign w:val="subscript"/>
          <w:lang w:val="en-GB"/>
        </w:rPr>
        <w:t>I</w:t>
      </w:r>
      <w:r w:rsidRPr="00A2171C">
        <w:rPr>
          <w:rFonts w:eastAsia="Times New Roman" w:cs="Times New Roman"/>
          <w:szCs w:val="20"/>
          <w:lang w:val="en-GB"/>
        </w:rPr>
        <w:t>), fire propagation (</w:t>
      </w:r>
      <w:r w:rsidRPr="00A2171C">
        <w:rPr>
          <w:rFonts w:eastAsia="Times New Roman" w:cs="Times New Roman"/>
          <w:i/>
          <w:szCs w:val="20"/>
          <w:lang w:val="en-GB"/>
        </w:rPr>
        <w:t>SF</w:t>
      </w:r>
      <w:r w:rsidRPr="00A2171C">
        <w:rPr>
          <w:rFonts w:eastAsia="Times New Roman" w:cs="Times New Roman"/>
          <w:i/>
          <w:szCs w:val="20"/>
          <w:vertAlign w:val="subscript"/>
          <w:lang w:val="en-GB"/>
        </w:rPr>
        <w:t>P</w:t>
      </w:r>
      <w:r w:rsidRPr="00A2171C">
        <w:rPr>
          <w:rFonts w:eastAsia="Times New Roman" w:cs="Times New Roman"/>
          <w:szCs w:val="20"/>
          <w:lang w:val="en-GB"/>
        </w:rPr>
        <w:t>) and evacuation (</w:t>
      </w:r>
      <w:r w:rsidRPr="00A2171C">
        <w:rPr>
          <w:rFonts w:eastAsia="Times New Roman" w:cs="Times New Roman"/>
          <w:i/>
          <w:szCs w:val="20"/>
          <w:lang w:val="en-GB"/>
        </w:rPr>
        <w:t>SF</w:t>
      </w:r>
      <w:r w:rsidRPr="00A2171C">
        <w:rPr>
          <w:rFonts w:eastAsia="Times New Roman" w:cs="Times New Roman"/>
          <w:i/>
          <w:szCs w:val="20"/>
          <w:vertAlign w:val="subscript"/>
          <w:lang w:val="en-GB"/>
        </w:rPr>
        <w:t>E</w:t>
      </w:r>
      <w:r w:rsidRPr="00A2171C">
        <w:rPr>
          <w:rFonts w:eastAsia="Times New Roman" w:cs="Times New Roman"/>
          <w:szCs w:val="20"/>
          <w:lang w:val="en-GB"/>
        </w:rPr>
        <w:t>), whereas FGE is related to the fire combat factor (</w:t>
      </w:r>
      <w:r w:rsidRPr="00A2171C">
        <w:rPr>
          <w:rFonts w:eastAsia="Times New Roman" w:cs="Times New Roman"/>
          <w:i/>
          <w:szCs w:val="20"/>
          <w:lang w:val="en-GB"/>
        </w:rPr>
        <w:t>SF</w:t>
      </w:r>
      <w:r w:rsidRPr="00A2171C">
        <w:rPr>
          <w:rFonts w:eastAsia="Times New Roman" w:cs="Times New Roman"/>
          <w:i/>
          <w:szCs w:val="20"/>
          <w:vertAlign w:val="subscript"/>
          <w:lang w:val="en-GB"/>
        </w:rPr>
        <w:t>C</w:t>
      </w:r>
      <w:r w:rsidRPr="00A2171C">
        <w:rPr>
          <w:rFonts w:eastAsia="Times New Roman" w:cs="Times New Roman"/>
          <w:szCs w:val="20"/>
          <w:lang w:val="en-GB"/>
        </w:rPr>
        <w:t>). The FRI is obtained by taking the quotient between the weighted average of the four factors already mentioned and a Reference Risk Factor (</w:t>
      </w:r>
      <w:r w:rsidRPr="00A2171C">
        <w:rPr>
          <w:rFonts w:eastAsia="Times New Roman" w:cs="Times New Roman"/>
          <w:i/>
          <w:szCs w:val="20"/>
          <w:lang w:val="en-GB"/>
        </w:rPr>
        <w:t>FR</w:t>
      </w:r>
      <w:r w:rsidRPr="00A2171C">
        <w:rPr>
          <w:rFonts w:eastAsia="Times New Roman" w:cs="Times New Roman"/>
          <w:i/>
          <w:szCs w:val="20"/>
          <w:vertAlign w:val="subscript"/>
          <w:lang w:val="en-GB"/>
        </w:rPr>
        <w:t>R</w:t>
      </w:r>
      <w:r w:rsidRPr="00A2171C">
        <w:rPr>
          <w:rFonts w:eastAsia="Times New Roman" w:cs="Times New Roman"/>
          <w:szCs w:val="20"/>
          <w:lang w:val="en-GB"/>
        </w:rPr>
        <w:t>) that considers the type of building use, i.e.</w:t>
      </w:r>
      <w:r w:rsidR="00527DF8" w:rsidRPr="00A2171C">
        <w:rPr>
          <w:rFonts w:eastAsia="Times New Roman" w:cs="Times New Roman"/>
          <w:szCs w:val="20"/>
          <w:lang w:val="en-GB"/>
        </w:rPr>
        <w:t xml:space="preserve"> </w:t>
      </w:r>
    </w:p>
    <w:p w14:paraId="42FE7C9B" w14:textId="77777777" w:rsidR="00A46867" w:rsidRPr="00A2171C" w:rsidRDefault="00000000" w:rsidP="00A46867">
      <w:pPr>
        <w:jc w:val="right"/>
        <w:rPr>
          <w:rFonts w:eastAsia="Times New Roman" w:cs="Times New Roman"/>
          <w:szCs w:val="20"/>
        </w:rPr>
      </w:pPr>
      <m:oMathPara>
        <m:oMathParaPr>
          <m:jc m:val="right"/>
        </m:oMathParaPr>
        <m:oMath>
          <m:sSub>
            <m:sSubPr>
              <m:ctrlPr>
                <w:rPr>
                  <w:rFonts w:ascii="Cambria Math" w:eastAsia="Times New Roman" w:hAnsi="Cambria Math" w:cs="Times New Roman"/>
                  <w:szCs w:val="20"/>
                </w:rPr>
              </m:ctrlPr>
            </m:sSubPr>
            <m:e>
              <m:r>
                <w:rPr>
                  <w:rFonts w:ascii="Cambria Math" w:eastAsia="Times New Roman" w:hAnsi="Cambria Math" w:cs="Times New Roman"/>
                  <w:szCs w:val="20"/>
                </w:rPr>
                <m:t>FR</m:t>
              </m:r>
            </m:e>
            <m:sub>
              <m:r>
                <w:rPr>
                  <w:rFonts w:ascii="Cambria Math" w:eastAsia="Times New Roman" w:hAnsi="Cambria Math" w:cs="Times New Roman"/>
                  <w:szCs w:val="20"/>
                </w:rPr>
                <m:t>I</m:t>
              </m:r>
            </m:sub>
          </m:sSub>
          <m:r>
            <w:rPr>
              <w:rFonts w:ascii="Cambria Math" w:eastAsia="Times New Roman" w:hAnsi="Cambria Math" w:cs="Times New Roman"/>
              <w:szCs w:val="20"/>
            </w:rPr>
            <m:t>=</m:t>
          </m:r>
          <m:f>
            <m:fPr>
              <m:ctrlPr>
                <w:rPr>
                  <w:rFonts w:ascii="Cambria Math" w:eastAsia="Times New Roman" w:hAnsi="Cambria Math" w:cs="Times New Roman"/>
                  <w:szCs w:val="20"/>
                </w:rPr>
              </m:ctrlPr>
            </m:fPr>
            <m:num>
              <m:r>
                <w:rPr>
                  <w:rFonts w:ascii="Cambria Math" w:eastAsia="Times New Roman" w:hAnsi="Cambria Math" w:cs="Times New Roman"/>
                  <w:szCs w:val="20"/>
                </w:rPr>
                <m:t>(1.20 ·</m:t>
              </m:r>
              <m:sSub>
                <m:sSubPr>
                  <m:ctrlPr>
                    <w:rPr>
                      <w:rFonts w:ascii="Cambria Math" w:eastAsia="Times New Roman" w:hAnsi="Cambria Math" w:cs="Times New Roman"/>
                      <w:szCs w:val="20"/>
                    </w:rPr>
                  </m:ctrlPr>
                </m:sSubPr>
                <m:e>
                  <m:r>
                    <w:rPr>
                      <w:rFonts w:ascii="Cambria Math" w:eastAsia="Times New Roman" w:hAnsi="Cambria Math" w:cs="Times New Roman"/>
                      <w:szCs w:val="20"/>
                    </w:rPr>
                    <m:t>SF</m:t>
                  </m:r>
                </m:e>
                <m:sub>
                  <m:r>
                    <w:rPr>
                      <w:rFonts w:ascii="Cambria Math" w:eastAsia="Times New Roman" w:hAnsi="Cambria Math" w:cs="Times New Roman"/>
                      <w:szCs w:val="20"/>
                    </w:rPr>
                    <m:t>I</m:t>
                  </m:r>
                </m:sub>
              </m:sSub>
              <m:r>
                <w:rPr>
                  <w:rFonts w:ascii="Cambria Math" w:eastAsia="Times New Roman" w:hAnsi="Cambria Math" w:cs="Times New Roman"/>
                  <w:szCs w:val="20"/>
                </w:rPr>
                <m:t>+1.10·</m:t>
              </m:r>
              <m:sSub>
                <m:sSubPr>
                  <m:ctrlPr>
                    <w:rPr>
                      <w:rFonts w:ascii="Cambria Math" w:eastAsia="Times New Roman" w:hAnsi="Cambria Math" w:cs="Times New Roman"/>
                      <w:szCs w:val="20"/>
                    </w:rPr>
                  </m:ctrlPr>
                </m:sSubPr>
                <m:e>
                  <m:r>
                    <w:rPr>
                      <w:rFonts w:ascii="Cambria Math" w:eastAsia="Times New Roman" w:hAnsi="Cambria Math" w:cs="Times New Roman"/>
                      <w:szCs w:val="20"/>
                    </w:rPr>
                    <m:t>SF</m:t>
                  </m:r>
                </m:e>
                <m:sub>
                  <m:r>
                    <w:rPr>
                      <w:rFonts w:ascii="Cambria Math" w:eastAsia="Times New Roman" w:hAnsi="Cambria Math" w:cs="Times New Roman"/>
                      <w:szCs w:val="20"/>
                    </w:rPr>
                    <m:t>P</m:t>
                  </m:r>
                </m:sub>
              </m:sSub>
              <m:r>
                <w:rPr>
                  <w:rFonts w:ascii="Cambria Math" w:eastAsia="Times New Roman" w:hAnsi="Cambria Math" w:cs="Times New Roman"/>
                  <w:szCs w:val="20"/>
                </w:rPr>
                <m:t>+</m:t>
              </m:r>
              <m:sSub>
                <m:sSubPr>
                  <m:ctrlPr>
                    <w:rPr>
                      <w:rFonts w:ascii="Cambria Math" w:eastAsia="Times New Roman" w:hAnsi="Cambria Math" w:cs="Times New Roman"/>
                      <w:szCs w:val="20"/>
                    </w:rPr>
                  </m:ctrlPr>
                </m:sSubPr>
                <m:e>
                  <m:r>
                    <w:rPr>
                      <w:rFonts w:ascii="Cambria Math" w:eastAsia="Times New Roman" w:hAnsi="Cambria Math" w:cs="Times New Roman"/>
                      <w:szCs w:val="20"/>
                    </w:rPr>
                    <m:t>SF</m:t>
                  </m:r>
                </m:e>
                <m:sub>
                  <m:r>
                    <w:rPr>
                      <w:rFonts w:ascii="Cambria Math" w:eastAsia="Times New Roman" w:hAnsi="Cambria Math" w:cs="Times New Roman"/>
                      <w:szCs w:val="20"/>
                    </w:rPr>
                    <m:t>E</m:t>
                  </m:r>
                </m:sub>
              </m:sSub>
              <m:r>
                <w:rPr>
                  <w:rFonts w:ascii="Cambria Math" w:eastAsia="Times New Roman" w:hAnsi="Cambria Math" w:cs="Times New Roman"/>
                  <w:szCs w:val="20"/>
                </w:rPr>
                <m:t>+</m:t>
              </m:r>
              <m:sSub>
                <m:sSubPr>
                  <m:ctrlPr>
                    <w:rPr>
                      <w:rFonts w:ascii="Cambria Math" w:eastAsia="Times New Roman" w:hAnsi="Cambria Math" w:cs="Times New Roman"/>
                      <w:szCs w:val="20"/>
                    </w:rPr>
                  </m:ctrlPr>
                </m:sSubPr>
                <m:e>
                  <m:r>
                    <w:rPr>
                      <w:rFonts w:ascii="Cambria Math" w:eastAsia="Times New Roman" w:hAnsi="Cambria Math" w:cs="Times New Roman"/>
                      <w:szCs w:val="20"/>
                    </w:rPr>
                    <m:t>SF</m:t>
                  </m:r>
                </m:e>
                <m:sub>
                  <m:r>
                    <w:rPr>
                      <w:rFonts w:ascii="Cambria Math" w:eastAsia="Times New Roman" w:hAnsi="Cambria Math" w:cs="Times New Roman"/>
                      <w:szCs w:val="20"/>
                    </w:rPr>
                    <m:t>C</m:t>
                  </m:r>
                </m:sub>
              </m:sSub>
              <m:r>
                <w:rPr>
                  <w:rFonts w:ascii="Cambria Math" w:eastAsia="Times New Roman" w:hAnsi="Cambria Math" w:cs="Times New Roman"/>
                  <w:szCs w:val="20"/>
                </w:rPr>
                <m:t>)/4</m:t>
              </m:r>
            </m:num>
            <m:den>
              <m:sSub>
                <m:sSubPr>
                  <m:ctrlPr>
                    <w:rPr>
                      <w:rFonts w:ascii="Cambria Math" w:eastAsia="Times New Roman" w:hAnsi="Cambria Math" w:cs="Times New Roman"/>
                      <w:szCs w:val="20"/>
                    </w:rPr>
                  </m:ctrlPr>
                </m:sSubPr>
                <m:e>
                  <m:r>
                    <w:rPr>
                      <w:rFonts w:ascii="Cambria Math" w:eastAsia="Times New Roman" w:hAnsi="Cambria Math" w:cs="Times New Roman"/>
                      <w:szCs w:val="20"/>
                    </w:rPr>
                    <m:t>FR</m:t>
                  </m:r>
                </m:e>
                <m:sub>
                  <m:r>
                    <w:rPr>
                      <w:rFonts w:ascii="Cambria Math" w:eastAsia="Times New Roman" w:hAnsi="Cambria Math" w:cs="Times New Roman"/>
                      <w:szCs w:val="20"/>
                    </w:rPr>
                    <m:t>R</m:t>
                  </m:r>
                </m:sub>
              </m:sSub>
            </m:den>
          </m:f>
          <m:r>
            <w:rPr>
              <w:rFonts w:ascii="Cambria Math" w:eastAsia="Times New Roman" w:hAnsi="Cambria Math" w:cs="Times New Roman"/>
              <w:szCs w:val="20"/>
            </w:rPr>
            <m:t xml:space="preserve">                                                           (1)</m:t>
          </m:r>
        </m:oMath>
      </m:oMathPara>
    </w:p>
    <w:p w14:paraId="37FF17E8" w14:textId="7B023ED0" w:rsidR="00A46867" w:rsidRPr="00A2171C" w:rsidRDefault="00ED10F3" w:rsidP="00ED10F3">
      <w:pPr>
        <w:pStyle w:val="Caption"/>
        <w:rPr>
          <w:color w:val="auto"/>
          <w:lang w:val="en-GB"/>
        </w:rPr>
      </w:pPr>
      <w:bookmarkStart w:id="14" w:name="_Ref121155972"/>
      <w:r w:rsidRPr="00A2171C">
        <w:rPr>
          <w:color w:val="auto"/>
          <w:lang w:val="en-US"/>
        </w:rPr>
        <w:t xml:space="preserve">Table </w:t>
      </w:r>
      <w:r w:rsidRPr="00A2171C">
        <w:rPr>
          <w:color w:val="auto"/>
        </w:rPr>
        <w:fldChar w:fldCharType="begin"/>
      </w:r>
      <w:r w:rsidRPr="00A2171C">
        <w:rPr>
          <w:color w:val="auto"/>
          <w:lang w:val="en-US"/>
        </w:rPr>
        <w:instrText xml:space="preserve"> SEQ Table \* ARABIC </w:instrText>
      </w:r>
      <w:r w:rsidRPr="00A2171C">
        <w:rPr>
          <w:color w:val="auto"/>
        </w:rPr>
        <w:fldChar w:fldCharType="separate"/>
      </w:r>
      <w:r w:rsidR="00C20049" w:rsidRPr="00A2171C">
        <w:rPr>
          <w:noProof/>
          <w:color w:val="auto"/>
          <w:lang w:val="en-US"/>
        </w:rPr>
        <w:t>1</w:t>
      </w:r>
      <w:r w:rsidRPr="00A2171C">
        <w:rPr>
          <w:color w:val="auto"/>
        </w:rPr>
        <w:fldChar w:fldCharType="end"/>
      </w:r>
      <w:bookmarkEnd w:id="14"/>
      <w:r w:rsidRPr="00A2171C">
        <w:rPr>
          <w:color w:val="auto"/>
          <w:lang w:val="en-GB"/>
        </w:rPr>
        <w:t>:</w:t>
      </w:r>
      <w:r w:rsidR="00A46867" w:rsidRPr="00A2171C">
        <w:rPr>
          <w:color w:val="auto"/>
          <w:lang w:val="en-GB"/>
        </w:rPr>
        <w:t>Fire Risk Index method: Global factors and partial factors</w:t>
      </w:r>
      <w:r w:rsidR="00CC5FDE" w:rsidRPr="00A2171C">
        <w:rPr>
          <w:color w:val="auto"/>
          <w:lang w:val="en-GB"/>
        </w:rPr>
        <w:t xml:space="preserve"> identified in </w:t>
      </w:r>
      <w:r w:rsidR="00CC5FDE" w:rsidRPr="00A2171C">
        <w:rPr>
          <w:color w:val="auto"/>
          <w:lang w:val="en-GB"/>
        </w:rPr>
        <w:fldChar w:fldCharType="begin" w:fldLock="1"/>
      </w:r>
      <w:r w:rsidR="00CC5FDE" w:rsidRPr="00A2171C">
        <w:rPr>
          <w:color w:val="auto"/>
          <w:lang w:val="en-GB"/>
        </w:rPr>
        <w:instrText>ADDIN CSL_CITATION {"citationItems":[{"id":"ITEM-1","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Heritage","id":"ITEM-1","issue":"426","issued":{"date-parts":[["2016"]]},"page":"1-7","title":"Urban fire risk: Evaluation and emergency planning","type":"article-journal","volume":"20"},"uris":["http://www.mendeley.com/documents/?uuid=8b45f97f-58a1-4a84-9208-ddf32f667d2c"]}],"mendeley":{"formattedCitation":"(Ferreira et al., 2016)","manualFormatting":"Ferreira et al., 2016","plainTextFormattedCitation":"(Ferreira et al., 2016)"},"properties":{"noteIndex":0},"schema":"https://github.com/citation-style-language/schema/raw/master/csl-citation.json"}</w:instrText>
      </w:r>
      <w:r w:rsidR="00CC5FDE" w:rsidRPr="00A2171C">
        <w:rPr>
          <w:color w:val="auto"/>
          <w:lang w:val="en-GB"/>
        </w:rPr>
        <w:fldChar w:fldCharType="separate"/>
      </w:r>
      <w:r w:rsidR="00CC5FDE" w:rsidRPr="00A2171C">
        <w:rPr>
          <w:i w:val="0"/>
          <w:noProof/>
          <w:color w:val="auto"/>
          <w:lang w:val="en-GB"/>
        </w:rPr>
        <w:t>Ferreira et al., 2016</w:t>
      </w:r>
      <w:r w:rsidR="00CC5FDE" w:rsidRPr="00A2171C">
        <w:rPr>
          <w:color w:val="auto"/>
          <w:lang w:val="en-GB"/>
        </w:rPr>
        <w:fldChar w:fldCharType="end"/>
      </w:r>
      <w:r w:rsidR="00CC5FDE" w:rsidRPr="00A2171C">
        <w:rPr>
          <w:color w:val="auto"/>
          <w:lang w:val="en-GB"/>
        </w:rPr>
        <w:t xml:space="preserve"> </w:t>
      </w:r>
      <w:r w:rsidR="00A46867" w:rsidRPr="00A2171C">
        <w:rPr>
          <w:color w:val="auto"/>
          <w:lang w:val="en-GB"/>
        </w:rPr>
        <w:t>modified or integrated  in this research.</w:t>
      </w:r>
      <w:r w:rsidR="00A46867" w:rsidRPr="00A2171C">
        <w:rPr>
          <w:rFonts w:eastAsia="Times New Roman" w:cs="Times New Roman"/>
          <w:color w:val="auto"/>
          <w:lang w:val="en-GB"/>
        </w:rPr>
        <w:t xml:space="preserve"> Score values are according to </w:t>
      </w:r>
      <w:r w:rsidR="00A46867" w:rsidRPr="00A2171C">
        <w:rPr>
          <w:rFonts w:eastAsia="Times New Roman" w:cs="Times New Roman"/>
          <w:noProof/>
          <w:color w:val="auto"/>
          <w:szCs w:val="20"/>
          <w:lang w:val="en-GB"/>
        </w:rPr>
        <w:t>Ferreira et al., 2016.</w:t>
      </w:r>
    </w:p>
    <w:tbl>
      <w:tblPr>
        <w:tblW w:w="5000" w:type="pct"/>
        <w:tblBorders>
          <w:top w:val="single" w:sz="4" w:space="0" w:color="auto"/>
          <w:bottom w:val="single" w:sz="4" w:space="0" w:color="auto"/>
          <w:insideH w:val="single" w:sz="4" w:space="0" w:color="7F7F7F" w:themeColor="text1" w:themeTint="80"/>
        </w:tblBorders>
        <w:tblLook w:val="04A0" w:firstRow="1" w:lastRow="0" w:firstColumn="1" w:lastColumn="0" w:noHBand="0" w:noVBand="1"/>
      </w:tblPr>
      <w:tblGrid>
        <w:gridCol w:w="1337"/>
        <w:gridCol w:w="2782"/>
        <w:gridCol w:w="4719"/>
      </w:tblGrid>
      <w:tr w:rsidR="00A2171C" w:rsidRPr="00A2171C" w14:paraId="1BCE160A" w14:textId="77777777" w:rsidTr="00BA2612">
        <w:trPr>
          <w:trHeight w:val="454"/>
        </w:trPr>
        <w:tc>
          <w:tcPr>
            <w:tcW w:w="2330" w:type="pct"/>
            <w:gridSpan w:val="2"/>
            <w:tcBorders>
              <w:top w:val="single" w:sz="4" w:space="0" w:color="auto"/>
              <w:bottom w:val="single" w:sz="4" w:space="0" w:color="auto"/>
            </w:tcBorders>
            <w:vAlign w:val="center"/>
          </w:tcPr>
          <w:p w14:paraId="5044F1B4" w14:textId="77777777" w:rsidR="00A46867" w:rsidRPr="00A2171C" w:rsidRDefault="00A46867" w:rsidP="00EC1FCC">
            <w:pPr>
              <w:pBdr>
                <w:top w:val="nil"/>
                <w:left w:val="nil"/>
                <w:bottom w:val="nil"/>
                <w:right w:val="nil"/>
                <w:between w:val="nil"/>
              </w:pBdr>
              <w:tabs>
                <w:tab w:val="left" w:pos="284"/>
              </w:tabs>
              <w:spacing w:after="0" w:line="276" w:lineRule="auto"/>
              <w:ind w:right="-2"/>
              <w:jc w:val="center"/>
              <w:rPr>
                <w:rFonts w:eastAsia="Times New Roman" w:cs="Times New Roman"/>
                <w:b/>
                <w:bCs/>
                <w:sz w:val="18"/>
                <w:szCs w:val="18"/>
                <w:lang w:val="en-GB"/>
              </w:rPr>
            </w:pPr>
            <w:r w:rsidRPr="00A2171C">
              <w:rPr>
                <w:rFonts w:eastAsia="Times New Roman" w:cs="Times New Roman"/>
                <w:sz w:val="18"/>
                <w:szCs w:val="18"/>
                <w:lang w:val="en-GB"/>
              </w:rPr>
              <w:t>Sub-factors</w:t>
            </w:r>
          </w:p>
        </w:tc>
        <w:tc>
          <w:tcPr>
            <w:tcW w:w="2670" w:type="pct"/>
            <w:tcBorders>
              <w:top w:val="single" w:sz="4" w:space="0" w:color="auto"/>
              <w:bottom w:val="single" w:sz="4" w:space="0" w:color="auto"/>
            </w:tcBorders>
            <w:vAlign w:val="center"/>
          </w:tcPr>
          <w:p w14:paraId="7FF958BC" w14:textId="77777777" w:rsidR="00A46867" w:rsidRPr="00A2171C" w:rsidRDefault="00A46867" w:rsidP="00EC1FCC">
            <w:pPr>
              <w:pBdr>
                <w:top w:val="nil"/>
                <w:left w:val="nil"/>
                <w:bottom w:val="nil"/>
                <w:right w:val="nil"/>
                <w:between w:val="nil"/>
              </w:pBdr>
              <w:tabs>
                <w:tab w:val="left" w:pos="284"/>
              </w:tabs>
              <w:spacing w:after="0" w:line="276" w:lineRule="auto"/>
              <w:ind w:right="-2"/>
              <w:jc w:val="center"/>
              <w:rPr>
                <w:rFonts w:eastAsia="Times New Roman" w:cs="Times New Roman"/>
                <w:b/>
                <w:bCs/>
                <w:sz w:val="18"/>
                <w:szCs w:val="18"/>
                <w:lang w:val="en-GB"/>
              </w:rPr>
            </w:pPr>
            <w:r w:rsidRPr="00A2171C">
              <w:rPr>
                <w:rFonts w:eastAsia="Times New Roman" w:cs="Times New Roman"/>
                <w:sz w:val="18"/>
                <w:szCs w:val="18"/>
                <w:lang w:val="en-GB"/>
              </w:rPr>
              <w:t>Partial factors</w:t>
            </w:r>
          </w:p>
        </w:tc>
      </w:tr>
      <w:tr w:rsidR="00A2171C" w:rsidRPr="00A2171C" w14:paraId="1BA5DD77" w14:textId="77777777" w:rsidTr="00BA2612">
        <w:trPr>
          <w:trHeight w:val="57"/>
        </w:trPr>
        <w:tc>
          <w:tcPr>
            <w:tcW w:w="756" w:type="pct"/>
            <w:vMerge w:val="restart"/>
            <w:tcBorders>
              <w:top w:val="single" w:sz="4" w:space="0" w:color="auto"/>
            </w:tcBorders>
            <w:vAlign w:val="center"/>
          </w:tcPr>
          <w:p w14:paraId="4C304D48" w14:textId="77777777" w:rsidR="00A46867" w:rsidRPr="00A2171C" w:rsidRDefault="00A46867" w:rsidP="00EC1FCC">
            <w:pPr>
              <w:pBdr>
                <w:top w:val="nil"/>
                <w:left w:val="nil"/>
                <w:bottom w:val="nil"/>
                <w:right w:val="nil"/>
                <w:between w:val="nil"/>
              </w:pBdr>
              <w:tabs>
                <w:tab w:val="left" w:pos="284"/>
              </w:tabs>
              <w:spacing w:after="0" w:line="276" w:lineRule="auto"/>
              <w:ind w:right="-2"/>
              <w:jc w:val="left"/>
              <w:rPr>
                <w:rFonts w:eastAsia="Times New Roman" w:cs="Times New Roman"/>
                <w:b/>
                <w:bCs/>
                <w:sz w:val="18"/>
                <w:szCs w:val="18"/>
                <w:lang w:val="en-GB"/>
              </w:rPr>
            </w:pPr>
            <w:r w:rsidRPr="00A2171C">
              <w:rPr>
                <w:rFonts w:eastAsia="Times New Roman" w:cs="Times New Roman"/>
                <w:sz w:val="18"/>
                <w:szCs w:val="18"/>
                <w:lang w:val="en-GB"/>
              </w:rPr>
              <w:t>Global risk factor (FGR)</w:t>
            </w:r>
          </w:p>
        </w:tc>
        <w:tc>
          <w:tcPr>
            <w:tcW w:w="1574" w:type="pct"/>
            <w:vMerge w:val="restart"/>
            <w:tcBorders>
              <w:top w:val="single" w:sz="4" w:space="0" w:color="auto"/>
            </w:tcBorders>
          </w:tcPr>
          <w:p w14:paraId="7411A037"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Fire ignition (SF</w:t>
            </w:r>
            <w:r w:rsidRPr="00A2171C">
              <w:rPr>
                <w:rFonts w:eastAsia="Times New Roman" w:cs="Times New Roman"/>
                <w:sz w:val="18"/>
                <w:szCs w:val="18"/>
                <w:vertAlign w:val="subscript"/>
                <w:lang w:val="en-GB"/>
              </w:rPr>
              <w:t>I</w:t>
            </w:r>
            <w:r w:rsidRPr="00A2171C">
              <w:rPr>
                <w:rFonts w:eastAsia="Times New Roman" w:cs="Times New Roman"/>
                <w:sz w:val="18"/>
                <w:szCs w:val="18"/>
                <w:lang w:val="en-GB"/>
              </w:rPr>
              <w:t>)</w:t>
            </w:r>
          </w:p>
        </w:tc>
        <w:tc>
          <w:tcPr>
            <w:tcW w:w="2670" w:type="pct"/>
            <w:tcBorders>
              <w:top w:val="single" w:sz="4" w:space="0" w:color="auto"/>
            </w:tcBorders>
          </w:tcPr>
          <w:p w14:paraId="633C4EBF"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Building conservation state (PF</w:t>
            </w:r>
            <w:r w:rsidRPr="00A2171C">
              <w:rPr>
                <w:rFonts w:eastAsia="Times New Roman" w:cs="Times New Roman"/>
                <w:sz w:val="18"/>
                <w:szCs w:val="18"/>
                <w:vertAlign w:val="subscript"/>
                <w:lang w:val="en-GB"/>
              </w:rPr>
              <w:t>I1</w:t>
            </w:r>
            <w:r w:rsidRPr="00A2171C">
              <w:rPr>
                <w:rFonts w:eastAsia="Times New Roman" w:cs="Times New Roman"/>
                <w:sz w:val="18"/>
                <w:szCs w:val="18"/>
                <w:lang w:val="en-GB"/>
              </w:rPr>
              <w:t xml:space="preserve">)     </w:t>
            </w:r>
          </w:p>
        </w:tc>
      </w:tr>
      <w:tr w:rsidR="00A2171C" w:rsidRPr="00A2171C" w14:paraId="48B2AB29" w14:textId="77777777" w:rsidTr="00BA2612">
        <w:trPr>
          <w:trHeight w:val="57"/>
        </w:trPr>
        <w:tc>
          <w:tcPr>
            <w:tcW w:w="756" w:type="pct"/>
            <w:vMerge/>
          </w:tcPr>
          <w:p w14:paraId="452DDD2C"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0B8AAAA4"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61C11E42" w14:textId="281A811F"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General electric installations (PF</w:t>
            </w:r>
            <w:r w:rsidRPr="00A2171C">
              <w:rPr>
                <w:rFonts w:eastAsia="Times New Roman" w:cs="Times New Roman"/>
                <w:sz w:val="18"/>
                <w:szCs w:val="18"/>
                <w:vertAlign w:val="subscript"/>
                <w:lang w:val="en-GB"/>
              </w:rPr>
              <w:t>I2</w:t>
            </w:r>
            <w:r w:rsidRPr="00A2171C">
              <w:rPr>
                <w:rFonts w:eastAsia="Times New Roman" w:cs="Times New Roman"/>
                <w:sz w:val="18"/>
                <w:szCs w:val="18"/>
                <w:lang w:val="en-GB"/>
              </w:rPr>
              <w:t xml:space="preserve">)  </w:t>
            </w:r>
            <w:r w:rsidRPr="00A2171C">
              <w:rPr>
                <w:rFonts w:eastAsia="Times New Roman" w:cs="Times New Roman"/>
                <w:b/>
                <w:bCs/>
                <w:sz w:val="18"/>
                <w:szCs w:val="18"/>
                <w:lang w:val="en-US"/>
              </w:rPr>
              <w:t>(Modified partial factor)</w:t>
            </w:r>
          </w:p>
        </w:tc>
      </w:tr>
      <w:tr w:rsidR="00A2171C" w:rsidRPr="00A2171C" w14:paraId="5E47957D" w14:textId="77777777" w:rsidTr="00BA2612">
        <w:trPr>
          <w:trHeight w:val="57"/>
        </w:trPr>
        <w:tc>
          <w:tcPr>
            <w:tcW w:w="756" w:type="pct"/>
            <w:vMerge/>
          </w:tcPr>
          <w:p w14:paraId="095D0DED"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51EC0241"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661F6A8D"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Gas installations (PF</w:t>
            </w:r>
            <w:r w:rsidRPr="00A2171C">
              <w:rPr>
                <w:rFonts w:eastAsia="Times New Roman" w:cs="Times New Roman"/>
                <w:sz w:val="18"/>
                <w:szCs w:val="18"/>
                <w:vertAlign w:val="subscript"/>
                <w:lang w:val="en-GB"/>
              </w:rPr>
              <w:t>I3</w:t>
            </w:r>
            <w:r w:rsidRPr="00A2171C">
              <w:rPr>
                <w:rFonts w:eastAsia="Times New Roman" w:cs="Times New Roman"/>
                <w:sz w:val="18"/>
                <w:szCs w:val="18"/>
                <w:lang w:val="en-GB"/>
              </w:rPr>
              <w:t xml:space="preserve">)     </w:t>
            </w:r>
          </w:p>
        </w:tc>
      </w:tr>
      <w:tr w:rsidR="00A2171C" w:rsidRPr="00A2171C" w14:paraId="76D7FAEC" w14:textId="77777777" w:rsidTr="00BA2612">
        <w:trPr>
          <w:trHeight w:val="57"/>
        </w:trPr>
        <w:tc>
          <w:tcPr>
            <w:tcW w:w="756" w:type="pct"/>
            <w:vMerge/>
          </w:tcPr>
          <w:p w14:paraId="7B3EB652"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2FE566CB"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0EA54F18"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Fire load nature (PF</w:t>
            </w:r>
            <w:r w:rsidRPr="00A2171C">
              <w:rPr>
                <w:rFonts w:eastAsia="Times New Roman" w:cs="Times New Roman"/>
                <w:sz w:val="18"/>
                <w:szCs w:val="18"/>
                <w:vertAlign w:val="subscript"/>
                <w:lang w:val="en-GB"/>
              </w:rPr>
              <w:t>I4</w:t>
            </w:r>
            <w:r w:rsidRPr="00A2171C">
              <w:rPr>
                <w:rFonts w:eastAsia="Times New Roman" w:cs="Times New Roman"/>
                <w:sz w:val="18"/>
                <w:szCs w:val="18"/>
                <w:lang w:val="en-GB"/>
              </w:rPr>
              <w:t xml:space="preserve">)     </w:t>
            </w:r>
          </w:p>
        </w:tc>
      </w:tr>
      <w:tr w:rsidR="00A2171C" w:rsidRPr="00A2171C" w14:paraId="320F3A61" w14:textId="77777777" w:rsidTr="00BA2612">
        <w:trPr>
          <w:trHeight w:val="57"/>
        </w:trPr>
        <w:tc>
          <w:tcPr>
            <w:tcW w:w="756" w:type="pct"/>
            <w:vMerge/>
          </w:tcPr>
          <w:p w14:paraId="56C21A35"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6F744170"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59FF4BE3" w14:textId="55A5AAE0"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Type of heating system (PF</w:t>
            </w:r>
            <w:r w:rsidRPr="00A2171C">
              <w:rPr>
                <w:rFonts w:eastAsia="Times New Roman" w:cs="Times New Roman"/>
                <w:sz w:val="18"/>
                <w:szCs w:val="18"/>
                <w:vertAlign w:val="subscript"/>
                <w:lang w:val="en-GB"/>
              </w:rPr>
              <w:t>I5</w:t>
            </w:r>
            <w:r w:rsidRPr="00A2171C">
              <w:rPr>
                <w:rFonts w:eastAsia="Times New Roman" w:cs="Times New Roman"/>
                <w:sz w:val="18"/>
                <w:szCs w:val="18"/>
                <w:lang w:val="en-GB"/>
              </w:rPr>
              <w:t xml:space="preserve">)                   </w:t>
            </w:r>
            <w:r w:rsidRPr="00A2171C">
              <w:rPr>
                <w:rFonts w:eastAsia="Times New Roman" w:cs="Times New Roman"/>
                <w:b/>
                <w:bCs/>
                <w:sz w:val="18"/>
                <w:szCs w:val="18"/>
                <w:lang w:val="en-US"/>
              </w:rPr>
              <w:t>(New partial factor)</w:t>
            </w:r>
          </w:p>
        </w:tc>
      </w:tr>
      <w:tr w:rsidR="00A2171C" w:rsidRPr="00A2171C" w14:paraId="3FFC088C" w14:textId="77777777" w:rsidTr="00BA2612">
        <w:trPr>
          <w:trHeight w:val="57"/>
        </w:trPr>
        <w:tc>
          <w:tcPr>
            <w:tcW w:w="756" w:type="pct"/>
            <w:vMerge/>
          </w:tcPr>
          <w:p w14:paraId="0D3F58D5"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val="restart"/>
          </w:tcPr>
          <w:p w14:paraId="523FA2B1"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Fire propagation (SF</w:t>
            </w:r>
            <w:r w:rsidRPr="00A2171C">
              <w:rPr>
                <w:rFonts w:eastAsia="Times New Roman" w:cs="Times New Roman"/>
                <w:sz w:val="18"/>
                <w:szCs w:val="18"/>
                <w:vertAlign w:val="subscript"/>
                <w:lang w:val="en-GB"/>
              </w:rPr>
              <w:t>P</w:t>
            </w:r>
            <w:r w:rsidRPr="00A2171C">
              <w:rPr>
                <w:rFonts w:eastAsia="Times New Roman" w:cs="Times New Roman"/>
                <w:sz w:val="18"/>
                <w:szCs w:val="18"/>
                <w:lang w:val="en-GB"/>
              </w:rPr>
              <w:t>)</w:t>
            </w:r>
          </w:p>
        </w:tc>
        <w:tc>
          <w:tcPr>
            <w:tcW w:w="2670" w:type="pct"/>
          </w:tcPr>
          <w:p w14:paraId="6E514CCB"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Gap between aligned openings (PF</w:t>
            </w:r>
            <w:r w:rsidRPr="00A2171C">
              <w:rPr>
                <w:rFonts w:eastAsia="Times New Roman" w:cs="Times New Roman"/>
                <w:sz w:val="18"/>
                <w:szCs w:val="18"/>
                <w:vertAlign w:val="subscript"/>
                <w:lang w:val="en-GB"/>
              </w:rPr>
              <w:t>P1</w:t>
            </w:r>
            <w:r w:rsidRPr="00A2171C">
              <w:rPr>
                <w:rFonts w:eastAsia="Times New Roman" w:cs="Times New Roman"/>
                <w:sz w:val="18"/>
                <w:szCs w:val="18"/>
                <w:lang w:val="en-GB"/>
              </w:rPr>
              <w:t xml:space="preserve">)     </w:t>
            </w:r>
          </w:p>
        </w:tc>
      </w:tr>
      <w:tr w:rsidR="00A2171C" w:rsidRPr="00A2171C" w14:paraId="3C7C9C3D" w14:textId="77777777" w:rsidTr="00BA2612">
        <w:trPr>
          <w:trHeight w:val="57"/>
        </w:trPr>
        <w:tc>
          <w:tcPr>
            <w:tcW w:w="756" w:type="pct"/>
            <w:vMerge/>
          </w:tcPr>
          <w:p w14:paraId="42E0C5FD"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441860AA"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764126DB"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Safety and security teams (PF</w:t>
            </w:r>
            <w:r w:rsidRPr="00A2171C">
              <w:rPr>
                <w:rFonts w:eastAsia="Times New Roman" w:cs="Times New Roman"/>
                <w:sz w:val="18"/>
                <w:szCs w:val="18"/>
                <w:vertAlign w:val="subscript"/>
                <w:lang w:val="en-GB"/>
              </w:rPr>
              <w:t>P2</w:t>
            </w:r>
            <w:r w:rsidRPr="00A2171C">
              <w:rPr>
                <w:rFonts w:eastAsia="Times New Roman" w:cs="Times New Roman"/>
                <w:sz w:val="18"/>
                <w:szCs w:val="18"/>
                <w:lang w:val="en-GB"/>
              </w:rPr>
              <w:t xml:space="preserve">)     </w:t>
            </w:r>
          </w:p>
        </w:tc>
      </w:tr>
      <w:tr w:rsidR="00A2171C" w:rsidRPr="00A2171C" w14:paraId="10B2A78F" w14:textId="77777777" w:rsidTr="00BA2612">
        <w:trPr>
          <w:trHeight w:val="57"/>
        </w:trPr>
        <w:tc>
          <w:tcPr>
            <w:tcW w:w="756" w:type="pct"/>
            <w:vMerge/>
          </w:tcPr>
          <w:p w14:paraId="1382B398"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1830831F"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1822F8E2"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Fire detection, alert and alarm (PF</w:t>
            </w:r>
            <w:r w:rsidRPr="00A2171C">
              <w:rPr>
                <w:rFonts w:eastAsia="Times New Roman" w:cs="Times New Roman"/>
                <w:sz w:val="18"/>
                <w:szCs w:val="18"/>
                <w:vertAlign w:val="subscript"/>
                <w:lang w:val="en-GB"/>
              </w:rPr>
              <w:t>P3</w:t>
            </w:r>
            <w:r w:rsidRPr="00A2171C">
              <w:rPr>
                <w:rFonts w:eastAsia="Times New Roman" w:cs="Times New Roman"/>
                <w:sz w:val="18"/>
                <w:szCs w:val="18"/>
                <w:lang w:val="en-GB"/>
              </w:rPr>
              <w:t xml:space="preserve">)     </w:t>
            </w:r>
          </w:p>
        </w:tc>
      </w:tr>
      <w:tr w:rsidR="00A2171C" w:rsidRPr="00A2171C" w14:paraId="4DF49590" w14:textId="77777777" w:rsidTr="00BA2612">
        <w:trPr>
          <w:trHeight w:val="57"/>
        </w:trPr>
        <w:tc>
          <w:tcPr>
            <w:tcW w:w="756" w:type="pct"/>
            <w:vMerge/>
          </w:tcPr>
          <w:p w14:paraId="30D2C7EE"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214CCB08"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1A15B605" w14:textId="44E68BF1"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Fixed fire loads (PF</w:t>
            </w:r>
            <w:r w:rsidRPr="00A2171C">
              <w:rPr>
                <w:rFonts w:eastAsia="Times New Roman" w:cs="Times New Roman"/>
                <w:sz w:val="18"/>
                <w:szCs w:val="18"/>
                <w:vertAlign w:val="subscript"/>
                <w:lang w:val="en-GB"/>
              </w:rPr>
              <w:t>P4</w:t>
            </w:r>
            <w:r w:rsidRPr="00A2171C">
              <w:rPr>
                <w:rFonts w:eastAsia="Times New Roman" w:cs="Times New Roman"/>
                <w:sz w:val="18"/>
                <w:szCs w:val="18"/>
                <w:lang w:val="en-GB"/>
              </w:rPr>
              <w:t xml:space="preserve">)                                 </w:t>
            </w:r>
            <w:r w:rsidRPr="00A2171C">
              <w:rPr>
                <w:rFonts w:eastAsia="Times New Roman" w:cs="Times New Roman"/>
                <w:b/>
                <w:bCs/>
                <w:sz w:val="18"/>
                <w:szCs w:val="18"/>
                <w:lang w:val="en-US"/>
              </w:rPr>
              <w:t>(New partial factor)</w:t>
            </w:r>
          </w:p>
        </w:tc>
      </w:tr>
      <w:tr w:rsidR="00A2171C" w:rsidRPr="00A2171C" w14:paraId="7C240DF5" w14:textId="77777777" w:rsidTr="00BA2612">
        <w:trPr>
          <w:trHeight w:val="57"/>
        </w:trPr>
        <w:tc>
          <w:tcPr>
            <w:tcW w:w="756" w:type="pct"/>
            <w:vMerge/>
          </w:tcPr>
          <w:p w14:paraId="3B1A948C"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05C19388"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6E45859F" w14:textId="77777777" w:rsidR="00A46867" w:rsidRPr="00A2171C" w:rsidRDefault="00A46867" w:rsidP="00EC1FCC">
            <w:pPr>
              <w:pBdr>
                <w:top w:val="nil"/>
                <w:left w:val="nil"/>
                <w:bottom w:val="nil"/>
                <w:right w:val="nil"/>
                <w:between w:val="nil"/>
              </w:pBdr>
              <w:tabs>
                <w:tab w:val="left" w:pos="284"/>
              </w:tabs>
              <w:spacing w:after="0" w:line="276" w:lineRule="auto"/>
              <w:rPr>
                <w:rFonts w:eastAsia="Times New Roman" w:cs="Times New Roman"/>
                <w:sz w:val="18"/>
                <w:szCs w:val="18"/>
                <w:lang w:val="en-GB"/>
              </w:rPr>
            </w:pPr>
            <w:r w:rsidRPr="00A2171C">
              <w:rPr>
                <w:rFonts w:eastAsia="Times New Roman" w:cs="Times New Roman"/>
                <w:sz w:val="18"/>
                <w:szCs w:val="18"/>
                <w:lang w:val="en-GB"/>
              </w:rPr>
              <w:t>Fire compartmentalization (PF</w:t>
            </w:r>
            <w:r w:rsidRPr="00A2171C">
              <w:rPr>
                <w:rFonts w:eastAsia="Times New Roman" w:cs="Times New Roman"/>
                <w:sz w:val="18"/>
                <w:szCs w:val="18"/>
                <w:vertAlign w:val="subscript"/>
                <w:lang w:val="en-GB"/>
              </w:rPr>
              <w:t>P5</w:t>
            </w:r>
            <w:r w:rsidRPr="00A2171C">
              <w:rPr>
                <w:rFonts w:eastAsia="Times New Roman" w:cs="Times New Roman"/>
                <w:sz w:val="18"/>
                <w:szCs w:val="18"/>
                <w:lang w:val="en-GB"/>
              </w:rPr>
              <w:t xml:space="preserve">)     </w:t>
            </w:r>
          </w:p>
        </w:tc>
      </w:tr>
      <w:tr w:rsidR="00A2171C" w:rsidRPr="00A2171C" w14:paraId="427A00F6" w14:textId="77777777" w:rsidTr="00BA2612">
        <w:trPr>
          <w:trHeight w:val="57"/>
        </w:trPr>
        <w:tc>
          <w:tcPr>
            <w:tcW w:w="756" w:type="pct"/>
            <w:vMerge/>
          </w:tcPr>
          <w:p w14:paraId="0E38711C"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2657F173"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16D69E0C" w14:textId="4400A2B0" w:rsidR="00A46867" w:rsidRPr="00A2171C" w:rsidRDefault="00A46867" w:rsidP="00EC1FCC">
            <w:pPr>
              <w:pBdr>
                <w:top w:val="nil"/>
                <w:left w:val="nil"/>
                <w:bottom w:val="nil"/>
                <w:right w:val="nil"/>
                <w:between w:val="nil"/>
              </w:pBdr>
              <w:tabs>
                <w:tab w:val="left" w:pos="284"/>
              </w:tabs>
              <w:spacing w:after="0" w:line="276" w:lineRule="auto"/>
              <w:rPr>
                <w:rFonts w:eastAsia="Times New Roman" w:cs="Times New Roman"/>
                <w:sz w:val="18"/>
                <w:szCs w:val="18"/>
                <w:lang w:val="en-GB"/>
              </w:rPr>
            </w:pPr>
            <w:r w:rsidRPr="00A2171C">
              <w:rPr>
                <w:rFonts w:eastAsia="Times New Roman" w:cs="Times New Roman"/>
                <w:sz w:val="18"/>
                <w:szCs w:val="18"/>
                <w:lang w:val="en-GB"/>
              </w:rPr>
              <w:t>Movable fire loads (PF</w:t>
            </w:r>
            <w:r w:rsidRPr="00A2171C">
              <w:rPr>
                <w:rFonts w:eastAsia="Times New Roman" w:cs="Times New Roman"/>
                <w:sz w:val="18"/>
                <w:szCs w:val="18"/>
                <w:vertAlign w:val="subscript"/>
                <w:lang w:val="en-GB"/>
              </w:rPr>
              <w:t>P6</w:t>
            </w:r>
            <w:r w:rsidRPr="00A2171C">
              <w:rPr>
                <w:rFonts w:eastAsia="Times New Roman" w:cs="Times New Roman"/>
                <w:sz w:val="18"/>
                <w:szCs w:val="18"/>
                <w:lang w:val="en-GB"/>
              </w:rPr>
              <w:t xml:space="preserve">)                            </w:t>
            </w:r>
            <w:r w:rsidRPr="00A2171C">
              <w:rPr>
                <w:rFonts w:eastAsia="Times New Roman" w:cs="Times New Roman"/>
                <w:b/>
                <w:bCs/>
                <w:sz w:val="18"/>
                <w:szCs w:val="18"/>
                <w:lang w:val="en-US"/>
              </w:rPr>
              <w:t>(New partial factor)</w:t>
            </w:r>
          </w:p>
        </w:tc>
      </w:tr>
      <w:tr w:rsidR="00A2171C" w:rsidRPr="00A2171C" w14:paraId="068297FD" w14:textId="77777777" w:rsidTr="00BA2612">
        <w:trPr>
          <w:trHeight w:val="57"/>
        </w:trPr>
        <w:tc>
          <w:tcPr>
            <w:tcW w:w="756" w:type="pct"/>
            <w:vMerge/>
          </w:tcPr>
          <w:p w14:paraId="5D83A599"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val="restart"/>
          </w:tcPr>
          <w:p w14:paraId="1E74BC52"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Evacuation (SF</w:t>
            </w:r>
            <w:r w:rsidRPr="00A2171C">
              <w:rPr>
                <w:rFonts w:eastAsia="Times New Roman" w:cs="Times New Roman"/>
                <w:sz w:val="18"/>
                <w:szCs w:val="18"/>
                <w:vertAlign w:val="subscript"/>
                <w:lang w:val="en-GB"/>
              </w:rPr>
              <w:t>E</w:t>
            </w:r>
            <w:r w:rsidRPr="00A2171C">
              <w:rPr>
                <w:rFonts w:eastAsia="Times New Roman" w:cs="Times New Roman"/>
                <w:sz w:val="18"/>
                <w:szCs w:val="18"/>
                <w:lang w:val="en-GB"/>
              </w:rPr>
              <w:t>)</w:t>
            </w:r>
          </w:p>
        </w:tc>
        <w:tc>
          <w:tcPr>
            <w:tcW w:w="2670" w:type="pct"/>
          </w:tcPr>
          <w:p w14:paraId="7F69522D"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Evacuation and escape routes (PF</w:t>
            </w:r>
            <w:r w:rsidRPr="00A2171C">
              <w:rPr>
                <w:rFonts w:eastAsia="Times New Roman" w:cs="Times New Roman"/>
                <w:sz w:val="18"/>
                <w:szCs w:val="18"/>
                <w:vertAlign w:val="subscript"/>
                <w:lang w:val="en-GB"/>
              </w:rPr>
              <w:t>E1</w:t>
            </w:r>
            <w:r w:rsidRPr="00A2171C">
              <w:rPr>
                <w:rFonts w:eastAsia="Times New Roman" w:cs="Times New Roman"/>
                <w:sz w:val="18"/>
                <w:szCs w:val="18"/>
                <w:lang w:val="en-GB"/>
              </w:rPr>
              <w:t xml:space="preserve">)     </w:t>
            </w:r>
          </w:p>
        </w:tc>
      </w:tr>
      <w:tr w:rsidR="00A2171C" w:rsidRPr="00A2171C" w14:paraId="5EB02307" w14:textId="77777777" w:rsidTr="00BA2612">
        <w:trPr>
          <w:trHeight w:val="57"/>
        </w:trPr>
        <w:tc>
          <w:tcPr>
            <w:tcW w:w="756" w:type="pct"/>
            <w:vMerge/>
          </w:tcPr>
          <w:p w14:paraId="5B0D8054"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3000F1EE"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2F4E0204"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Building properties (PF</w:t>
            </w:r>
            <w:r w:rsidRPr="00A2171C">
              <w:rPr>
                <w:rFonts w:eastAsia="Times New Roman" w:cs="Times New Roman"/>
                <w:sz w:val="18"/>
                <w:szCs w:val="18"/>
                <w:vertAlign w:val="subscript"/>
                <w:lang w:val="en-GB"/>
              </w:rPr>
              <w:t>E2</w:t>
            </w:r>
            <w:r w:rsidRPr="00A2171C">
              <w:rPr>
                <w:rFonts w:eastAsia="Times New Roman" w:cs="Times New Roman"/>
                <w:sz w:val="18"/>
                <w:szCs w:val="18"/>
                <w:lang w:val="en-GB"/>
              </w:rPr>
              <w:t xml:space="preserve">)     </w:t>
            </w:r>
          </w:p>
        </w:tc>
      </w:tr>
      <w:tr w:rsidR="00A2171C" w:rsidRPr="00A2171C" w14:paraId="1B2F3474" w14:textId="77777777" w:rsidTr="00BA2612">
        <w:trPr>
          <w:trHeight w:val="57"/>
        </w:trPr>
        <w:tc>
          <w:tcPr>
            <w:tcW w:w="756" w:type="pct"/>
            <w:vMerge/>
          </w:tcPr>
          <w:p w14:paraId="263C99A3"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7DDED0BC"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67FACA49"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Evacuation correction factor (PF</w:t>
            </w:r>
            <w:r w:rsidRPr="00A2171C">
              <w:rPr>
                <w:rFonts w:eastAsia="Times New Roman" w:cs="Times New Roman"/>
                <w:sz w:val="18"/>
                <w:szCs w:val="18"/>
                <w:vertAlign w:val="subscript"/>
                <w:lang w:val="en-GB"/>
              </w:rPr>
              <w:t>E3</w:t>
            </w:r>
            <w:r w:rsidRPr="00A2171C">
              <w:rPr>
                <w:rFonts w:eastAsia="Times New Roman" w:cs="Times New Roman"/>
                <w:sz w:val="18"/>
                <w:szCs w:val="18"/>
                <w:lang w:val="en-GB"/>
              </w:rPr>
              <w:t xml:space="preserve">)     </w:t>
            </w:r>
          </w:p>
        </w:tc>
      </w:tr>
      <w:tr w:rsidR="00A2171C" w:rsidRPr="00A2171C" w14:paraId="720E459A" w14:textId="77777777" w:rsidTr="00BA2612">
        <w:trPr>
          <w:trHeight w:val="57"/>
        </w:trPr>
        <w:tc>
          <w:tcPr>
            <w:tcW w:w="756" w:type="pct"/>
            <w:vMerge w:val="restart"/>
          </w:tcPr>
          <w:p w14:paraId="7CFC0920"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b/>
                <w:bCs/>
                <w:sz w:val="18"/>
                <w:szCs w:val="18"/>
                <w:lang w:val="en-GB"/>
              </w:rPr>
            </w:pPr>
            <w:r w:rsidRPr="00A2171C">
              <w:rPr>
                <w:rFonts w:eastAsia="Times New Roman" w:cs="Times New Roman"/>
                <w:sz w:val="18"/>
                <w:szCs w:val="18"/>
                <w:lang w:val="en-GB"/>
              </w:rPr>
              <w:t>Global efficiency factor (FGE)</w:t>
            </w:r>
          </w:p>
        </w:tc>
        <w:tc>
          <w:tcPr>
            <w:tcW w:w="1574" w:type="pct"/>
            <w:vMerge w:val="restart"/>
          </w:tcPr>
          <w:p w14:paraId="6BF6F94C"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Fire combat (SF</w:t>
            </w:r>
            <w:r w:rsidRPr="00A2171C">
              <w:rPr>
                <w:rFonts w:eastAsia="Times New Roman" w:cs="Times New Roman"/>
                <w:sz w:val="18"/>
                <w:szCs w:val="18"/>
                <w:vertAlign w:val="subscript"/>
                <w:lang w:val="en-GB"/>
              </w:rPr>
              <w:t>C</w:t>
            </w:r>
            <w:r w:rsidRPr="00A2171C">
              <w:rPr>
                <w:rFonts w:eastAsia="Times New Roman" w:cs="Times New Roman"/>
                <w:sz w:val="18"/>
                <w:szCs w:val="18"/>
                <w:lang w:val="en-GB"/>
              </w:rPr>
              <w:t>)</w:t>
            </w:r>
          </w:p>
        </w:tc>
        <w:tc>
          <w:tcPr>
            <w:tcW w:w="2670" w:type="pct"/>
          </w:tcPr>
          <w:p w14:paraId="7CC6CF5E"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Building external fire combat factors (PF</w:t>
            </w:r>
            <w:r w:rsidRPr="00A2171C">
              <w:rPr>
                <w:rFonts w:eastAsia="Times New Roman" w:cs="Times New Roman"/>
                <w:sz w:val="18"/>
                <w:szCs w:val="18"/>
                <w:vertAlign w:val="subscript"/>
                <w:lang w:val="en-GB"/>
              </w:rPr>
              <w:t>C1</w:t>
            </w:r>
            <w:r w:rsidRPr="00A2171C">
              <w:rPr>
                <w:rFonts w:eastAsia="Times New Roman" w:cs="Times New Roman"/>
                <w:sz w:val="18"/>
                <w:szCs w:val="18"/>
                <w:lang w:val="en-GB"/>
              </w:rPr>
              <w:t xml:space="preserve">)     </w:t>
            </w:r>
          </w:p>
        </w:tc>
      </w:tr>
      <w:tr w:rsidR="00A2171C" w:rsidRPr="00A2171C" w14:paraId="6BEA10D1" w14:textId="77777777" w:rsidTr="00BA2612">
        <w:trPr>
          <w:trHeight w:val="57"/>
        </w:trPr>
        <w:tc>
          <w:tcPr>
            <w:tcW w:w="756" w:type="pct"/>
            <w:vMerge/>
          </w:tcPr>
          <w:p w14:paraId="289119E9"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619BC7F3"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305299FB"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Building internal fire combat factors (PF</w:t>
            </w:r>
            <w:r w:rsidRPr="00A2171C">
              <w:rPr>
                <w:rFonts w:eastAsia="Times New Roman" w:cs="Times New Roman"/>
                <w:sz w:val="18"/>
                <w:szCs w:val="18"/>
                <w:vertAlign w:val="subscript"/>
                <w:lang w:val="en-GB"/>
              </w:rPr>
              <w:t>C2</w:t>
            </w:r>
            <w:r w:rsidRPr="00A2171C">
              <w:rPr>
                <w:rFonts w:eastAsia="Times New Roman" w:cs="Times New Roman"/>
                <w:sz w:val="18"/>
                <w:szCs w:val="18"/>
                <w:lang w:val="en-GB"/>
              </w:rPr>
              <w:t xml:space="preserve">)     </w:t>
            </w:r>
          </w:p>
        </w:tc>
      </w:tr>
      <w:tr w:rsidR="00A2171C" w:rsidRPr="00A2171C" w14:paraId="7DC134FD" w14:textId="77777777" w:rsidTr="00BA2612">
        <w:trPr>
          <w:trHeight w:val="57"/>
        </w:trPr>
        <w:tc>
          <w:tcPr>
            <w:tcW w:w="756" w:type="pct"/>
            <w:vMerge/>
          </w:tcPr>
          <w:p w14:paraId="0D940B94"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b/>
                <w:bCs/>
                <w:sz w:val="18"/>
                <w:szCs w:val="18"/>
                <w:lang w:val="en-GB"/>
              </w:rPr>
            </w:pPr>
          </w:p>
        </w:tc>
        <w:tc>
          <w:tcPr>
            <w:tcW w:w="1574" w:type="pct"/>
            <w:vMerge/>
          </w:tcPr>
          <w:p w14:paraId="038CE4BE" w14:textId="77777777" w:rsidR="00A46867" w:rsidRPr="00A2171C" w:rsidRDefault="00A46867" w:rsidP="00EC1FCC">
            <w:pPr>
              <w:widowControl w:val="0"/>
              <w:pBdr>
                <w:top w:val="nil"/>
                <w:left w:val="nil"/>
                <w:bottom w:val="nil"/>
                <w:right w:val="nil"/>
                <w:between w:val="nil"/>
              </w:pBdr>
              <w:spacing w:after="0" w:line="276" w:lineRule="auto"/>
              <w:rPr>
                <w:rFonts w:eastAsia="Times New Roman" w:cs="Times New Roman"/>
                <w:sz w:val="18"/>
                <w:szCs w:val="18"/>
                <w:lang w:val="en-GB"/>
              </w:rPr>
            </w:pPr>
          </w:p>
        </w:tc>
        <w:tc>
          <w:tcPr>
            <w:tcW w:w="2670" w:type="pct"/>
          </w:tcPr>
          <w:p w14:paraId="4F2FF46F" w14:textId="77777777" w:rsidR="00A46867" w:rsidRPr="00A2171C" w:rsidRDefault="00A46867" w:rsidP="00EC1FCC">
            <w:pPr>
              <w:pBdr>
                <w:top w:val="nil"/>
                <w:left w:val="nil"/>
                <w:bottom w:val="nil"/>
                <w:right w:val="nil"/>
                <w:between w:val="nil"/>
              </w:pBdr>
              <w:tabs>
                <w:tab w:val="left" w:pos="284"/>
              </w:tabs>
              <w:spacing w:after="0" w:line="276" w:lineRule="auto"/>
              <w:ind w:right="-2"/>
              <w:rPr>
                <w:rFonts w:eastAsia="Times New Roman" w:cs="Times New Roman"/>
                <w:sz w:val="18"/>
                <w:szCs w:val="18"/>
                <w:lang w:val="en-GB"/>
              </w:rPr>
            </w:pPr>
            <w:r w:rsidRPr="00A2171C">
              <w:rPr>
                <w:rFonts w:eastAsia="Times New Roman" w:cs="Times New Roman"/>
                <w:sz w:val="18"/>
                <w:szCs w:val="18"/>
                <w:lang w:val="en-GB"/>
              </w:rPr>
              <w:t>Security teams (PF</w:t>
            </w:r>
            <w:r w:rsidRPr="00A2171C">
              <w:rPr>
                <w:rFonts w:eastAsia="Times New Roman" w:cs="Times New Roman"/>
                <w:sz w:val="18"/>
                <w:szCs w:val="18"/>
                <w:vertAlign w:val="subscript"/>
                <w:lang w:val="en-GB"/>
              </w:rPr>
              <w:t>C3</w:t>
            </w:r>
            <w:r w:rsidRPr="00A2171C">
              <w:rPr>
                <w:rFonts w:eastAsia="Times New Roman" w:cs="Times New Roman"/>
                <w:sz w:val="18"/>
                <w:szCs w:val="18"/>
                <w:lang w:val="en-GB"/>
              </w:rPr>
              <w:t xml:space="preserve">)     </w:t>
            </w:r>
          </w:p>
        </w:tc>
      </w:tr>
    </w:tbl>
    <w:p w14:paraId="781AD8F9" w14:textId="462FE158" w:rsidR="00A46867" w:rsidRPr="00A2171C" w:rsidRDefault="00ED10F3" w:rsidP="00252872">
      <w:pPr>
        <w:pStyle w:val="Caption"/>
        <w:spacing w:before="240"/>
        <w:jc w:val="center"/>
        <w:rPr>
          <w:color w:val="auto"/>
          <w:lang w:val="en-GB"/>
        </w:rPr>
      </w:pPr>
      <w:bookmarkStart w:id="15" w:name="_Ref121156236"/>
      <w:r w:rsidRPr="00A2171C">
        <w:rPr>
          <w:color w:val="auto"/>
          <w:lang w:val="en-US"/>
        </w:rPr>
        <w:t xml:space="preserve">Table </w:t>
      </w:r>
      <w:r w:rsidRPr="00A2171C">
        <w:rPr>
          <w:color w:val="auto"/>
        </w:rPr>
        <w:fldChar w:fldCharType="begin"/>
      </w:r>
      <w:r w:rsidRPr="00A2171C">
        <w:rPr>
          <w:color w:val="auto"/>
          <w:lang w:val="en-US"/>
        </w:rPr>
        <w:instrText xml:space="preserve"> SEQ Table \* ARABIC </w:instrText>
      </w:r>
      <w:r w:rsidRPr="00A2171C">
        <w:rPr>
          <w:color w:val="auto"/>
        </w:rPr>
        <w:fldChar w:fldCharType="separate"/>
      </w:r>
      <w:r w:rsidR="00C20049" w:rsidRPr="00A2171C">
        <w:rPr>
          <w:noProof/>
          <w:color w:val="auto"/>
          <w:lang w:val="en-US"/>
        </w:rPr>
        <w:t>2</w:t>
      </w:r>
      <w:r w:rsidRPr="00A2171C">
        <w:rPr>
          <w:color w:val="auto"/>
        </w:rPr>
        <w:fldChar w:fldCharType="end"/>
      </w:r>
      <w:bookmarkEnd w:id="15"/>
      <w:r w:rsidR="00A46867" w:rsidRPr="00A2171C">
        <w:rPr>
          <w:color w:val="auto"/>
          <w:lang w:val="en-GB"/>
        </w:rPr>
        <w:t>: Reference Risk Factor, FR</w:t>
      </w:r>
      <w:r w:rsidR="00A46867" w:rsidRPr="00A2171C">
        <w:rPr>
          <w:color w:val="auto"/>
          <w:vertAlign w:val="subscript"/>
          <w:lang w:val="en-GB"/>
        </w:rPr>
        <w:t>R</w:t>
      </w:r>
      <w:r w:rsidR="00A46867" w:rsidRPr="00A2171C">
        <w:rPr>
          <w:color w:val="auto"/>
          <w:lang w:val="en-GB"/>
        </w:rPr>
        <w:t xml:space="preserve">, for Different Types of Building Use. Source: </w:t>
      </w:r>
      <w:r w:rsidR="00A46867" w:rsidRPr="00A2171C">
        <w:rPr>
          <w:color w:val="auto"/>
          <w:lang w:val="en-GB"/>
        </w:rPr>
        <w:fldChar w:fldCharType="begin" w:fldLock="1"/>
      </w:r>
      <w:r w:rsidR="00A46867" w:rsidRPr="00A2171C">
        <w:rPr>
          <w:color w:val="auto"/>
          <w:lang w:val="en-GB"/>
        </w:rPr>
        <w:instrText>ADDIN CSL_CITATION {"citationItems":[{"id":"ITEM-1","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Heritage","id":"ITEM-1","issue":"426","issued":{"date-parts":[["2016"]]},"page":"1-7","title":"Urban fire risk: Evaluation and emergency planning","type":"article-journal","volume":"20"},"uris":["http://www.mendeley.com/documents/?uuid=8b45f97f-58a1-4a84-9208-ddf32f667d2c"]}],"mendeley":{"formattedCitation":"(Ferreira et al., 2016)","plainTextFormattedCitation":"(Ferreira et al., 2016)","previouslyFormattedCitation":"(Ferreira et al., 2016)"},"properties":{"noteIndex":0},"schema":"https://github.com/citation-style-language/schema/raw/master/csl-citation.json"}</w:instrText>
      </w:r>
      <w:r w:rsidR="00A46867" w:rsidRPr="00A2171C">
        <w:rPr>
          <w:color w:val="auto"/>
          <w:lang w:val="en-GB"/>
        </w:rPr>
        <w:fldChar w:fldCharType="separate"/>
      </w:r>
      <w:r w:rsidR="00A46867" w:rsidRPr="00A2171C">
        <w:rPr>
          <w:i w:val="0"/>
          <w:noProof/>
          <w:color w:val="auto"/>
          <w:lang w:val="en-GB"/>
        </w:rPr>
        <w:t>(Ferreira et al., 2016)</w:t>
      </w:r>
      <w:r w:rsidR="00A46867" w:rsidRPr="00A2171C">
        <w:rPr>
          <w:color w:val="auto"/>
          <w:lang w:val="en-GB"/>
        </w:rPr>
        <w:fldChar w:fldCharType="end"/>
      </w:r>
    </w:p>
    <w:tbl>
      <w:tblPr>
        <w:tblW w:w="5000" w:type="pct"/>
        <w:tblLook w:val="04A0" w:firstRow="1" w:lastRow="0" w:firstColumn="1" w:lastColumn="0" w:noHBand="0" w:noVBand="1"/>
      </w:tblPr>
      <w:tblGrid>
        <w:gridCol w:w="2782"/>
        <w:gridCol w:w="2026"/>
        <w:gridCol w:w="4030"/>
      </w:tblGrid>
      <w:tr w:rsidR="00A2171C" w:rsidRPr="00A2171C" w14:paraId="79853D8A" w14:textId="77777777" w:rsidTr="00EC1FCC">
        <w:trPr>
          <w:trHeight w:val="255"/>
        </w:trPr>
        <w:tc>
          <w:tcPr>
            <w:tcW w:w="1574" w:type="pct"/>
            <w:tcBorders>
              <w:top w:val="single" w:sz="4" w:space="0" w:color="auto"/>
              <w:left w:val="nil"/>
              <w:bottom w:val="single" w:sz="4" w:space="0" w:color="auto"/>
            </w:tcBorders>
            <w:vAlign w:val="center"/>
          </w:tcPr>
          <w:p w14:paraId="30A4A5C5" w14:textId="77777777" w:rsidR="00A46867" w:rsidRPr="00A2171C" w:rsidRDefault="00A46867" w:rsidP="00EC1FCC">
            <w:pPr>
              <w:spacing w:after="0" w:line="240" w:lineRule="auto"/>
              <w:jc w:val="left"/>
              <w:rPr>
                <w:rFonts w:eastAsia="Times New Roman" w:cs="Times New Roman"/>
                <w:b/>
                <w:bCs/>
                <w:sz w:val="18"/>
                <w:szCs w:val="18"/>
                <w:lang w:val="en-GB"/>
              </w:rPr>
            </w:pPr>
            <w:r w:rsidRPr="00A2171C">
              <w:rPr>
                <w:rFonts w:cs="Times New Roman"/>
                <w:b/>
                <w:bCs/>
                <w:sz w:val="18"/>
                <w:szCs w:val="18"/>
              </w:rPr>
              <w:t>Reference risk factor</w:t>
            </w:r>
          </w:p>
        </w:tc>
        <w:tc>
          <w:tcPr>
            <w:tcW w:w="1146" w:type="pct"/>
            <w:tcBorders>
              <w:top w:val="single" w:sz="4" w:space="0" w:color="auto"/>
              <w:bottom w:val="single" w:sz="4" w:space="0" w:color="auto"/>
            </w:tcBorders>
            <w:vAlign w:val="center"/>
          </w:tcPr>
          <w:p w14:paraId="3778477D" w14:textId="77777777" w:rsidR="00A46867" w:rsidRPr="00A2171C" w:rsidRDefault="00A46867" w:rsidP="00EC1FCC">
            <w:pPr>
              <w:spacing w:after="0" w:line="240" w:lineRule="auto"/>
              <w:jc w:val="left"/>
              <w:rPr>
                <w:rFonts w:eastAsia="Times New Roman" w:cs="Times New Roman"/>
                <w:b/>
                <w:bCs/>
                <w:sz w:val="18"/>
                <w:szCs w:val="18"/>
                <w:lang w:val="en-GB"/>
              </w:rPr>
            </w:pPr>
            <w:r w:rsidRPr="00A2171C">
              <w:rPr>
                <w:rFonts w:eastAsia="Times New Roman" w:cs="Times New Roman"/>
                <w:b/>
                <w:bCs/>
                <w:sz w:val="18"/>
                <w:szCs w:val="18"/>
                <w:lang w:val="en-GB"/>
              </w:rPr>
              <w:t>Residential</w:t>
            </w:r>
          </w:p>
        </w:tc>
        <w:tc>
          <w:tcPr>
            <w:tcW w:w="2280" w:type="pct"/>
            <w:tcBorders>
              <w:top w:val="single" w:sz="4" w:space="0" w:color="auto"/>
              <w:bottom w:val="single" w:sz="4" w:space="0" w:color="auto"/>
              <w:right w:val="nil"/>
            </w:tcBorders>
            <w:vAlign w:val="center"/>
          </w:tcPr>
          <w:p w14:paraId="1C5B66D8" w14:textId="77777777" w:rsidR="00A46867" w:rsidRPr="00A2171C" w:rsidRDefault="00A46867" w:rsidP="00EC1FCC">
            <w:pPr>
              <w:spacing w:after="0" w:line="240" w:lineRule="auto"/>
              <w:jc w:val="left"/>
              <w:rPr>
                <w:rFonts w:eastAsia="Times New Roman" w:cs="Times New Roman"/>
                <w:b/>
                <w:bCs/>
                <w:sz w:val="18"/>
                <w:szCs w:val="18"/>
                <w:lang w:val="en-GB"/>
              </w:rPr>
            </w:pPr>
            <w:r w:rsidRPr="00A2171C">
              <w:rPr>
                <w:rFonts w:cs="Times New Roman"/>
                <w:b/>
                <w:bCs/>
                <w:sz w:val="18"/>
                <w:szCs w:val="18"/>
                <w:lang w:val="en-GB"/>
              </w:rPr>
              <w:t>Service or industrial spaces, libraries and archives</w:t>
            </w:r>
          </w:p>
        </w:tc>
      </w:tr>
      <w:tr w:rsidR="00A2171C" w:rsidRPr="00A2171C" w14:paraId="359079EA" w14:textId="77777777" w:rsidTr="00BA2612">
        <w:trPr>
          <w:trHeight w:val="255"/>
        </w:trPr>
        <w:tc>
          <w:tcPr>
            <w:tcW w:w="1574" w:type="pct"/>
            <w:tcBorders>
              <w:top w:val="single" w:sz="4" w:space="0" w:color="auto"/>
              <w:left w:val="nil"/>
            </w:tcBorders>
            <w:vAlign w:val="center"/>
          </w:tcPr>
          <w:p w14:paraId="0796C582" w14:textId="77777777" w:rsidR="00A46867" w:rsidRPr="00A2171C" w:rsidRDefault="00A46867" w:rsidP="00EC1FCC">
            <w:pPr>
              <w:spacing w:after="0" w:line="240" w:lineRule="auto"/>
              <w:jc w:val="left"/>
              <w:rPr>
                <w:rFonts w:eastAsia="Times New Roman" w:cs="Times New Roman"/>
                <w:sz w:val="18"/>
                <w:szCs w:val="18"/>
                <w:lang w:val="en-GB"/>
              </w:rPr>
            </w:pPr>
            <w:r w:rsidRPr="00A2171C">
              <w:rPr>
                <w:rFonts w:eastAsia="Times New Roman" w:cs="Times New Roman"/>
                <w:i/>
                <w:sz w:val="18"/>
                <w:szCs w:val="18"/>
                <w:lang w:val="en-GB"/>
              </w:rPr>
              <w:t>FR</w:t>
            </w:r>
            <w:r w:rsidRPr="00A2171C">
              <w:rPr>
                <w:rFonts w:eastAsia="Times New Roman" w:cs="Times New Roman"/>
                <w:i/>
                <w:sz w:val="18"/>
                <w:szCs w:val="18"/>
                <w:vertAlign w:val="subscript"/>
                <w:lang w:val="en-GB"/>
              </w:rPr>
              <w:t>R</w:t>
            </w:r>
          </w:p>
        </w:tc>
        <w:tc>
          <w:tcPr>
            <w:tcW w:w="1146" w:type="pct"/>
            <w:tcBorders>
              <w:top w:val="single" w:sz="4" w:space="0" w:color="auto"/>
            </w:tcBorders>
            <w:vAlign w:val="center"/>
          </w:tcPr>
          <w:p w14:paraId="3E23AEC5" w14:textId="77777777" w:rsidR="00A46867" w:rsidRPr="00A2171C" w:rsidRDefault="00A46867" w:rsidP="00EC1FCC">
            <w:pPr>
              <w:spacing w:after="0" w:line="240" w:lineRule="auto"/>
              <w:jc w:val="left"/>
              <w:rPr>
                <w:rFonts w:eastAsia="Times New Roman" w:cs="Times New Roman"/>
                <w:sz w:val="18"/>
                <w:szCs w:val="18"/>
                <w:lang w:val="en-GB"/>
              </w:rPr>
            </w:pPr>
            <w:r w:rsidRPr="00A2171C">
              <w:rPr>
                <w:rFonts w:eastAsia="Times New Roman" w:cs="Times New Roman"/>
                <w:sz w:val="18"/>
                <w:szCs w:val="18"/>
                <w:lang w:val="en-GB"/>
              </w:rPr>
              <w:t xml:space="preserve">0.19 + 0.25 × </w:t>
            </w:r>
            <w:r w:rsidRPr="00A2171C">
              <w:rPr>
                <w:rFonts w:eastAsia="Times New Roman" w:cs="Times New Roman"/>
                <w:i/>
                <w:iCs/>
                <w:sz w:val="18"/>
                <w:szCs w:val="18"/>
                <w:lang w:val="en-GB"/>
              </w:rPr>
              <w:t>Fc*</w:t>
            </w:r>
          </w:p>
        </w:tc>
        <w:tc>
          <w:tcPr>
            <w:tcW w:w="2280" w:type="pct"/>
            <w:tcBorders>
              <w:top w:val="single" w:sz="4" w:space="0" w:color="auto"/>
              <w:right w:val="nil"/>
            </w:tcBorders>
            <w:vAlign w:val="center"/>
          </w:tcPr>
          <w:p w14:paraId="79F48B49" w14:textId="77777777" w:rsidR="00A46867" w:rsidRPr="00A2171C" w:rsidRDefault="00A46867" w:rsidP="00EC1FCC">
            <w:pPr>
              <w:spacing w:after="0" w:line="240" w:lineRule="auto"/>
              <w:jc w:val="left"/>
              <w:rPr>
                <w:rFonts w:eastAsia="Times New Roman" w:cs="Times New Roman"/>
                <w:sz w:val="18"/>
                <w:szCs w:val="18"/>
                <w:lang w:val="en-GB"/>
              </w:rPr>
            </w:pPr>
            <w:r w:rsidRPr="00A2171C">
              <w:rPr>
                <w:rFonts w:eastAsia="Times New Roman" w:cs="Times New Roman"/>
                <w:sz w:val="18"/>
                <w:szCs w:val="18"/>
                <w:lang w:val="en-GB"/>
              </w:rPr>
              <w:t xml:space="preserve">0.10 + 0:25 × </w:t>
            </w:r>
            <w:r w:rsidRPr="00A2171C">
              <w:rPr>
                <w:rFonts w:eastAsia="Times New Roman" w:cs="Times New Roman"/>
                <w:i/>
                <w:iCs/>
                <w:sz w:val="18"/>
                <w:szCs w:val="18"/>
                <w:lang w:val="en-GB"/>
              </w:rPr>
              <w:t>Fc*</w:t>
            </w:r>
          </w:p>
        </w:tc>
      </w:tr>
      <w:tr w:rsidR="00A2171C" w:rsidRPr="00A2171C" w14:paraId="1429FB22" w14:textId="77777777" w:rsidTr="00BA2612">
        <w:trPr>
          <w:trHeight w:val="255"/>
        </w:trPr>
        <w:tc>
          <w:tcPr>
            <w:tcW w:w="5000" w:type="pct"/>
            <w:gridSpan w:val="3"/>
            <w:tcBorders>
              <w:left w:val="nil"/>
              <w:bottom w:val="single" w:sz="4" w:space="0" w:color="auto"/>
              <w:right w:val="nil"/>
            </w:tcBorders>
            <w:vAlign w:val="center"/>
          </w:tcPr>
          <w:p w14:paraId="02A1CC5F" w14:textId="77777777" w:rsidR="00A46867" w:rsidRPr="00A2171C" w:rsidRDefault="00A46867" w:rsidP="00227B34">
            <w:pPr>
              <w:spacing w:after="0" w:line="240" w:lineRule="auto"/>
              <w:jc w:val="left"/>
              <w:rPr>
                <w:rFonts w:eastAsia="Times New Roman" w:cs="Times New Roman"/>
                <w:sz w:val="16"/>
                <w:szCs w:val="16"/>
                <w:lang w:val="en-GB"/>
              </w:rPr>
            </w:pPr>
            <w:r w:rsidRPr="00A2171C">
              <w:rPr>
                <w:rFonts w:eastAsia="Times New Roman" w:cs="Times New Roman"/>
                <w:i/>
                <w:sz w:val="16"/>
                <w:szCs w:val="16"/>
                <w:lang w:val="en-GB"/>
              </w:rPr>
              <w:t>Fc* is a correction factor that can assume the values of 1.10, 1.20 or 1.30, for a building of&lt;3, &lt;7, and 7 + floors, respectively.</w:t>
            </w:r>
          </w:p>
        </w:tc>
      </w:tr>
    </w:tbl>
    <w:p w14:paraId="2993F7AF" w14:textId="4B1A6881" w:rsidR="00A46867" w:rsidRPr="00A2171C" w:rsidRDefault="00A46867" w:rsidP="00A46867">
      <w:pPr>
        <w:spacing w:before="240"/>
        <w:rPr>
          <w:rFonts w:eastAsia="Times New Roman" w:cs="Times New Roman"/>
          <w:szCs w:val="20"/>
          <w:lang w:val="en-GB"/>
        </w:rPr>
      </w:pPr>
      <w:r w:rsidRPr="00A2171C">
        <w:rPr>
          <w:rFonts w:eastAsia="Times New Roman" w:cs="Times New Roman"/>
          <w:szCs w:val="20"/>
          <w:lang w:val="en-GB"/>
        </w:rPr>
        <w:lastRenderedPageBreak/>
        <w:t xml:space="preserve">Factors </w:t>
      </w:r>
      <w:r w:rsidRPr="00A2171C">
        <w:rPr>
          <w:rFonts w:eastAsia="Times New Roman" w:cs="Times New Roman"/>
          <w:i/>
          <w:szCs w:val="20"/>
          <w:lang w:val="en-GB"/>
        </w:rPr>
        <w:t>SF</w:t>
      </w:r>
      <w:r w:rsidRPr="00A2171C">
        <w:rPr>
          <w:rFonts w:eastAsia="Times New Roman" w:cs="Times New Roman"/>
          <w:i/>
          <w:szCs w:val="20"/>
          <w:vertAlign w:val="subscript"/>
          <w:lang w:val="en-GB"/>
        </w:rPr>
        <w:t>I</w:t>
      </w:r>
      <w:r w:rsidRPr="00A2171C">
        <w:rPr>
          <w:rFonts w:eastAsia="Times New Roman" w:cs="Times New Roman"/>
          <w:i/>
          <w:szCs w:val="20"/>
          <w:lang w:val="en-GB"/>
        </w:rPr>
        <w:t xml:space="preserve"> </w:t>
      </w:r>
      <w:r w:rsidRPr="00A2171C">
        <w:rPr>
          <w:rFonts w:eastAsia="Times New Roman" w:cs="Times New Roman"/>
          <w:szCs w:val="20"/>
          <w:lang w:val="en-GB"/>
        </w:rPr>
        <w:t xml:space="preserve">and </w:t>
      </w:r>
      <w:r w:rsidRPr="00A2171C">
        <w:rPr>
          <w:rFonts w:eastAsia="Times New Roman" w:cs="Times New Roman"/>
          <w:i/>
          <w:szCs w:val="20"/>
          <w:lang w:val="en-GB"/>
        </w:rPr>
        <w:t>SF</w:t>
      </w:r>
      <w:r w:rsidRPr="00A2171C">
        <w:rPr>
          <w:rFonts w:eastAsia="Times New Roman" w:cs="Times New Roman"/>
          <w:i/>
          <w:szCs w:val="20"/>
          <w:vertAlign w:val="subscript"/>
          <w:lang w:val="en-GB"/>
        </w:rPr>
        <w:t>P</w:t>
      </w:r>
      <w:r w:rsidRPr="00A2171C">
        <w:rPr>
          <w:rFonts w:eastAsia="Times New Roman" w:cs="Times New Roman"/>
          <w:szCs w:val="20"/>
          <w:lang w:val="en-GB"/>
        </w:rPr>
        <w:t xml:space="preserve"> are preceded by two scalar values, 1.20 and 1.10, respectively, which have been previously proposed and account for the more significant role of ignition and propagation in the overall fire risk process (</w:t>
      </w:r>
      <w:r w:rsidR="000772EE" w:rsidRPr="00A2171C">
        <w:rPr>
          <w:rFonts w:eastAsia="Times New Roman" w:cs="Times New Roman"/>
          <w:szCs w:val="20"/>
          <w:lang w:val="en-GB"/>
        </w:rPr>
        <w:t>Ferreira et al.</w:t>
      </w:r>
      <w:r w:rsidR="00DD1213" w:rsidRPr="00A2171C">
        <w:rPr>
          <w:rFonts w:eastAsia="Times New Roman" w:cs="Times New Roman"/>
          <w:szCs w:val="20"/>
          <w:lang w:val="en-GB"/>
        </w:rPr>
        <w:t xml:space="preserve">, </w:t>
      </w:r>
      <w:r w:rsidR="000772EE" w:rsidRPr="00A2171C">
        <w:rPr>
          <w:rFonts w:eastAsia="Times New Roman" w:cs="Times New Roman"/>
          <w:szCs w:val="20"/>
          <w:lang w:val="en-GB"/>
        </w:rPr>
        <w:t>2018</w:t>
      </w:r>
      <w:r w:rsidRPr="00A2171C">
        <w:rPr>
          <w:rFonts w:eastAsia="Times New Roman" w:cs="Times New Roman"/>
          <w:szCs w:val="20"/>
          <w:lang w:val="en-GB"/>
        </w:rPr>
        <w:t xml:space="preserve">). According to Ferreira et al. (2018), the </w:t>
      </w:r>
      <w:r w:rsidRPr="00A2171C">
        <w:rPr>
          <w:rFonts w:eastAsia="Times New Roman" w:cs="Times New Roman"/>
          <w:i/>
          <w:iCs/>
          <w:szCs w:val="20"/>
          <w:lang w:val="en-GB"/>
        </w:rPr>
        <w:t>FR</w:t>
      </w:r>
      <w:r w:rsidRPr="00A2171C">
        <w:rPr>
          <w:rFonts w:eastAsia="Times New Roman" w:cs="Times New Roman"/>
          <w:i/>
          <w:iCs/>
          <w:szCs w:val="20"/>
          <w:vertAlign w:val="subscript"/>
          <w:lang w:val="en-GB"/>
        </w:rPr>
        <w:t>R</w:t>
      </w:r>
      <w:r w:rsidRPr="00A2171C">
        <w:rPr>
          <w:rFonts w:eastAsia="Times New Roman" w:cs="Times New Roman"/>
          <w:szCs w:val="20"/>
          <w:lang w:val="en-GB"/>
        </w:rPr>
        <w:t xml:space="preserve"> is the reference risk factor, which is determined from the type of building use</w:t>
      </w:r>
      <w:r w:rsidR="00262F7F" w:rsidRPr="00A2171C">
        <w:rPr>
          <w:rFonts w:eastAsia="Times New Roman" w:cs="Times New Roman"/>
          <w:szCs w:val="20"/>
          <w:lang w:val="en-GB"/>
        </w:rPr>
        <w:t xml:space="preserve"> (</w:t>
      </w:r>
      <w:r w:rsidR="00262F7F" w:rsidRPr="00A2171C">
        <w:rPr>
          <w:rFonts w:eastAsia="Times New Roman" w:cs="Times New Roman"/>
          <w:szCs w:val="20"/>
          <w:lang w:val="en-GB"/>
        </w:rPr>
        <w:fldChar w:fldCharType="begin"/>
      </w:r>
      <w:r w:rsidR="00262F7F" w:rsidRPr="00A2171C">
        <w:rPr>
          <w:rFonts w:eastAsia="Times New Roman" w:cs="Times New Roman"/>
          <w:szCs w:val="20"/>
          <w:lang w:val="en-GB"/>
        </w:rPr>
        <w:instrText xml:space="preserve"> REF _Ref121156236 \h </w:instrText>
      </w:r>
      <w:r w:rsidR="00262F7F" w:rsidRPr="00A2171C">
        <w:rPr>
          <w:rFonts w:eastAsia="Times New Roman" w:cs="Times New Roman"/>
          <w:szCs w:val="20"/>
          <w:lang w:val="en-GB"/>
        </w:rPr>
      </w:r>
      <w:r w:rsidR="00262F7F" w:rsidRPr="00A2171C">
        <w:rPr>
          <w:rFonts w:eastAsia="Times New Roman" w:cs="Times New Roman"/>
          <w:szCs w:val="20"/>
          <w:lang w:val="en-GB"/>
        </w:rPr>
        <w:fldChar w:fldCharType="separate"/>
      </w:r>
      <w:r w:rsidR="00C20049" w:rsidRPr="00A2171C">
        <w:rPr>
          <w:lang w:val="en-US"/>
        </w:rPr>
        <w:t xml:space="preserve">Table </w:t>
      </w:r>
      <w:r w:rsidR="00C20049" w:rsidRPr="00A2171C">
        <w:rPr>
          <w:noProof/>
          <w:lang w:val="en-US"/>
        </w:rPr>
        <w:t>2</w:t>
      </w:r>
      <w:r w:rsidR="00262F7F" w:rsidRPr="00A2171C">
        <w:rPr>
          <w:rFonts w:eastAsia="Times New Roman" w:cs="Times New Roman"/>
          <w:szCs w:val="20"/>
          <w:lang w:val="en-GB"/>
        </w:rPr>
        <w:fldChar w:fldCharType="end"/>
      </w:r>
      <w:r w:rsidR="00262F7F" w:rsidRPr="00A2171C">
        <w:rPr>
          <w:rFonts w:eastAsia="Times New Roman" w:cs="Times New Roman"/>
          <w:szCs w:val="20"/>
          <w:lang w:val="en-GB"/>
        </w:rPr>
        <w:t>)</w:t>
      </w:r>
      <w:r w:rsidRPr="00A2171C">
        <w:rPr>
          <w:rFonts w:eastAsia="Times New Roman" w:cs="Times New Roman"/>
          <w:szCs w:val="20"/>
          <w:lang w:val="en-GB"/>
        </w:rPr>
        <w:t xml:space="preserve">. </w:t>
      </w:r>
      <w:r w:rsidRPr="00A2171C">
        <w:rPr>
          <w:szCs w:val="20"/>
          <w:lang w:val="en-US"/>
        </w:rPr>
        <w:t xml:space="preserve">The modified and new FRI-factors proposed in this work </w:t>
      </w:r>
      <w:r w:rsidRPr="00A2171C">
        <w:rPr>
          <w:rFonts w:eastAsia="Times New Roman" w:cs="Times New Roman"/>
          <w:szCs w:val="20"/>
          <w:lang w:val="en-US"/>
        </w:rPr>
        <w:t xml:space="preserve">include the partial ignition risk factors </w:t>
      </w:r>
      <w:r w:rsidRPr="00A2171C">
        <w:rPr>
          <w:rFonts w:eastAsia="Times New Roman" w:cs="Times New Roman"/>
          <w:szCs w:val="20"/>
          <w:lang w:val="en-GB"/>
        </w:rPr>
        <w:t>C</w:t>
      </w:r>
      <w:r w:rsidRPr="00A2171C">
        <w:rPr>
          <w:rFonts w:eastAsia="Times New Roman" w:cs="Times New Roman"/>
          <w:szCs w:val="20"/>
          <w:vertAlign w:val="subscript"/>
          <w:lang w:val="en-GB"/>
        </w:rPr>
        <w:t>ee</w:t>
      </w:r>
      <w:r w:rsidRPr="00A2171C">
        <w:rPr>
          <w:rFonts w:eastAsia="Times New Roman" w:cs="Times New Roman"/>
          <w:szCs w:val="20"/>
          <w:lang w:val="en-US"/>
        </w:rPr>
        <w:t>—the condition of the extension cords and the possibility of overloading the basic installation—</w:t>
      </w:r>
      <w:r w:rsidR="005A7BE8" w:rsidRPr="00A2171C">
        <w:rPr>
          <w:rFonts w:eastAsia="Times New Roman" w:cs="Times New Roman"/>
          <w:szCs w:val="20"/>
          <w:lang w:val="en-US"/>
        </w:rPr>
        <w:t xml:space="preserve"> the </w:t>
      </w:r>
      <w:r w:rsidRPr="00A2171C">
        <w:rPr>
          <w:rFonts w:eastAsia="Times New Roman" w:cs="Times New Roman"/>
          <w:szCs w:val="20"/>
          <w:lang w:val="en-US"/>
        </w:rPr>
        <w:t xml:space="preserve">partial propagation risk-factors, </w:t>
      </w:r>
      <w:r w:rsidRPr="00A2171C">
        <w:rPr>
          <w:rFonts w:eastAsia="Times New Roman" w:cs="Times New Roman"/>
          <w:sz w:val="18"/>
          <w:szCs w:val="18"/>
          <w:lang w:val="en-GB"/>
        </w:rPr>
        <w:t>PF</w:t>
      </w:r>
      <w:r w:rsidRPr="00A2171C">
        <w:rPr>
          <w:rFonts w:eastAsia="Times New Roman" w:cs="Times New Roman"/>
          <w:sz w:val="18"/>
          <w:szCs w:val="18"/>
          <w:vertAlign w:val="subscript"/>
          <w:lang w:val="en-GB"/>
        </w:rPr>
        <w:t>P4</w:t>
      </w:r>
      <w:r w:rsidRPr="00A2171C">
        <w:rPr>
          <w:rFonts w:eastAsia="Times New Roman" w:cs="Times New Roman"/>
          <w:sz w:val="18"/>
          <w:szCs w:val="18"/>
          <w:lang w:val="en-GB"/>
        </w:rPr>
        <w:t>—</w:t>
      </w:r>
      <w:r w:rsidRPr="00A2171C">
        <w:rPr>
          <w:rFonts w:eastAsia="Times New Roman" w:cs="Times New Roman"/>
          <w:szCs w:val="20"/>
          <w:lang w:val="en-US"/>
        </w:rPr>
        <w:t>fixed</w:t>
      </w:r>
      <w:r w:rsidRPr="00A2171C">
        <w:rPr>
          <w:rFonts w:eastAsia="Times New Roman" w:cs="Times New Roman"/>
          <w:sz w:val="18"/>
          <w:szCs w:val="18"/>
          <w:lang w:val="en-GB"/>
        </w:rPr>
        <w:t xml:space="preserve"> </w:t>
      </w:r>
      <w:r w:rsidRPr="00A2171C">
        <w:rPr>
          <w:rFonts w:eastAsia="Times New Roman" w:cs="Times New Roman"/>
          <w:szCs w:val="20"/>
          <w:lang w:val="en-US"/>
        </w:rPr>
        <w:t>fire load categorization according to structural typologies</w:t>
      </w:r>
      <w:r w:rsidR="000765C4" w:rsidRPr="00A2171C">
        <w:rPr>
          <w:rFonts w:eastAsia="Times New Roman" w:cs="Times New Roman"/>
          <w:szCs w:val="20"/>
          <w:lang w:val="en-US"/>
        </w:rPr>
        <w:t xml:space="preserve"> (CD or CL&amp;Va styles)</w:t>
      </w:r>
      <w:r w:rsidRPr="00A2171C">
        <w:rPr>
          <w:rFonts w:eastAsia="Times New Roman" w:cs="Times New Roman"/>
          <w:szCs w:val="20"/>
          <w:lang w:val="en-US"/>
        </w:rPr>
        <w:t xml:space="preserve"> and </w:t>
      </w:r>
      <w:r w:rsidRPr="00A2171C">
        <w:rPr>
          <w:rFonts w:eastAsia="Times New Roman" w:cs="Times New Roman"/>
          <w:sz w:val="18"/>
          <w:szCs w:val="18"/>
          <w:lang w:val="en-GB"/>
        </w:rPr>
        <w:t>PF</w:t>
      </w:r>
      <w:r w:rsidRPr="00A2171C">
        <w:rPr>
          <w:rFonts w:eastAsia="Times New Roman" w:cs="Times New Roman"/>
          <w:sz w:val="18"/>
          <w:szCs w:val="18"/>
          <w:vertAlign w:val="subscript"/>
          <w:lang w:val="en-GB"/>
        </w:rPr>
        <w:t>P</w:t>
      </w:r>
      <w:r w:rsidR="000765C4" w:rsidRPr="00A2171C">
        <w:rPr>
          <w:rFonts w:eastAsia="Times New Roman" w:cs="Times New Roman"/>
          <w:sz w:val="18"/>
          <w:szCs w:val="18"/>
          <w:vertAlign w:val="subscript"/>
          <w:lang w:val="en-GB"/>
        </w:rPr>
        <w:t>5</w:t>
      </w:r>
      <w:r w:rsidRPr="00A2171C">
        <w:rPr>
          <w:rFonts w:eastAsia="Times New Roman" w:cs="Times New Roman"/>
          <w:sz w:val="18"/>
          <w:szCs w:val="18"/>
          <w:lang w:val="en-GB"/>
        </w:rPr>
        <w:t xml:space="preserve">, </w:t>
      </w:r>
      <w:r w:rsidRPr="00A2171C">
        <w:rPr>
          <w:rFonts w:eastAsia="Times New Roman" w:cs="Times New Roman"/>
          <w:szCs w:val="20"/>
          <w:lang w:val="en-US"/>
        </w:rPr>
        <w:t xml:space="preserve">which accounts for the categorization of movable fire loads according to the building use. A more detailed </w:t>
      </w:r>
      <w:r w:rsidRPr="00A2171C">
        <w:rPr>
          <w:rFonts w:eastAsia="Times New Roman" w:cs="Times New Roman"/>
          <w:szCs w:val="20"/>
          <w:lang w:val="en-GB"/>
        </w:rPr>
        <w:t>definition of each of these partial factors is presented nex</w:t>
      </w:r>
      <w:r w:rsidR="005A7BE8" w:rsidRPr="00A2171C">
        <w:rPr>
          <w:rFonts w:eastAsia="Times New Roman" w:cs="Times New Roman"/>
          <w:szCs w:val="20"/>
          <w:lang w:val="en-GB"/>
        </w:rPr>
        <w:t>t.</w:t>
      </w:r>
    </w:p>
    <w:p w14:paraId="7ADC2328" w14:textId="6957E5BD" w:rsidR="00A85F43" w:rsidRPr="00A2171C" w:rsidRDefault="00A46867" w:rsidP="004B4963">
      <w:pPr>
        <w:pStyle w:val="ListParagraph"/>
        <w:numPr>
          <w:ilvl w:val="0"/>
          <w:numId w:val="16"/>
        </w:numPr>
        <w:spacing w:before="240" w:after="0"/>
        <w:ind w:left="284" w:hanging="284"/>
        <w:rPr>
          <w:rFonts w:eastAsia="Times New Roman" w:cs="Times New Roman"/>
          <w:szCs w:val="20"/>
          <w:lang w:val="en-GB"/>
        </w:rPr>
      </w:pPr>
      <w:r w:rsidRPr="00A2171C">
        <w:rPr>
          <w:rFonts w:eastAsia="Times New Roman" w:cs="Times New Roman"/>
          <w:b/>
          <w:szCs w:val="20"/>
          <w:lang w:val="en-GB"/>
        </w:rPr>
        <w:t>F</w:t>
      </w:r>
      <w:r w:rsidRPr="00A2171C">
        <w:rPr>
          <w:rFonts w:eastAsia="Times New Roman" w:cs="Times New Roman"/>
          <w:b/>
          <w:bCs/>
          <w:szCs w:val="20"/>
          <w:lang w:val="en-GB"/>
        </w:rPr>
        <w:t>ire ignition risk (</w:t>
      </w:r>
      <w:r w:rsidRPr="00A2171C">
        <w:rPr>
          <w:rFonts w:eastAsia="Times New Roman" w:cs="Times New Roman"/>
          <w:b/>
          <w:bCs/>
          <w:i/>
          <w:szCs w:val="20"/>
          <w:lang w:val="en-GB"/>
        </w:rPr>
        <w:t>SF</w:t>
      </w:r>
      <w:r w:rsidRPr="00A2171C">
        <w:rPr>
          <w:rFonts w:eastAsia="Times New Roman" w:cs="Times New Roman"/>
          <w:b/>
          <w:bCs/>
          <w:i/>
          <w:szCs w:val="20"/>
          <w:vertAlign w:val="subscript"/>
          <w:lang w:val="en-GB"/>
        </w:rPr>
        <w:t>I</w:t>
      </w:r>
      <w:r w:rsidRPr="00A2171C">
        <w:rPr>
          <w:rFonts w:eastAsia="Times New Roman" w:cs="Times New Roman"/>
          <w:b/>
          <w:bCs/>
          <w:szCs w:val="20"/>
          <w:lang w:val="en-GB"/>
        </w:rPr>
        <w:t>)</w:t>
      </w:r>
      <w:r w:rsidRPr="00A2171C">
        <w:rPr>
          <w:rFonts w:eastAsia="Times New Roman" w:cs="Times New Roman"/>
          <w:szCs w:val="20"/>
          <w:lang w:val="en-GB"/>
        </w:rPr>
        <w:t xml:space="preserve"> of aggregate historical buildings requires values of four partial factors. Based on the peculiarities of Chilean dwellings shown by the results of a previous statistical study on Chilean fires between 2010 and 2020 undertaken by </w:t>
      </w:r>
      <w:r w:rsidRPr="00A2171C">
        <w:rPr>
          <w:rFonts w:eastAsia="Times New Roman" w:cs="Times New Roman"/>
          <w:szCs w:val="20"/>
          <w:lang w:val="en-GB"/>
        </w:rPr>
        <w:fldChar w:fldCharType="begin" w:fldLock="1"/>
      </w:r>
      <w:r w:rsidR="00CC5FDE" w:rsidRPr="00A2171C">
        <w:rPr>
          <w:rFonts w:eastAsia="Times New Roman" w:cs="Times New Roman"/>
          <w:szCs w:val="20"/>
          <w:lang w:val="en-GB"/>
        </w:rPr>
        <w:instrText>ADDIN CSL_CITATION {"citationItems":[{"id":"ITEM-1","itemData":{"author":[{"dropping-particle":"","family":"WTW-Chile","given":"","non-dropping-particle":"","parse-names":false,"suffix":""}],"container-title":"Consultoría de Riesgos (DCR) de Willis Towers Watson (WTW)","id":"ITEM-1","issued":{"date-parts":[["2020"]]},"title":"Incendios en Chile : Estadísticas y Perspectiva desde la experiencia como Brokers de Seguros Tabla de Contenidos","type":"article-journal"},"uris":["http://www.mendeley.com/documents/?uuid=32758d35-65c5-47ab-9f27-3eac77b08670"]}],"mendeley":{"formattedCitation":"(WTW-Chile, 2020)","manualFormatting":"WTW-Chile (2020","plainTextFormattedCitation":"(WTW-Chile, 2020)","previouslyFormattedCitation":"(WTW-Chile, 2020)"},"properties":{"noteIndex":0},"schema":"https://github.com/citation-style-language/schema/raw/master/csl-citation.json"}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WTW-Chile (2020</w:t>
      </w:r>
      <w:r w:rsidRPr="00A2171C">
        <w:rPr>
          <w:rFonts w:eastAsia="Times New Roman" w:cs="Times New Roman"/>
          <w:szCs w:val="20"/>
          <w:lang w:val="en-GB"/>
        </w:rPr>
        <w:fldChar w:fldCharType="end"/>
      </w:r>
      <w:r w:rsidRPr="00A2171C">
        <w:rPr>
          <w:rFonts w:eastAsia="Times New Roman" w:cs="Times New Roman"/>
          <w:szCs w:val="20"/>
          <w:lang w:val="en-GB"/>
        </w:rPr>
        <w:t>), some new ignition risk parameters related to the general condition of electrical installations (PF</w:t>
      </w:r>
      <w:r w:rsidRPr="00A2171C">
        <w:rPr>
          <w:rFonts w:eastAsia="Times New Roman" w:cs="Times New Roman"/>
          <w:szCs w:val="20"/>
          <w:vertAlign w:val="subscript"/>
          <w:lang w:val="en-GB"/>
        </w:rPr>
        <w:t>I2</w:t>
      </w:r>
      <w:r w:rsidRPr="00A2171C">
        <w:rPr>
          <w:rFonts w:eastAsia="Times New Roman" w:cs="Times New Roman"/>
          <w:szCs w:val="20"/>
          <w:lang w:val="en-GB"/>
        </w:rPr>
        <w:t>), and a partial factor associated with the type of heating system (PF</w:t>
      </w:r>
      <w:r w:rsidRPr="00A2171C">
        <w:rPr>
          <w:rFonts w:eastAsia="Times New Roman" w:cs="Times New Roman"/>
          <w:szCs w:val="20"/>
          <w:vertAlign w:val="subscript"/>
          <w:lang w:val="en-GB"/>
        </w:rPr>
        <w:t>I5</w:t>
      </w:r>
      <w:r w:rsidRPr="00A2171C">
        <w:rPr>
          <w:rFonts w:eastAsia="Times New Roman" w:cs="Times New Roman"/>
          <w:szCs w:val="20"/>
          <w:lang w:val="en-GB"/>
        </w:rPr>
        <w:t xml:space="preserve">) were proposed. Thus, fire ignition risk </w:t>
      </w:r>
      <w:r w:rsidRPr="00A2171C">
        <w:rPr>
          <w:rFonts w:eastAsia="Times New Roman" w:cs="Times New Roman"/>
          <w:i/>
          <w:iCs/>
          <w:sz w:val="18"/>
          <w:szCs w:val="18"/>
          <w:lang w:val="en-GB"/>
        </w:rPr>
        <w:t>SF</w:t>
      </w:r>
      <w:r w:rsidRPr="00A2171C">
        <w:rPr>
          <w:rFonts w:eastAsia="Times New Roman" w:cs="Times New Roman"/>
          <w:i/>
          <w:iCs/>
          <w:sz w:val="18"/>
          <w:szCs w:val="18"/>
          <w:vertAlign w:val="subscript"/>
          <w:lang w:val="en-GB"/>
        </w:rPr>
        <w:t>I</w:t>
      </w:r>
      <w:r w:rsidRPr="00A2171C">
        <w:rPr>
          <w:rFonts w:eastAsia="Times New Roman" w:cs="Times New Roman"/>
          <w:sz w:val="18"/>
          <w:szCs w:val="18"/>
          <w:lang w:val="en-GB"/>
        </w:rPr>
        <w:t xml:space="preserve"> = </w:t>
      </w:r>
      <m:oMath>
        <m:nary>
          <m:naryPr>
            <m:chr m:val="∑"/>
            <m:ctrlPr>
              <w:rPr>
                <w:rFonts w:ascii="Cambria Math" w:eastAsia="Cambria Math" w:hAnsi="Cambria Math" w:cs="Times New Roman"/>
                <w:sz w:val="18"/>
                <w:szCs w:val="18"/>
                <w:lang w:val="en-GB"/>
              </w:rPr>
            </m:ctrlPr>
          </m:naryPr>
          <m:sub>
            <m:r>
              <w:rPr>
                <w:rFonts w:ascii="Cambria Math" w:eastAsia="Cambria Math" w:hAnsi="Cambria Math" w:cs="Times New Roman"/>
                <w:sz w:val="18"/>
                <w:szCs w:val="18"/>
                <w:lang w:val="en-GB"/>
              </w:rPr>
              <m:t>i=1</m:t>
            </m:r>
          </m:sub>
          <m:sup>
            <m:r>
              <w:rPr>
                <w:rFonts w:ascii="Cambria Math" w:eastAsia="Cambria Math" w:hAnsi="Cambria Math" w:cs="Times New Roman"/>
                <w:sz w:val="18"/>
                <w:szCs w:val="18"/>
                <w:lang w:val="en-GB"/>
              </w:rPr>
              <m:t>5</m:t>
            </m:r>
          </m:sup>
          <m:e>
            <m:acc>
              <m:accPr>
                <m:ctrlPr>
                  <w:rPr>
                    <w:rFonts w:ascii="Cambria Math" w:eastAsia="Cambria Math" w:hAnsi="Cambria Math" w:cs="Times New Roman"/>
                    <w:i/>
                    <w:sz w:val="18"/>
                    <w:szCs w:val="18"/>
                    <w:lang w:val="en-GB"/>
                  </w:rPr>
                </m:ctrlPr>
              </m:accPr>
              <m:e>
                <m:sSub>
                  <m:sSubPr>
                    <m:ctrlPr>
                      <w:rPr>
                        <w:rFonts w:ascii="Cambria Math" w:eastAsia="Cambria Math" w:hAnsi="Cambria Math" w:cs="Times New Roman"/>
                        <w:i/>
                        <w:sz w:val="18"/>
                        <w:szCs w:val="18"/>
                        <w:lang w:val="en-GB"/>
                      </w:rPr>
                    </m:ctrlPr>
                  </m:sSubPr>
                  <m:e>
                    <m:r>
                      <w:rPr>
                        <w:rFonts w:ascii="Cambria Math" w:eastAsia="Cambria Math" w:hAnsi="Cambria Math" w:cs="Times New Roman"/>
                        <w:sz w:val="18"/>
                        <w:szCs w:val="18"/>
                        <w:lang w:val="en-GB"/>
                      </w:rPr>
                      <m:t>PF</m:t>
                    </m:r>
                  </m:e>
                  <m:sub>
                    <m:r>
                      <w:rPr>
                        <w:rFonts w:ascii="Cambria Math" w:eastAsia="Cambria Math" w:hAnsi="Cambria Math" w:cs="Times New Roman"/>
                        <w:sz w:val="18"/>
                        <w:szCs w:val="18"/>
                        <w:lang w:val="en-GB"/>
                      </w:rPr>
                      <m:t>I,i</m:t>
                    </m:r>
                  </m:sub>
                </m:sSub>
              </m:e>
            </m:acc>
          </m:e>
        </m:nary>
      </m:oMath>
      <w:r w:rsidRPr="00A2171C">
        <w:rPr>
          <w:rFonts w:eastAsia="Times New Roman" w:cs="Times New Roman"/>
          <w:sz w:val="18"/>
          <w:szCs w:val="18"/>
          <w:lang w:val="en-GB"/>
        </w:rPr>
        <w:t xml:space="preserve"> </w:t>
      </w:r>
      <w:r w:rsidRPr="00A2171C">
        <w:rPr>
          <w:rFonts w:eastAsia="Times New Roman" w:cs="Times New Roman"/>
          <w:szCs w:val="20"/>
          <w:lang w:val="en-GB"/>
        </w:rPr>
        <w:t>is computed considering five partial factors as shown in the Appendix (</w:t>
      </w:r>
      <w:r w:rsidR="00262F7F" w:rsidRPr="00A2171C">
        <w:rPr>
          <w:lang w:val="en-US"/>
        </w:rPr>
        <w:fldChar w:fldCharType="begin"/>
      </w:r>
      <w:r w:rsidR="00262F7F" w:rsidRPr="00A2171C">
        <w:rPr>
          <w:rFonts w:eastAsia="Times New Roman" w:cs="Times New Roman"/>
          <w:szCs w:val="20"/>
          <w:lang w:val="en-GB"/>
        </w:rPr>
        <w:instrText xml:space="preserve"> REF _Ref121156687 \h </w:instrText>
      </w:r>
      <w:r w:rsidR="00262F7F" w:rsidRPr="00A2171C">
        <w:rPr>
          <w:lang w:val="en-US"/>
        </w:rPr>
      </w:r>
      <w:r w:rsidR="00262F7F" w:rsidRPr="00A2171C">
        <w:rPr>
          <w:lang w:val="en-US"/>
        </w:rPr>
        <w:fldChar w:fldCharType="separate"/>
      </w:r>
      <w:r w:rsidR="00C20049" w:rsidRPr="00A2171C">
        <w:rPr>
          <w:lang w:val="en-US"/>
        </w:rPr>
        <w:t xml:space="preserve">Table A </w:t>
      </w:r>
      <w:r w:rsidR="00C20049" w:rsidRPr="00A2171C">
        <w:rPr>
          <w:noProof/>
          <w:lang w:val="en-US"/>
        </w:rPr>
        <w:t>1</w:t>
      </w:r>
      <w:r w:rsidR="00262F7F" w:rsidRPr="00A2171C">
        <w:rPr>
          <w:lang w:val="en-US"/>
        </w:rPr>
        <w:fldChar w:fldCharType="end"/>
      </w:r>
      <w:r w:rsidR="00DD1213" w:rsidRPr="00A2171C">
        <w:rPr>
          <w:rFonts w:eastAsia="Times New Roman" w:cs="Times New Roman"/>
          <w:szCs w:val="20"/>
          <w:lang w:val="en-GB"/>
        </w:rPr>
        <w:t>)</w:t>
      </w:r>
      <w:r w:rsidRPr="00A2171C">
        <w:rPr>
          <w:rFonts w:eastAsia="Times New Roman" w:cs="Times New Roman"/>
          <w:szCs w:val="20"/>
          <w:lang w:val="en-GB"/>
        </w:rPr>
        <w:t xml:space="preserve">. </w:t>
      </w:r>
      <w:r w:rsidR="00A85F43" w:rsidRPr="00A2171C">
        <w:rPr>
          <w:rFonts w:eastAsia="Times New Roman" w:cs="Times New Roman"/>
          <w:szCs w:val="20"/>
          <w:lang w:val="en-GB"/>
        </w:rPr>
        <w:t>The conservation state of the SU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I,1</m:t>
            </m:r>
          </m:sub>
        </m:sSub>
      </m:oMath>
      <w:r w:rsidR="00A85F43" w:rsidRPr="00A2171C">
        <w:rPr>
          <w:rFonts w:eastAsia="Times New Roman" w:cs="Times New Roman"/>
          <w:szCs w:val="20"/>
          <w:lang w:val="en-GB"/>
        </w:rPr>
        <w:t xml:space="preserve">) is based on the condition of the façade, lateral walls, and roof structure, and analysed according to </w:t>
      </w:r>
      <w:r w:rsidR="00A85F43" w:rsidRPr="00A2171C">
        <w:rPr>
          <w:rFonts w:eastAsia="Times New Roman" w:cs="Times New Roman"/>
          <w:szCs w:val="20"/>
          <w:lang w:val="en-GB"/>
        </w:rPr>
        <w:fldChar w:fldCharType="begin" w:fldLock="1"/>
      </w:r>
      <w:r w:rsidR="00CC5FDE" w:rsidRPr="00A2171C">
        <w:rPr>
          <w:rFonts w:eastAsia="Times New Roman" w:cs="Times New Roman"/>
          <w:szCs w:val="20"/>
          <w:lang w:val="en-GB"/>
        </w:rPr>
        <w:instrText>ADDIN CSL_CITATION {"citationItems":[{"id":"ITEM-1","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Heritage","id":"ITEM-1","issue":"426","issued":{"date-parts":[["2016"]]},"page":"1-7","title":"Urban fire risk: Evaluation and emergency planning","type":"article-journal","volume":"20"},"uris":["http://www.mendeley.com/documents/?uuid=8b45f97f-58a1-4a84-9208-ddf32f667d2c"]}],"mendeley":{"formattedCitation":"(Ferreira et al., 2016)","manualFormatting":"Ferreira et al., 2016","plainTextFormattedCitation":"(Ferreira et al., 2016)","previouslyFormattedCitation":"(Ferreira et al., 2016)"},"properties":{"noteIndex":0},"schema":"https://github.com/citation-style-language/schema/raw/master/csl-citation.json"}</w:instrText>
      </w:r>
      <w:r w:rsidR="00A85F43" w:rsidRPr="00A2171C">
        <w:rPr>
          <w:rFonts w:eastAsia="Times New Roman" w:cs="Times New Roman"/>
          <w:szCs w:val="20"/>
          <w:lang w:val="en-GB"/>
        </w:rPr>
        <w:fldChar w:fldCharType="separate"/>
      </w:r>
      <w:r w:rsidR="00A85F43" w:rsidRPr="00A2171C">
        <w:rPr>
          <w:rFonts w:eastAsia="Times New Roman" w:cs="Times New Roman"/>
          <w:noProof/>
          <w:szCs w:val="20"/>
          <w:lang w:val="en-GB"/>
        </w:rPr>
        <w:t>Ferreira et al., 2016</w:t>
      </w:r>
      <w:r w:rsidR="00A85F43" w:rsidRPr="00A2171C">
        <w:rPr>
          <w:rFonts w:eastAsia="Times New Roman" w:cs="Times New Roman"/>
          <w:szCs w:val="20"/>
          <w:lang w:val="en-GB"/>
        </w:rPr>
        <w:fldChar w:fldCharType="end"/>
      </w:r>
      <w:r w:rsidR="00A85F43" w:rsidRPr="00A2171C">
        <w:rPr>
          <w:rFonts w:eastAsia="Times New Roman" w:cs="Times New Roman"/>
          <w:szCs w:val="20"/>
          <w:lang w:val="en-GB"/>
        </w:rPr>
        <w:t xml:space="preserve">. The presence of a degraded, or fractured material, may expose other materials with higher combustibility and reduce fire compartmentalization </w:t>
      </w:r>
      <w:r w:rsidR="00A85F43" w:rsidRPr="00A2171C">
        <w:rPr>
          <w:rFonts w:eastAsia="Times New Roman" w:cs="Times New Roman"/>
          <w:szCs w:val="20"/>
          <w:lang w:val="en-GB"/>
        </w:rPr>
        <w:fldChar w:fldCharType="begin" w:fldLock="1"/>
      </w:r>
      <w:r w:rsidR="00A85F43" w:rsidRPr="00A2171C">
        <w:rPr>
          <w:rFonts w:eastAsia="Times New Roman" w:cs="Times New Roman"/>
          <w:szCs w:val="20"/>
          <w:lang w:val="en-GB"/>
        </w:rPr>
        <w:instrText>ADDIN CSL_CITATION {"citationItems":[{"id":"ITEM-1","itemData":{"DOI":"10.1016/j.ijdrr.2021.102286","ISSN":"22124209","abstract":"Indicator-based methods are able to provide a simple and reliable way to assess the level of fire risk of existing constructions. While many of these methods were not developed for cultural heritage assets, those that were often involve indicators connected to provisions defined by standards that are only valid in certain countries. As such, a method with the required versatility to analyse the fire safety of cultural heritage assets is still needed. Developing a method with the necessary characteristics requires a prior review of existing approaches to understand their strengths and weaknesses. A review of existing indicator-based methods for fire risk assessment is, therefore, presented, covering methods applicable to built cultural heritage assets and other types of constructions. In addition, the review also analyses existing fire safety guidelines and recommendations dedicated to cultural heritage assets. As an outcome, the review proposes twenty-two vulnerability indicators grouped into four categories that can be used to develop a fire risk assessment method dedicated to built cultural heritage assets. The review also establishes a classification of cultural heritage assets according to four classes that focus on their fire vulnerability and discusses the applicability of the proposed indicators.","author":[{"dropping-particle":"","family":"Salazar","given":"L. Gerardo F.","non-dropping-particle":"","parse-names":false,"suffix":""},{"dropping-particle":"","family":"Romão","given":"Xavier","non-dropping-particle":"","parse-names":false,"suffix":""},{"dropping-particle":"","family":"Paupério","given":"Esmeralda","non-dropping-particle":"","parse-names":false,"suffix":""}],"container-title":"International Journal of Disaster Risk Reduction","id":"ITEM-1","issue":"December 2020","issued":{"date-parts":[["2021"]]},"title":"Review of vulnerability indicators for fire risk assessment in cultural heritage","type":"article-journal","volume":"60"},"uris":["http://www.mendeley.com/documents/?uuid=6543d926-17df-4c79-8986-cedd1ae24c23"]}],"mendeley":{"formattedCitation":"(Salazar et al., 2021)","plainTextFormattedCitation":"(Salazar et al., 2021)","previouslyFormattedCitation":"(Salazar et al., 2021)"},"properties":{"noteIndex":0},"schema":"https://github.com/citation-style-language/schema/raw/master/csl-citation.json"}</w:instrText>
      </w:r>
      <w:r w:rsidR="00A85F43" w:rsidRPr="00A2171C">
        <w:rPr>
          <w:rFonts w:eastAsia="Times New Roman" w:cs="Times New Roman"/>
          <w:szCs w:val="20"/>
          <w:lang w:val="en-GB"/>
        </w:rPr>
        <w:fldChar w:fldCharType="separate"/>
      </w:r>
      <w:r w:rsidR="00A85F43" w:rsidRPr="00A2171C">
        <w:rPr>
          <w:rFonts w:eastAsia="Times New Roman" w:cs="Times New Roman"/>
          <w:noProof/>
          <w:szCs w:val="20"/>
          <w:lang w:val="en-GB"/>
        </w:rPr>
        <w:t>(Salazar et al., 2021)</w:t>
      </w:r>
      <w:r w:rsidR="00A85F43" w:rsidRPr="00A2171C">
        <w:rPr>
          <w:rFonts w:eastAsia="Times New Roman" w:cs="Times New Roman"/>
          <w:szCs w:val="20"/>
          <w:lang w:val="en-GB"/>
        </w:rPr>
        <w:fldChar w:fldCharType="end"/>
      </w:r>
      <w:r w:rsidR="00A85F43" w:rsidRPr="00A2171C">
        <w:rPr>
          <w:rFonts w:eastAsia="Times New Roman" w:cs="Times New Roman"/>
          <w:szCs w:val="20"/>
          <w:lang w:val="en-GB"/>
        </w:rPr>
        <w:t xml:space="preserve">. Based on the state of conservation of these three structural elements, the value of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I,1</m:t>
            </m:r>
          </m:sub>
        </m:sSub>
      </m:oMath>
      <w:r w:rsidR="00A85F43" w:rsidRPr="00A2171C">
        <w:rPr>
          <w:rFonts w:eastAsia="Times New Roman" w:cs="Times New Roman"/>
          <w:szCs w:val="20"/>
          <w:vertAlign w:val="subscript"/>
          <w:lang w:val="en-GB"/>
        </w:rPr>
        <w:t xml:space="preserve"> </w:t>
      </w:r>
      <w:r w:rsidR="00A85F43" w:rsidRPr="00A2171C">
        <w:rPr>
          <w:rFonts w:eastAsia="Times New Roman" w:cs="Times New Roman"/>
          <w:szCs w:val="20"/>
          <w:lang w:val="en-GB"/>
        </w:rPr>
        <w:t xml:space="preserve">for the SU is “good” when none of the three elements show pathologies that affect their monolithicity (e.g., deep cracks, disconnection between structural elements, disconnections at the edges). On the contrary, when one of the structural elements presents a pathology that impedes to consider it as monolithic,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I,1</m:t>
            </m:r>
          </m:sub>
        </m:sSub>
      </m:oMath>
      <w:r w:rsidR="00A85F43" w:rsidRPr="00A2171C">
        <w:rPr>
          <w:rFonts w:eastAsia="Times New Roman" w:cs="Times New Roman"/>
          <w:szCs w:val="20"/>
          <w:lang w:val="en-GB"/>
        </w:rPr>
        <w:t xml:space="preserve"> is “intermediate”, while if the pathology involves more than one structural element,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I,1</m:t>
            </m:r>
          </m:sub>
        </m:sSub>
      </m:oMath>
      <w:r w:rsidR="00A85F43" w:rsidRPr="00A2171C">
        <w:rPr>
          <w:rFonts w:eastAsia="Times New Roman" w:cs="Times New Roman"/>
          <w:szCs w:val="20"/>
          <w:vertAlign w:val="subscript"/>
          <w:lang w:val="en-GB"/>
        </w:rPr>
        <w:t xml:space="preserve"> </w:t>
      </w:r>
      <w:r w:rsidR="00A85F43" w:rsidRPr="00A2171C">
        <w:rPr>
          <w:rFonts w:eastAsia="Times New Roman" w:cs="Times New Roman"/>
          <w:szCs w:val="20"/>
          <w:lang w:val="en-GB"/>
        </w:rPr>
        <w:t>is evaluated as “bad”.</w:t>
      </w:r>
    </w:p>
    <w:p w14:paraId="6F441A37" w14:textId="5E3DE12A" w:rsidR="00A46867" w:rsidRPr="00A2171C" w:rsidRDefault="00A46867" w:rsidP="00A85F43">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The general condition of electrical installations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I,2</m:t>
            </m:r>
          </m:sub>
        </m:sSub>
      </m:oMath>
      <w:r w:rsidRPr="00A2171C">
        <w:rPr>
          <w:rFonts w:eastAsia="Times New Roman" w:cs="Times New Roman"/>
          <w:szCs w:val="20"/>
          <w:lang w:val="en-GB"/>
        </w:rPr>
        <w:t>) is characterized by the basic electrical system (C</w:t>
      </w:r>
      <w:r w:rsidRPr="00A2171C">
        <w:rPr>
          <w:rFonts w:eastAsia="Times New Roman" w:cs="Times New Roman"/>
          <w:szCs w:val="20"/>
          <w:vertAlign w:val="subscript"/>
          <w:lang w:val="en-GB"/>
        </w:rPr>
        <w:t>be</w:t>
      </w:r>
      <w:r w:rsidRPr="00A2171C">
        <w:rPr>
          <w:rFonts w:eastAsia="Times New Roman" w:cs="Times New Roman"/>
          <w:szCs w:val="20"/>
          <w:lang w:val="en-GB"/>
        </w:rPr>
        <w:t>) and electrical extension cords (C</w:t>
      </w:r>
      <w:r w:rsidRPr="00A2171C">
        <w:rPr>
          <w:rFonts w:eastAsia="Times New Roman" w:cs="Times New Roman"/>
          <w:szCs w:val="20"/>
          <w:vertAlign w:val="subscript"/>
          <w:lang w:val="en-GB"/>
        </w:rPr>
        <w:t>ee</w:t>
      </w:r>
      <w:r w:rsidRPr="00A2171C">
        <w:rPr>
          <w:rFonts w:eastAsia="Times New Roman" w:cs="Times New Roman"/>
          <w:szCs w:val="20"/>
          <w:lang w:val="en-GB"/>
        </w:rPr>
        <w:t xml:space="preserve">). Because fire typically originates in conductors (49%), electronic devices and household appliances (19%) located in bedrooms (21%) and kitchens (15%)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{"citationItems":[{"id":"ITEM-1","itemData":{"author":[{"dropping-particle":"","family":"WTW-Chile","given":"","non-dropping-particle":"","parse-names":false,"suffix":""}],"container-title":"Consultoría de Riesgos (DCR) de Willis Towers Watson (WTW)","id":"ITEM-1","issued":{"date-parts":[["2020"]]},"title":"Incendios en Chile : Estadísticas y Perspectiva desde la experiencia como Brokers de Seguros Tabla de Contenidos","type":"article-journal"},"uris":["http://www.mendeley.com/documents/?uuid=32758d35-65c5-47ab-9f27-3eac77b08670"]}],"mendeley":{"formattedCitation":"(WTW-Chile, 2020)","plainTextFormattedCitation":"(WTW-Chile, 2020)","previouslyFormattedCitation":"(WTW-Chile, 2020)"},"properties":{"noteIndex":0},"schema":"https://github.com/citation-style-language/schema/raw/master/csl-citation.json"}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(WTW-Chile, 2020)</w:t>
      </w:r>
      <w:r w:rsidRPr="00A2171C">
        <w:rPr>
          <w:rFonts w:eastAsia="Times New Roman" w:cs="Times New Roman"/>
          <w:szCs w:val="20"/>
          <w:lang w:val="en-GB"/>
        </w:rPr>
        <w:fldChar w:fldCharType="end"/>
      </w:r>
      <w:r w:rsidRPr="00A2171C">
        <w:rPr>
          <w:lang w:val="en-GB"/>
        </w:rPr>
        <w:t xml:space="preserve"> </w:t>
      </w:r>
      <w:r w:rsidRPr="00A2171C">
        <w:rPr>
          <w:rFonts w:eastAsia="Times New Roman" w:cs="Times New Roman"/>
          <w:szCs w:val="20"/>
          <w:lang w:val="en-GB"/>
        </w:rPr>
        <w:t xml:space="preserve">typically overload power circuits heating bars and electrical extension cords, which creates an additional vulnerability parameter in the original FRI method. </w:t>
      </w:r>
      <w:bookmarkStart w:id="16" w:name="_Hlk120532384"/>
      <w:bookmarkStart w:id="17" w:name="_Hlk120781639"/>
      <w:r w:rsidR="00A85F43" w:rsidRPr="00A2171C">
        <w:rPr>
          <w:rFonts w:eastAsia="Times New Roman" w:cs="Times New Roman"/>
          <w:lang w:val="en-US"/>
        </w:rPr>
        <w:t>All electrical systems installed prior and not being replaced after the existence of this standard, are classified as “not-normal”. Systems that are partially, or fully replaced after the application of this standard by a professional certified by the Chilean Superintendence of Electricity and Fuels (SEC), are classified as “partially normal” or “normal”, respectively. Heating bars are classified as follows: if certified electrical extension cords (with SEC seal) are used without the possibility of overloading the electrical circuit, this parameter equals 1.00. On the contrary, if non-certified heating bars (without the SEC seal), and/or various household appliances that may lead to overloading the electrical circuit are detected, the value equals 1.5</w:t>
      </w:r>
      <w:bookmarkEnd w:id="16"/>
      <w:bookmarkEnd w:id="17"/>
      <w:r w:rsidR="00A85F43" w:rsidRPr="00A2171C">
        <w:rPr>
          <w:rFonts w:eastAsia="Times New Roman" w:cs="Times New Roman"/>
          <w:szCs w:val="20"/>
          <w:lang w:val="en-GB"/>
        </w:rPr>
        <w:t>.</w:t>
      </w:r>
    </w:p>
    <w:p w14:paraId="1EB03A9B" w14:textId="37200810" w:rsidR="00A46867" w:rsidRPr="00A2171C" w:rsidRDefault="00A46867" w:rsidP="00AD0257">
      <w:pPr>
        <w:pStyle w:val="ListParagraph"/>
        <w:spacing w:before="240"/>
        <w:ind w:left="284"/>
        <w:rPr>
          <w:rFonts w:eastAsia="Times New Roman" w:cs="Times New Roman"/>
          <w:szCs w:val="20"/>
          <w:lang w:val="en-GB"/>
        </w:rPr>
      </w:pPr>
      <w:r w:rsidRPr="00A2171C">
        <w:rPr>
          <w:rFonts w:eastAsia="Times New Roman" w:cs="Times New Roman"/>
          <w:szCs w:val="20"/>
          <w:lang w:val="en-GB"/>
        </w:rPr>
        <w:lastRenderedPageBreak/>
        <w:t>The gas system partial factor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I,3</m:t>
            </m:r>
          </m:sub>
        </m:sSub>
      </m:oMath>
      <w:r w:rsidRPr="00A2171C">
        <w:rPr>
          <w:rFonts w:eastAsia="Times New Roman" w:cs="Times New Roman"/>
          <w:szCs w:val="20"/>
          <w:lang w:val="en-GB"/>
        </w:rPr>
        <w:t>) depends on the type of gas supply, which could be pipeline gas, outdoor or indoor cylinder installations in a ventilated or unventilated location. The partial factor related to fire-load nature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I,4</m:t>
            </m:r>
          </m:sub>
        </m:sSub>
      </m:oMath>
      <w:r w:rsidRPr="00A2171C">
        <w:rPr>
          <w:rFonts w:eastAsia="Times New Roman" w:cs="Times New Roman"/>
          <w:szCs w:val="20"/>
          <w:lang w:val="en-GB"/>
        </w:rPr>
        <w:t>) is defined by the product of the combustibility coefficient (</w:t>
      </w:r>
      <m:oMath>
        <m:r>
          <w:rPr>
            <w:rFonts w:ascii="Cambria Math" w:eastAsia="Times New Roman" w:hAnsi="Cambria Math" w:cs="Times New Roman"/>
            <w:szCs w:val="20"/>
            <w:lang w:val="en-GB"/>
          </w:rPr>
          <m:t>Ci</m:t>
        </m:r>
      </m:oMath>
      <w:r w:rsidRPr="00A2171C">
        <w:rPr>
          <w:rFonts w:eastAsia="Times New Roman" w:cs="Times New Roman"/>
          <w:szCs w:val="20"/>
          <w:lang w:val="en-GB"/>
        </w:rPr>
        <w:t>) and the activation coefficient (</w:t>
      </w:r>
      <m:oMath>
        <m:r>
          <w:rPr>
            <w:rFonts w:ascii="Cambria Math" w:eastAsia="Times New Roman" w:hAnsi="Cambria Math" w:cs="Times New Roman"/>
            <w:szCs w:val="20"/>
            <w:lang w:val="en-GB"/>
          </w:rPr>
          <m:t>Rai</m:t>
        </m:r>
      </m:oMath>
      <w:r w:rsidRPr="00A2171C">
        <w:rPr>
          <w:rFonts w:eastAsia="Times New Roman" w:cs="Times New Roman"/>
          <w:szCs w:val="20"/>
          <w:lang w:val="en-GB"/>
        </w:rPr>
        <w:t xml:space="preserve">) of materials stored in greater quantity and with considerable risk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{"citationItems":[{"id":"ITEM-1","itemData":{"author":[{"dropping-particle":"","family":"Vicente","given":"Romeu","non-dropping-particle":"","parse-names":false,"suffix":""},{"dropping-particle":"","family":"Silva","given":"J. Ant. R.","non-dropping-particle":"","parse-names":false,"suffix":""},{"dropping-particle":"","family":"Varum","given":"Humberto","non-dropping-particle":"","parse-names":false,"suffix":""},{"dropping-particle":"","family":"Costa","given":"Aníbal","non-dropping-particle":"","parse-names":false,"suffix":""},{"dropping-particle":"","family":"Subtil","given":"Ana","non-dropping-particle":"","parse-names":false,"suffix":""},{"dropping-particle":"","family":"Santos","given":"Cátia","non-dropping-particle":"","parse-names":false,"suffix":""},{"dropping-particle":"","family":"Santos","given":"Mário","non-dropping-particle":"","parse-names":false,"suffix":""},{"dropping-particle":"","family":"Ferreira","given":"Tiago","non-dropping-particle":"","parse-names":false,"suffix":""},{"dropping-particle":"","family":"Rodrigues","given":"Ana","non-dropping-particle":"","parse-names":false,"suffix":""}],"id":"ITEM-1","issued":{"date-parts":[["2010"]]},"title":"CADERNO DE APOIO À AVALIAÇÃO DO RISCO SÍSMICO E DE INCÊNDIO NOS NÚCLEOS URBANOS ANTIGOS DO SEIXAL","type":"book"},"uris":["http://www.mendeley.com/documents/?uuid=e74ef6e7-da85-4717-81a0-cd08f3561dcb"]}],"mendeley":{"formattedCitation":"(Vicente et al., 2010)","plainTextFormattedCitation":"(Vicente et al., 2010)","previouslyFormattedCitation":"(Vicente et al., 2010)"},"properties":{"noteIndex":0},"schema":"https://github.com/citation-style-language/schema/raw/master/csl-citation.json"}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(Vicente et al., 2010)</w:t>
      </w:r>
      <w:r w:rsidRPr="00A2171C">
        <w:rPr>
          <w:rFonts w:eastAsia="Times New Roman" w:cs="Times New Roman"/>
          <w:szCs w:val="20"/>
          <w:lang w:val="en-GB"/>
        </w:rPr>
        <w:fldChar w:fldCharType="end"/>
      </w:r>
      <w:r w:rsidRPr="00A2171C">
        <w:rPr>
          <w:rFonts w:eastAsia="Times New Roman" w:cs="Times New Roman"/>
          <w:szCs w:val="20"/>
          <w:lang w:val="en-GB"/>
        </w:rPr>
        <w:t>. Finally, the type of heating (fuel) system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I,5</m:t>
            </m:r>
          </m:sub>
        </m:sSub>
      </m:oMath>
      <w:r w:rsidRPr="00A2171C">
        <w:rPr>
          <w:rFonts w:eastAsia="Times New Roman" w:cs="Times New Roman"/>
          <w:szCs w:val="20"/>
          <w:lang w:val="en-GB"/>
        </w:rPr>
        <w:t xml:space="preserve">) such as paraffin (kerosene), liquid gas, wood or pellets, was added to the original method, since it represents an important characteristic which affects the vulnerability factor according to the report of structural fire services </w:t>
      </w:r>
      <w:r w:rsidRPr="00A2171C">
        <w:rPr>
          <w:rFonts w:eastAsia="Times New Roman" w:cs="Times New Roman"/>
          <w:szCs w:val="20"/>
          <w:lang w:val="en-GB"/>
        </w:rPr>
        <w:fldChar w:fldCharType="begin" w:fldLock="1"/>
      </w:r>
      <w:r w:rsidR="00CC5FDE" w:rsidRPr="00A2171C">
        <w:rPr>
          <w:rFonts w:eastAsia="Times New Roman" w:cs="Times New Roman"/>
          <w:szCs w:val="20"/>
          <w:lang w:val="en-GB"/>
        </w:rPr>
        <w:instrText>ADDIN CSL_CITATION {"citationItems":[{"id":"ITEM-1","itemData":{"author":[{"dropping-particle":"","family":"SBI","given":"","non-dropping-particle":"","parse-names":false,"suffix":""}],"container-title":"Sistema de Gestión de Actos de Servicio","id":"ITEM-1","issued":{"date-parts":[["2021"]]},"title":"Sistema de Información Bomberil","type":"webpage"},"uris":["http://www.mendeley.com/documents/?uuid=4ee602b5-4c68-4e81-9103-c1e578bb3118"]}],"mendeley":{"formattedCitation":"(SBI, 2021)","plainTextFormattedCitation":"(SBI, 2021)","previouslyFormattedCitation":"(SBI, 2021)"},"properties":{"noteIndex":0},"schema":"https://github.com/citation-style-language/schema/raw/master/csl-citation.json"}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(SBI, 2021)</w:t>
      </w:r>
      <w:r w:rsidRPr="00A2171C">
        <w:rPr>
          <w:rFonts w:eastAsia="Times New Roman" w:cs="Times New Roman"/>
          <w:szCs w:val="20"/>
          <w:lang w:val="en-GB"/>
        </w:rPr>
        <w:fldChar w:fldCharType="end"/>
      </w:r>
      <w:r w:rsidRPr="00A2171C">
        <w:rPr>
          <w:rFonts w:eastAsia="Times New Roman" w:cs="Times New Roman"/>
          <w:szCs w:val="20"/>
          <w:lang w:val="en-GB"/>
        </w:rPr>
        <w:t>.</w:t>
      </w:r>
    </w:p>
    <w:p w14:paraId="69C5075A" w14:textId="47D99752" w:rsidR="00A46867" w:rsidRPr="00A2171C" w:rsidRDefault="00A46867" w:rsidP="00AD0257">
      <w:pPr>
        <w:pStyle w:val="ListParagraph"/>
        <w:numPr>
          <w:ilvl w:val="0"/>
          <w:numId w:val="16"/>
        </w:numPr>
        <w:spacing w:before="240"/>
        <w:ind w:left="284" w:hanging="284"/>
        <w:rPr>
          <w:rFonts w:eastAsia="Times New Roman" w:cs="Times New Roman"/>
          <w:szCs w:val="20"/>
          <w:lang w:val="en-GB"/>
        </w:rPr>
      </w:pPr>
      <w:r w:rsidRPr="00A2171C">
        <w:rPr>
          <w:rFonts w:eastAsia="Times New Roman" w:cs="Times New Roman"/>
          <w:b/>
          <w:bCs/>
          <w:szCs w:val="20"/>
          <w:lang w:val="en-GB"/>
        </w:rPr>
        <w:t>Fire propagation risk</w:t>
      </w:r>
      <w:r w:rsidRPr="00A2171C">
        <w:rPr>
          <w:rFonts w:eastAsia="Times New Roman" w:cs="Times New Roman"/>
          <w:szCs w:val="20"/>
          <w:lang w:val="en-GB"/>
        </w:rPr>
        <w:t xml:space="preserve"> </w:t>
      </w:r>
      <w:r w:rsidRPr="00A2171C">
        <w:rPr>
          <w:rFonts w:eastAsia="Times New Roman" w:cs="Times New Roman"/>
          <w:b/>
          <w:bCs/>
          <w:szCs w:val="20"/>
          <w:lang w:val="en-GB"/>
        </w:rPr>
        <w:t>(</w:t>
      </w:r>
      <w:r w:rsidRPr="00A2171C">
        <w:rPr>
          <w:rFonts w:eastAsia="Times New Roman" w:cs="Times New Roman"/>
          <w:b/>
          <w:bCs/>
          <w:i/>
          <w:szCs w:val="20"/>
          <w:lang w:val="en-GB"/>
        </w:rPr>
        <w:t>SF</w:t>
      </w:r>
      <w:r w:rsidRPr="00A2171C">
        <w:rPr>
          <w:rFonts w:eastAsia="Times New Roman" w:cs="Times New Roman"/>
          <w:b/>
          <w:bCs/>
          <w:i/>
          <w:szCs w:val="20"/>
          <w:vertAlign w:val="subscript"/>
          <w:lang w:val="en-GB"/>
        </w:rPr>
        <w:t>P</w:t>
      </w:r>
      <w:r w:rsidRPr="00A2171C">
        <w:rPr>
          <w:rFonts w:eastAsia="Times New Roman" w:cs="Times New Roman"/>
          <w:b/>
          <w:bCs/>
          <w:szCs w:val="20"/>
          <w:lang w:val="en-GB"/>
        </w:rPr>
        <w:t>)</w:t>
      </w:r>
      <w:r w:rsidRPr="00A2171C">
        <w:rPr>
          <w:rFonts w:eastAsia="Times New Roman" w:cs="Times New Roman"/>
          <w:szCs w:val="20"/>
          <w:lang w:val="en-GB"/>
        </w:rPr>
        <w:t xml:space="preserve"> results from the average of five factors </w:t>
      </w:r>
      <w:r w:rsidRPr="00A2171C">
        <w:rPr>
          <w:rFonts w:eastAsia="Times New Roman" w:cs="Times New Roman"/>
          <w:i/>
          <w:iCs/>
          <w:sz w:val="18"/>
          <w:szCs w:val="18"/>
          <w:lang w:val="en-GB"/>
        </w:rPr>
        <w:t>SF</w:t>
      </w:r>
      <w:r w:rsidRPr="00A2171C">
        <w:rPr>
          <w:rFonts w:eastAsia="Times New Roman" w:cs="Times New Roman"/>
          <w:i/>
          <w:iCs/>
          <w:sz w:val="18"/>
          <w:szCs w:val="18"/>
          <w:vertAlign w:val="subscript"/>
          <w:lang w:val="en-GB"/>
        </w:rPr>
        <w:t>P</w:t>
      </w:r>
      <w:r w:rsidRPr="00A2171C">
        <w:rPr>
          <w:rFonts w:eastAsia="Times New Roman" w:cs="Times New Roman"/>
          <w:sz w:val="18"/>
          <w:szCs w:val="18"/>
          <w:lang w:val="en-GB"/>
        </w:rPr>
        <w:t xml:space="preserve"> = </w:t>
      </w:r>
      <m:oMath>
        <m:nary>
          <m:naryPr>
            <m:chr m:val="∑"/>
            <m:ctrlPr>
              <w:rPr>
                <w:rFonts w:ascii="Cambria Math" w:eastAsia="Cambria Math" w:hAnsi="Cambria Math" w:cs="Times New Roman"/>
                <w:sz w:val="18"/>
                <w:szCs w:val="18"/>
                <w:lang w:val="en-GB"/>
              </w:rPr>
            </m:ctrlPr>
          </m:naryPr>
          <m:sub>
            <m:r>
              <w:rPr>
                <w:rFonts w:ascii="Cambria Math" w:eastAsia="Cambria Math" w:hAnsi="Cambria Math" w:cs="Times New Roman"/>
                <w:sz w:val="18"/>
                <w:szCs w:val="18"/>
                <w:lang w:val="en-GB"/>
              </w:rPr>
              <m:t>i=1</m:t>
            </m:r>
          </m:sub>
          <m:sup>
            <m:r>
              <w:rPr>
                <w:rFonts w:ascii="Cambria Math" w:eastAsia="Cambria Math" w:hAnsi="Cambria Math" w:cs="Times New Roman"/>
                <w:sz w:val="18"/>
                <w:szCs w:val="18"/>
                <w:lang w:val="en-GB"/>
              </w:rPr>
              <m:t>5</m:t>
            </m:r>
          </m:sup>
          <m:e>
            <m:acc>
              <m:accPr>
                <m:ctrlPr>
                  <w:rPr>
                    <w:rFonts w:ascii="Cambria Math" w:eastAsia="Cambria Math" w:hAnsi="Cambria Math" w:cs="Times New Roman"/>
                    <w:i/>
                    <w:sz w:val="18"/>
                    <w:szCs w:val="18"/>
                    <w:lang w:val="en-GB"/>
                  </w:rPr>
                </m:ctrlPr>
              </m:accPr>
              <m:e>
                <m:sSub>
                  <m:sSubPr>
                    <m:ctrlPr>
                      <w:rPr>
                        <w:rFonts w:ascii="Cambria Math" w:eastAsia="Cambria Math" w:hAnsi="Cambria Math" w:cs="Times New Roman"/>
                        <w:i/>
                        <w:sz w:val="18"/>
                        <w:szCs w:val="18"/>
                        <w:lang w:val="en-GB"/>
                      </w:rPr>
                    </m:ctrlPr>
                  </m:sSubPr>
                  <m:e>
                    <m:r>
                      <w:rPr>
                        <w:rFonts w:ascii="Cambria Math" w:eastAsia="Cambria Math" w:hAnsi="Cambria Math" w:cs="Times New Roman"/>
                        <w:sz w:val="18"/>
                        <w:szCs w:val="18"/>
                        <w:lang w:val="en-GB"/>
                      </w:rPr>
                      <m:t>PF</m:t>
                    </m:r>
                  </m:e>
                  <m:sub>
                    <m:r>
                      <w:rPr>
                        <w:rFonts w:ascii="Cambria Math" w:eastAsia="Cambria Math" w:hAnsi="Cambria Math" w:cs="Times New Roman"/>
                        <w:sz w:val="18"/>
                        <w:szCs w:val="18"/>
                        <w:lang w:val="en-GB"/>
                      </w:rPr>
                      <m:t>P,i</m:t>
                    </m:r>
                  </m:sub>
                </m:sSub>
              </m:e>
            </m:acc>
          </m:e>
        </m:nary>
      </m:oMath>
      <w:r w:rsidRPr="00A2171C">
        <w:rPr>
          <w:rFonts w:eastAsia="Times New Roman" w:cs="Times New Roman"/>
          <w:szCs w:val="20"/>
          <w:lang w:val="en-GB"/>
        </w:rPr>
        <w:t xml:space="preserve"> as shown in the Appendix (</w:t>
      </w:r>
      <w:r w:rsidR="003C25E5" w:rsidRPr="00A2171C">
        <w:rPr>
          <w:lang w:val="en-US"/>
        </w:rPr>
        <w:fldChar w:fldCharType="begin"/>
      </w:r>
      <w:r w:rsidR="003C25E5" w:rsidRPr="00A2171C">
        <w:rPr>
          <w:rFonts w:eastAsia="Times New Roman" w:cs="Times New Roman"/>
          <w:szCs w:val="20"/>
          <w:lang w:val="en-GB"/>
        </w:rPr>
        <w:instrText xml:space="preserve"> REF _Ref121156773 \h </w:instrText>
      </w:r>
      <w:r w:rsidR="003C25E5" w:rsidRPr="00A2171C">
        <w:rPr>
          <w:lang w:val="en-US"/>
        </w:rPr>
      </w:r>
      <w:r w:rsidR="003C25E5" w:rsidRPr="00A2171C">
        <w:rPr>
          <w:lang w:val="en-US"/>
        </w:rPr>
        <w:fldChar w:fldCharType="separate"/>
      </w:r>
      <w:r w:rsidR="00C20049" w:rsidRPr="00A2171C">
        <w:rPr>
          <w:lang w:val="en-US"/>
        </w:rPr>
        <w:t xml:space="preserve">Table A </w:t>
      </w:r>
      <w:r w:rsidR="00C20049" w:rsidRPr="00A2171C">
        <w:rPr>
          <w:noProof/>
          <w:lang w:val="en-US"/>
        </w:rPr>
        <w:t>2</w:t>
      </w:r>
      <w:r w:rsidR="003C25E5" w:rsidRPr="00A2171C">
        <w:rPr>
          <w:lang w:val="en-US"/>
        </w:rPr>
        <w:fldChar w:fldCharType="end"/>
      </w:r>
      <w:r w:rsidRPr="00A2171C">
        <w:rPr>
          <w:rFonts w:eastAsia="Times New Roman" w:cs="Times New Roman"/>
          <w:szCs w:val="20"/>
          <w:lang w:val="en-GB"/>
        </w:rPr>
        <w:t xml:space="preserve">). Regarding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p,1</m:t>
            </m:r>
          </m:sub>
        </m:sSub>
      </m:oMath>
      <w:r w:rsidRPr="00A2171C">
        <w:rPr>
          <w:rFonts w:eastAsia="Times New Roman" w:cs="Times New Roman"/>
          <w:szCs w:val="20"/>
          <w:lang w:val="en-GB"/>
        </w:rPr>
        <w:t>,</w:t>
      </w:r>
      <w:r w:rsidRPr="00A2171C">
        <w:rPr>
          <w:rFonts w:eastAsia="Times New Roman" w:cs="Times New Roman"/>
          <w:szCs w:val="20"/>
          <w:vertAlign w:val="subscript"/>
          <w:lang w:val="en-GB"/>
        </w:rPr>
        <w:t xml:space="preserve"> </w:t>
      </w:r>
      <w:r w:rsidRPr="00A2171C">
        <w:rPr>
          <w:rFonts w:eastAsia="Times New Roman" w:cs="Times New Roman"/>
          <w:szCs w:val="20"/>
          <w:lang w:val="en-GB"/>
        </w:rPr>
        <w:t xml:space="preserve"> defined as the “number of gaps between aligned openings”, Chilean regulations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{"citationItems":[{"id":"ITEM-1","itemData":{"abstract":"Fija nuevo texto de la Ordenanza General de la Ley General de Urbanismo y Construcciones","author":[{"dropping-particle":"","family":"Decree No. 47","given":"","non-dropping-particle":"","parse-names":false,"suffix":""}],"id":"ITEM-1","issued":{"date-parts":[["1992"]]},"title":"del Ministerio de Vivienda y Urbanismo, que fija nuevo texto de la Ordenanza General de la Ley General de Urbanismo y Construcciones.","type":"article-journal"},"uris":["http://www.mendeley.com/documents/?uuid=58c34084-0c7e-4a83-a5d8-b96149a5719c"]}],"mendeley":{"formattedCitation":"(Decree No. 47, 1992)","plainTextFormattedCitation":"(Decree No. 47, 1992)","previouslyFormattedCitation":"(Decree No. 47, 1992)"},"properties":{"noteIndex":0},"schema":"https://github.com/citation-style-language/schema/raw/master/csl-citation.json"}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(Decree No. 47, 1992)</w:t>
      </w:r>
      <w:r w:rsidRPr="00A2171C">
        <w:rPr>
          <w:rFonts w:eastAsia="Times New Roman" w:cs="Times New Roman"/>
          <w:szCs w:val="20"/>
          <w:lang w:val="en-GB"/>
        </w:rPr>
        <w:fldChar w:fldCharType="end"/>
      </w:r>
      <w:r w:rsidRPr="00A2171C">
        <w:rPr>
          <w:rFonts w:eastAsia="Times New Roman" w:cs="Times New Roman"/>
          <w:szCs w:val="20"/>
          <w:lang w:val="en-GB"/>
        </w:rPr>
        <w:t xml:space="preserve"> do not include the distance between vertically aligned openings, so in this case a minimum distance of 1.10 m is used, as established in the A.R.I.C.A method (</w:t>
      </w:r>
      <w:r w:rsidR="00EC1FCC" w:rsidRPr="00A2171C">
        <w:rPr>
          <w:rFonts w:eastAsia="Times New Roman" w:cs="Times New Roman"/>
          <w:noProof/>
          <w:szCs w:val="20"/>
          <w:lang w:val="en-US"/>
        </w:rPr>
        <w:t>Coelho, 2010</w:t>
      </w:r>
      <w:r w:rsidRPr="00A2171C">
        <w:rPr>
          <w:rFonts w:eastAsia="Times New Roman" w:cs="Times New Roman"/>
          <w:szCs w:val="20"/>
          <w:lang w:val="en-GB"/>
        </w:rPr>
        <w:t xml:space="preserve">). The second partial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p,2</m:t>
            </m:r>
          </m:sub>
        </m:sSub>
      </m:oMath>
      <w:r w:rsidRPr="00A2171C">
        <w:rPr>
          <w:rFonts w:eastAsia="Times New Roman" w:cs="Times New Roman"/>
          <w:szCs w:val="20"/>
          <w:lang w:val="en-GB"/>
        </w:rPr>
        <w:t>,</w:t>
      </w:r>
      <w:r w:rsidRPr="00A2171C">
        <w:rPr>
          <w:szCs w:val="20"/>
          <w:lang w:val="en-GB"/>
        </w:rPr>
        <w:t xml:space="preserve"> </w:t>
      </w:r>
      <w:r w:rsidRPr="00A2171C">
        <w:rPr>
          <w:rFonts w:eastAsia="Times New Roman" w:cs="Times New Roman"/>
          <w:szCs w:val="20"/>
          <w:lang w:val="en-GB"/>
        </w:rPr>
        <w:t>refers to the existence of a safety and security team, defined as a group of individuals who are responsible for communicating fire ignition</w:t>
      </w:r>
      <w:r w:rsidRPr="00A2171C">
        <w:rPr>
          <w:rFonts w:eastAsia="Times New Roman" w:cs="Times New Roman"/>
          <w:szCs w:val="20"/>
          <w:vertAlign w:val="subscript"/>
          <w:lang w:val="en-GB"/>
        </w:rPr>
        <w:t>.</w:t>
      </w:r>
      <w:r w:rsidRPr="00A2171C">
        <w:rPr>
          <w:rFonts w:eastAsia="Times New Roman" w:cs="Times New Roman"/>
          <w:szCs w:val="20"/>
          <w:lang w:val="en-GB"/>
        </w:rPr>
        <w:t xml:space="preserve"> While other international codes require the existence of these groups, the Chilean fire safety standard does not establish a criterion.</w:t>
      </w:r>
      <w:r w:rsidRPr="00A2171C">
        <w:rPr>
          <w:szCs w:val="20"/>
          <w:lang w:val="en-GB"/>
        </w:rPr>
        <w:t xml:space="preserve"> </w:t>
      </w:r>
      <w:r w:rsidRPr="00A2171C">
        <w:rPr>
          <w:rFonts w:eastAsia="Times New Roman" w:cs="Times New Roman"/>
          <w:szCs w:val="20"/>
          <w:lang w:val="en-GB"/>
        </w:rPr>
        <w:t>However, some residents of the neighbourhood have independently organized security teams (</w:t>
      </w:r>
      <w:r w:rsidR="000765C4" w:rsidRPr="00A2171C">
        <w:rPr>
          <w:rFonts w:eastAsia="Times New Roman" w:cs="Times New Roman"/>
          <w:szCs w:val="20"/>
          <w:lang w:val="en-GB"/>
        </w:rPr>
        <w:t>e.g.,</w:t>
      </w:r>
      <w:r w:rsidRPr="00A2171C">
        <w:rPr>
          <w:rFonts w:eastAsia="Times New Roman" w:cs="Times New Roman"/>
          <w:szCs w:val="20"/>
          <w:lang w:val="en-GB"/>
        </w:rPr>
        <w:t xml:space="preserve"> neighbours of the </w:t>
      </w:r>
      <w:r w:rsidRPr="00A2171C">
        <w:rPr>
          <w:rFonts w:eastAsia="Times New Roman" w:cs="Times New Roman"/>
          <w:i/>
          <w:iCs/>
          <w:szCs w:val="20"/>
          <w:lang w:val="en-GB"/>
        </w:rPr>
        <w:t>Maipú</w:t>
      </w:r>
      <w:r w:rsidRPr="00A2171C">
        <w:rPr>
          <w:rFonts w:eastAsia="Times New Roman" w:cs="Times New Roman"/>
          <w:szCs w:val="20"/>
          <w:lang w:val="en-GB"/>
        </w:rPr>
        <w:t xml:space="preserve"> street). </w:t>
      </w:r>
      <w:r w:rsidRPr="00A2171C">
        <w:rPr>
          <w:rFonts w:eastAsia="Times New Roman" w:cs="Times New Roman"/>
          <w:iCs/>
          <w:szCs w:val="20"/>
          <w:lang w:val="en-GB"/>
        </w:rPr>
        <w:t>This team</w:t>
      </w:r>
      <w:r w:rsidRPr="00A2171C">
        <w:rPr>
          <w:rFonts w:eastAsia="Times New Roman" w:cs="Times New Roman"/>
          <w:szCs w:val="20"/>
          <w:lang w:val="en-GB"/>
        </w:rPr>
        <w:t xml:space="preserve"> was instrumental in the efficient combat of the latest fires, as they quickly informed the fire brigade, enabling response times to be reduced. The fire detection alert and alarm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p,3</m:t>
            </m:r>
          </m:sub>
        </m:sSub>
      </m:oMath>
      <w:r w:rsidRPr="00A2171C">
        <w:rPr>
          <w:rFonts w:eastAsia="Times New Roman" w:cs="Times New Roman"/>
          <w:szCs w:val="20"/>
          <w:lang w:val="en-GB"/>
        </w:rPr>
        <w:t xml:space="preserve">, considers the use of active protection systems, such as installations connected to sensors or automatic detection devices. According to the “Detection and Alarm System” specified in the Chilean General Urban Planning and Construction Ordinance (Art. 4.3.8 and 4.3.22), fire detection alert and alarm systems are only mandatory in 5-story or higher structures with an occupational load greater than 200 people and in 3-story, or higher buildings destined for people’s stay, such as non-ambulatory areas in hospitals and medical residences, or places aimed to detention or confinement. Moreover, the regulation indicates that an automatic fire detection system is required for Fire Prevention and Protection in Workplaces—Art.  52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{"citationItems":[{"id":"ITEM-1","itemData":{"author":[{"dropping-particle":"","family":"Decree No. 594","given":"","non-dropping-particle":"","parse-names":false,"suffix":""}],"id":"ITEM-1","issued":{"date-parts":[["2000"]]},"title":"Reglamento sobre Condiciones Sanitarias y Ambientales Básicas en los Lugares de Trabajo. Ministerio de Salud","type":"article-journal"},"uris":["http://www.mendeley.com/documents/?uuid=5df6985e-4a74-4e95-bcd5-c38a78b48ddc"]}],"mendeley":{"formattedCitation":"(Decree No. 594, 2000)","plainTextFormattedCitation":"(Decree No. 594, 2000)","previouslyFormattedCitation":"(Decree No. 594, 2000)"},"properties":{"noteIndex":0},"schema":"https://github.com/citation-style-language/schema/raw/master/csl-citation.json"}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(Decree No. 594, 2000)</w:t>
      </w:r>
      <w:r w:rsidRPr="00A2171C">
        <w:rPr>
          <w:rFonts w:eastAsia="Times New Roman" w:cs="Times New Roman"/>
          <w:szCs w:val="20"/>
          <w:lang w:val="en-GB"/>
        </w:rPr>
        <w:fldChar w:fldCharType="end"/>
      </w:r>
      <w:r w:rsidRPr="00A2171C">
        <w:rPr>
          <w:rFonts w:eastAsia="Times New Roman" w:cs="Times New Roman"/>
          <w:szCs w:val="20"/>
          <w:lang w:val="en-GB"/>
        </w:rPr>
        <w:t xml:space="preserve">—which store or handle hazardous substances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{"citationItems":[{"id":"ITEM-1","itemData":{"author":[{"dropping-particle":"","family":"NCh2120/4.Of98","given":"","non-dropping-particle":"","parse-names":false,"suffix":""}],"container-title":"Instituto Nacional De Normalización","id":"ITEM-1","issued":{"date-parts":[["1998"]]},"title":"Sustancias peligrosas - Parte 4 : Clase 4 - Sólidos inflamables - Sustancias que presentan riesgos de combustión espontánea, sustancias que en contacto con el agua desprenden gases inflamables","type":"article-journal"},"uris":["http://www.mendeley.com/documents/?uuid=1c1b1b89-2b98-4b6e-a62c-0a1b238a2eb7"]}],"mendeley":{"formattedCitation":"(NCh2120/4.Of98, 1998)","plainTextFormattedCitation":"(NCh2120/4.Of98, 1998)","previouslyFormattedCitation":"(NCh2120/4.Of98, 1998)"},"properties":{"noteIndex":0},"schema":"https://github.com/citation-style-language/schema/raw/master/csl-citation.json"}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(NCh2120/4.Of98, 1998)</w:t>
      </w:r>
      <w:r w:rsidRPr="00A2171C">
        <w:rPr>
          <w:rFonts w:eastAsia="Times New Roman" w:cs="Times New Roman"/>
          <w:szCs w:val="20"/>
          <w:lang w:val="en-GB"/>
        </w:rPr>
        <w:fldChar w:fldCharType="end"/>
      </w:r>
      <w:r w:rsidRPr="00A2171C">
        <w:rPr>
          <w:rFonts w:eastAsia="Times New Roman" w:cs="Times New Roman"/>
          <w:szCs w:val="20"/>
          <w:lang w:val="en-GB"/>
        </w:rPr>
        <w:t xml:space="preserve">. </w:t>
      </w:r>
    </w:p>
    <w:p w14:paraId="18178DA6" w14:textId="1FDCC3A6" w:rsidR="00A46867" w:rsidRPr="00A2171C" w:rsidRDefault="00A46867" w:rsidP="00A46867">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 xml:space="preserve">Herein, fire-load is defined as </w:t>
      </w:r>
      <w:r w:rsidRPr="00A2171C">
        <w:rPr>
          <w:rFonts w:eastAsia="Times New Roman" w:cs="Times New Roman"/>
          <w:i/>
          <w:szCs w:val="20"/>
          <w:lang w:val="en-GB"/>
        </w:rPr>
        <w:t>the heat energy that could be released per square meter of a floor area of a compartment of a storey by the complete combustion of the contents of the building and any combustible parts of the building itself</w:t>
      </w:r>
      <w:r w:rsidRPr="00A2171C">
        <w:rPr>
          <w:rFonts w:eastAsia="Times New Roman" w:cs="Times New Roman"/>
          <w:szCs w:val="20"/>
          <w:lang w:val="en-GB"/>
        </w:rPr>
        <w:t xml:space="preserve">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{"citationItems":[{"id":"ITEM-1","itemData":{"ISSN":"0974-0082","abstract":"The results of a fire load survey carried out on Daria Daulath Bagh and Mahadwara Gopuram Ranganatha Swamy temple at Srirangapatna Taluk, Mandya District, Karnataka (India) are presented. Two heritage buildings with a floor area of 1068.64 m 2 were surveyed. The inventory method was used in the present survey. Analysis has been made to determine the influence of room use and floor level on fire loads. It is found that room use and room floor area are major parameters affecting the fire loads in a room. An attempt is made to calculate the composition of fire load in the buildings surveyed. In these buildings wood contributes to a substantial portion of the total fire load and the immovable contents contributes to about 90% of the total fire loads.","author":[{"dropping-particle":"","family":"Suresh","given":"N","non-dropping-particle":"","parse-names":false,"suffix":""}],"container-title":"DHARANA - Bhavan's International Journal of Business","id":"ITEM-1","issue":"1","issued":{"date-parts":[["2015"]]},"page":"17-21","title":"Fire Loads in Heritage Buildings","type":"article-journal","volume":"9"},"uris":["http://www.mendeley.com/documents/?uuid=35a303e8-ee00-4774-9f88-9f8399526f92"]}],"mendeley":{"formattedCitation":"(Suresh, 2015)","plainTextFormattedCitation":"(Suresh, 2015)","previouslyFormattedCitation":"(Suresh, 2015)"},"properties":{"noteIndex":0},"schema":"https://github.com/citation-style-language/schema/raw/master/csl-citation.json"}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(Suresh, 2015)</w:t>
      </w:r>
      <w:r w:rsidRPr="00A2171C">
        <w:rPr>
          <w:rFonts w:eastAsia="Times New Roman" w:cs="Times New Roman"/>
          <w:szCs w:val="20"/>
          <w:lang w:val="en-GB"/>
        </w:rPr>
        <w:fldChar w:fldCharType="end"/>
      </w:r>
      <w:r w:rsidRPr="00A2171C">
        <w:rPr>
          <w:rFonts w:eastAsia="Times New Roman" w:cs="Times New Roman"/>
          <w:szCs w:val="20"/>
          <w:lang w:val="en-GB"/>
        </w:rPr>
        <w:t xml:space="preserve">. Two types of partial factors related to fire-load are considered here, the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p,4</m:t>
            </m:r>
          </m:sub>
        </m:sSub>
      </m:oMath>
      <w:r w:rsidRPr="00A2171C">
        <w:rPr>
          <w:rFonts w:eastAsia="Times New Roman" w:cs="Times New Roman"/>
          <w:szCs w:val="20"/>
          <w:lang w:val="en-GB"/>
        </w:rPr>
        <w:t xml:space="preserve"> that related to fixed components, and the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p,5</m:t>
            </m:r>
          </m:sub>
        </m:sSub>
      </m:oMath>
      <w:r w:rsidRPr="00A2171C">
        <w:rPr>
          <w:rFonts w:eastAsia="Times New Roman" w:cs="Times New Roman"/>
          <w:szCs w:val="20"/>
          <w:lang w:val="en-GB"/>
        </w:rPr>
        <w:t xml:space="preserve"> related to movable fire loads. The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p,4</m:t>
            </m:r>
          </m:sub>
        </m:sSub>
      </m:oMath>
      <w:r w:rsidRPr="00A2171C">
        <w:rPr>
          <w:rFonts w:eastAsia="Times New Roman" w:cs="Times New Roman"/>
          <w:szCs w:val="20"/>
          <w:lang w:val="en-GB"/>
        </w:rPr>
        <w:t xml:space="preserve"> considers combustible materials of the structural and non-structural elements of the building. According to </w:t>
      </w:r>
      <w:r w:rsidR="00EC1FCC" w:rsidRPr="00A2171C">
        <w:rPr>
          <w:rFonts w:eastAsia="Times New Roman" w:cs="Times New Roman"/>
          <w:szCs w:val="20"/>
          <w:lang w:val="en-GB"/>
        </w:rPr>
        <w:t xml:space="preserve">the Chilean standard for </w:t>
      </w:r>
      <w:r w:rsidR="00EC1FCC" w:rsidRPr="00A2171C">
        <w:rPr>
          <w:rFonts w:eastAsia="Times New Roman" w:cs="Times New Roman"/>
          <w:i/>
          <w:iCs/>
          <w:szCs w:val="20"/>
          <w:lang w:val="en-GB"/>
        </w:rPr>
        <w:t xml:space="preserve">Fire prevention in buildings </w:t>
      </w:r>
      <w:r w:rsidRPr="00A2171C">
        <w:rPr>
          <w:rFonts w:eastAsia="Times New Roman" w:cs="Times New Roman"/>
          <w:szCs w:val="20"/>
          <w:lang w:val="en-GB"/>
        </w:rPr>
        <w:t>(</w:t>
      </w:r>
      <w:r w:rsidR="00EC1FCC" w:rsidRPr="00A2171C">
        <w:rPr>
          <w:rFonts w:eastAsia="Times New Roman" w:cs="Times New Roman"/>
          <w:szCs w:val="20"/>
          <w:lang w:val="en-GB"/>
        </w:rPr>
        <w:fldChar w:fldCharType="begin" w:fldLock="1"/>
      </w:r>
      <w:r w:rsidR="00CC5FDE" w:rsidRPr="00A2171C">
        <w:rPr>
          <w:rFonts w:eastAsia="Times New Roman" w:cs="Times New Roman"/>
          <w:szCs w:val="20"/>
          <w:lang w:val="en-GB"/>
        </w:rPr>
        <w:instrText>ADDIN CSL_CITATION {"citationItems":[{"id":"ITEM-1","itemData":{"author":[{"dropping-particle":"","family":"NCh1916.Of99","given":"","non-dropping-particle":"","parse-names":false,"suffix":""}],"container-title":"Instituto Nacional De Normalización","id":"ITEM-1","issued":{"date-parts":[["1999"]]},"title":"Prevención de incendios en edificios - Determinación de cargas combustibles","type":"article-journal"},"uris":["http://www.mendeley.com/documents/?uuid=347bf097-88a6-4588-8a9e-6caa23cd60fb"]}],"mendeley":{"formattedCitation":"(NCh1916.Of99, 1999)","manualFormatting":"NCh1916.Of99","plainTextFormattedCitation":"(NCh1916.Of99, 1999)","previouslyFormattedCitation":"(NCh1916.Of99, 1999)"},"properties":{"noteIndex":0},"schema":"https://github.com/citation-style-language/schema/raw/master/csl-citation.json"}</w:instrText>
      </w:r>
      <w:r w:rsidR="00EC1FCC" w:rsidRPr="00A2171C">
        <w:rPr>
          <w:rFonts w:eastAsia="Times New Roman" w:cs="Times New Roman"/>
          <w:szCs w:val="20"/>
          <w:lang w:val="en-GB"/>
        </w:rPr>
        <w:fldChar w:fldCharType="separate"/>
      </w:r>
      <w:r w:rsidR="00EC1FCC" w:rsidRPr="00A2171C">
        <w:rPr>
          <w:rFonts w:eastAsia="Times New Roman" w:cs="Times New Roman"/>
          <w:noProof/>
          <w:szCs w:val="20"/>
          <w:lang w:val="en-GB"/>
        </w:rPr>
        <w:t>NCh1916.Of99</w:t>
      </w:r>
      <w:r w:rsidR="00EC1FCC" w:rsidRPr="00A2171C">
        <w:rPr>
          <w:rFonts w:eastAsia="Times New Roman" w:cs="Times New Roman"/>
          <w:szCs w:val="20"/>
          <w:lang w:val="en-GB"/>
        </w:rPr>
        <w:fldChar w:fldCharType="end"/>
      </w:r>
      <w:r w:rsidRPr="00A2171C">
        <w:rPr>
          <w:rFonts w:eastAsia="Times New Roman" w:cs="Times New Roman"/>
          <w:szCs w:val="20"/>
          <w:lang w:val="en-GB"/>
        </w:rPr>
        <w:t>), the fire load densities of the SUs of Yungay were calculated (</w:t>
      </w:r>
      <w:r w:rsidR="00735C2F" w:rsidRPr="00A2171C">
        <w:rPr>
          <w:rFonts w:eastAsia="Times New Roman" w:cs="Times New Roman"/>
          <w:szCs w:val="20"/>
          <w:lang w:val="en-GB"/>
        </w:rPr>
        <w:fldChar w:fldCharType="begin"/>
      </w:r>
      <w:r w:rsidR="00735C2F" w:rsidRPr="00A2171C">
        <w:rPr>
          <w:rFonts w:eastAsia="Times New Roman" w:cs="Times New Roman"/>
          <w:szCs w:val="20"/>
          <w:lang w:val="en-GB"/>
        </w:rPr>
        <w:instrText xml:space="preserve"> REF _Ref121156773 \h </w:instrText>
      </w:r>
      <w:r w:rsidR="00735C2F" w:rsidRPr="00A2171C">
        <w:rPr>
          <w:rFonts w:eastAsia="Times New Roman" w:cs="Times New Roman"/>
          <w:szCs w:val="20"/>
          <w:lang w:val="en-GB"/>
        </w:rPr>
      </w:r>
      <w:r w:rsidR="00735C2F" w:rsidRPr="00A2171C">
        <w:rPr>
          <w:rFonts w:eastAsia="Times New Roman" w:cs="Times New Roman"/>
          <w:szCs w:val="20"/>
          <w:lang w:val="en-GB"/>
        </w:rPr>
        <w:fldChar w:fldCharType="separate"/>
      </w:r>
      <w:r w:rsidR="00C20049" w:rsidRPr="00A2171C">
        <w:rPr>
          <w:lang w:val="en-US"/>
        </w:rPr>
        <w:t xml:space="preserve">Table A </w:t>
      </w:r>
      <w:r w:rsidR="00C20049" w:rsidRPr="00A2171C">
        <w:rPr>
          <w:noProof/>
          <w:lang w:val="en-US"/>
        </w:rPr>
        <w:t>2</w:t>
      </w:r>
      <w:r w:rsidR="00735C2F" w:rsidRPr="00A2171C">
        <w:rPr>
          <w:rFonts w:eastAsia="Times New Roman" w:cs="Times New Roman"/>
          <w:szCs w:val="20"/>
          <w:lang w:val="en-GB"/>
        </w:rPr>
        <w:fldChar w:fldCharType="end"/>
      </w:r>
      <w:r w:rsidRPr="00A2171C">
        <w:rPr>
          <w:rFonts w:eastAsia="Times New Roman" w:cs="Times New Roman"/>
          <w:szCs w:val="20"/>
          <w:lang w:val="en-GB"/>
        </w:rPr>
        <w:fldChar w:fldCharType="begin"/>
      </w:r>
      <w:r w:rsidRPr="00A2171C">
        <w:rPr>
          <w:rFonts w:eastAsia="Times New Roman" w:cs="Times New Roman"/>
          <w:szCs w:val="20"/>
          <w:lang w:val="en-GB"/>
        </w:rPr>
        <w:instrText xml:space="preserve"> REF _Ref89273446 \h  \* MERGEFORMAT </w:instrText>
      </w:r>
      <w:r w:rsidRPr="00A2171C">
        <w:rPr>
          <w:rFonts w:eastAsia="Times New Roman" w:cs="Times New Roman"/>
          <w:szCs w:val="20"/>
          <w:lang w:val="en-GB"/>
        </w:rPr>
      </w:r>
      <w:r w:rsidR="00000000">
        <w:rPr>
          <w:rFonts w:eastAsia="Times New Roman" w:cs="Times New Roman"/>
          <w:szCs w:val="20"/>
          <w:lang w:val="en-GB"/>
        </w:rPr>
        <w:fldChar w:fldCharType="separate"/>
      </w:r>
      <w:r w:rsidRPr="00A2171C">
        <w:rPr>
          <w:rFonts w:eastAsia="Times New Roman" w:cs="Times New Roman"/>
          <w:szCs w:val="20"/>
          <w:lang w:val="en-GB"/>
        </w:rPr>
        <w:fldChar w:fldCharType="end"/>
      </w:r>
      <w:r w:rsidRPr="00A2171C">
        <w:rPr>
          <w:rFonts w:eastAsia="Times New Roman" w:cs="Times New Roman"/>
          <w:szCs w:val="20"/>
          <w:lang w:val="en-GB"/>
        </w:rPr>
        <w:t xml:space="preserve">) to identify SU typologies that could increase the risk of fire propagation. </w:t>
      </w:r>
    </w:p>
    <w:p w14:paraId="5AA1E701" w14:textId="77777777" w:rsidR="00A46867" w:rsidRPr="00A2171C" w:rsidRDefault="00A46867" w:rsidP="00A46867">
      <w:pPr>
        <w:pStyle w:val="ListParagraph"/>
        <w:spacing w:before="240" w:after="0"/>
        <w:ind w:left="284"/>
        <w:rPr>
          <w:rFonts w:eastAsia="Times New Roman" w:cs="Times New Roman"/>
          <w:szCs w:val="20"/>
          <w:lang w:val="en-GB"/>
        </w:rPr>
      </w:pPr>
    </w:p>
    <w:p w14:paraId="1027F911" w14:textId="10B04A1D" w:rsidR="00A46867" w:rsidRPr="00A2171C" w:rsidRDefault="00A46867" w:rsidP="00A46867">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 xml:space="preserve">Given that other historical centers may have different SU typologies, and hence different fixed fire-loads, it is proposed to replace the partial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p,4</m:t>
            </m:r>
          </m:sub>
        </m:sSub>
      </m:oMath>
      <w:r w:rsidRPr="00A2171C">
        <w:rPr>
          <w:rFonts w:eastAsia="Times New Roman" w:cs="Times New Roman"/>
          <w:szCs w:val="20"/>
          <w:lang w:val="en-GB"/>
        </w:rPr>
        <w:t xml:space="preserve"> with a simplified version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p,4s</m:t>
            </m:r>
          </m:sub>
        </m:sSub>
      </m:oMath>
      <w:r w:rsidRPr="00A2171C">
        <w:rPr>
          <w:rFonts w:eastAsia="Times New Roman" w:cs="Times New Roman"/>
          <w:szCs w:val="20"/>
          <w:lang w:val="en-GB"/>
        </w:rPr>
        <w:t xml:space="preserve"> evaluates the existence of passive components that protect certain areas of a building and the structure from the effects of fire for a </w:t>
      </w:r>
      <w:r w:rsidRPr="00A2171C">
        <w:rPr>
          <w:rFonts w:eastAsia="Times New Roman" w:cs="Times New Roman"/>
          <w:szCs w:val="20"/>
          <w:lang w:val="en-GB"/>
        </w:rPr>
        <w:lastRenderedPageBreak/>
        <w:t>time window, allowing evacuation of occupants. Because estimating the fire resistance of each structural element is a complex task, the FRI method proposes a simplified assessment considering only four building components: structural walls, interior walls, floors, and openings. The consideration of walls was incorporated herein since it is one of the main factors that delays the spreading of fire to adjacent buildings.</w:t>
      </w:r>
    </w:p>
    <w:p w14:paraId="688AC3A3" w14:textId="77777777" w:rsidR="00A46867" w:rsidRPr="00A2171C" w:rsidRDefault="00A46867" w:rsidP="00A46867">
      <w:pPr>
        <w:pStyle w:val="ListParagraph"/>
        <w:spacing w:before="240" w:after="0"/>
        <w:ind w:left="284"/>
        <w:rPr>
          <w:rFonts w:eastAsia="Times New Roman" w:cs="Times New Roman"/>
          <w:szCs w:val="20"/>
          <w:lang w:val="en-GB"/>
        </w:rPr>
      </w:pPr>
    </w:p>
    <w:p w14:paraId="2E80227A" w14:textId="4319AD35" w:rsidR="00A46867" w:rsidRPr="00A2171C" w:rsidRDefault="00A46867" w:rsidP="00A46867">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According to the Chilean Detection and Alarm System Ordinance (Art.4.3.3), fire protection must be designed depending on building types and construction elements. Most buildings in Yungay are construct</w:t>
      </w:r>
      <w:r w:rsidR="003857F4" w:rsidRPr="00A2171C">
        <w:rPr>
          <w:rFonts w:eastAsia="Times New Roman" w:cs="Times New Roman"/>
          <w:szCs w:val="20"/>
          <w:lang w:val="en-GB"/>
        </w:rPr>
        <w:t>ed</w:t>
      </w:r>
      <w:r w:rsidRPr="00A2171C">
        <w:rPr>
          <w:rFonts w:eastAsia="Times New Roman" w:cs="Times New Roman"/>
          <w:szCs w:val="20"/>
          <w:lang w:val="en-GB"/>
        </w:rPr>
        <w:t xml:space="preserve"> </w:t>
      </w:r>
      <w:r w:rsidR="003857F4" w:rsidRPr="00A2171C">
        <w:rPr>
          <w:rFonts w:eastAsia="Times New Roman" w:cs="Times New Roman"/>
          <w:szCs w:val="20"/>
          <w:lang w:val="en-GB"/>
        </w:rPr>
        <w:t xml:space="preserve">of </w:t>
      </w:r>
      <w:r w:rsidRPr="00A2171C">
        <w:rPr>
          <w:rFonts w:eastAsia="Times New Roman" w:cs="Times New Roman"/>
          <w:szCs w:val="20"/>
          <w:lang w:val="en-GB"/>
        </w:rPr>
        <w:t>adobe and brick masonry</w:t>
      </w:r>
      <w:r w:rsidR="003857F4" w:rsidRPr="00A2171C">
        <w:rPr>
          <w:rFonts w:eastAsia="Times New Roman" w:cs="Times New Roman"/>
          <w:szCs w:val="20"/>
          <w:lang w:val="en-GB"/>
        </w:rPr>
        <w:t xml:space="preserve">, </w:t>
      </w:r>
      <w:r w:rsidR="00983061" w:rsidRPr="00A2171C">
        <w:rPr>
          <w:rFonts w:eastAsia="Times New Roman" w:cs="Times New Roman"/>
          <w:szCs w:val="20"/>
          <w:lang w:val="en-GB"/>
        </w:rPr>
        <w:t>and therefore</w:t>
      </w:r>
      <w:r w:rsidRPr="00A2171C">
        <w:rPr>
          <w:rFonts w:eastAsia="Times New Roman" w:cs="Times New Roman"/>
          <w:szCs w:val="20"/>
          <w:lang w:val="en-GB"/>
        </w:rPr>
        <w:t xml:space="preserve"> comply with the required fire resistance, with the exception of a firewall present only in some buildings. Buildings with firewalls on both sides imply a partial factor 1.0. For other buildings, we verify the assumptions for the calculation of the partial factor base on the other construction elements (see</w:t>
      </w:r>
      <w:r w:rsidR="002964B2" w:rsidRPr="00A2171C">
        <w:rPr>
          <w:lang w:val="en-US"/>
        </w:rPr>
        <w:t xml:space="preserve"> </w:t>
      </w:r>
      <w:r w:rsidR="002964B2" w:rsidRPr="00A2171C">
        <w:fldChar w:fldCharType="begin"/>
      </w:r>
      <w:r w:rsidR="002964B2" w:rsidRPr="00A2171C">
        <w:rPr>
          <w:lang w:val="en-US"/>
        </w:rPr>
        <w:instrText xml:space="preserve"> REF _Ref121156773 \h </w:instrText>
      </w:r>
      <w:r w:rsidR="002964B2" w:rsidRPr="00A2171C">
        <w:fldChar w:fldCharType="separate"/>
      </w:r>
      <w:r w:rsidR="00C20049" w:rsidRPr="00A2171C">
        <w:rPr>
          <w:lang w:val="en-US"/>
        </w:rPr>
        <w:t xml:space="preserve">Table A </w:t>
      </w:r>
      <w:r w:rsidR="00C20049" w:rsidRPr="00A2171C">
        <w:rPr>
          <w:noProof/>
          <w:lang w:val="en-US"/>
        </w:rPr>
        <w:t>2</w:t>
      </w:r>
      <w:r w:rsidR="002964B2" w:rsidRPr="00A2171C">
        <w:fldChar w:fldCharType="end"/>
      </w:r>
      <w:r w:rsidRPr="00A2171C">
        <w:rPr>
          <w:rFonts w:eastAsia="Times New Roman" w:cs="Times New Roman"/>
          <w:szCs w:val="20"/>
          <w:lang w:val="en-GB"/>
        </w:rPr>
        <w:t>).</w:t>
      </w:r>
    </w:p>
    <w:p w14:paraId="04B76922" w14:textId="77777777" w:rsidR="00A46867" w:rsidRPr="00A2171C" w:rsidRDefault="00A46867" w:rsidP="00A46867">
      <w:pPr>
        <w:pStyle w:val="ListParagraph"/>
        <w:spacing w:before="240" w:after="0"/>
        <w:ind w:left="284"/>
        <w:rPr>
          <w:rFonts w:eastAsia="Times New Roman" w:cs="Times New Roman"/>
          <w:szCs w:val="20"/>
          <w:lang w:val="en-GB"/>
        </w:rPr>
      </w:pPr>
    </w:p>
    <w:p w14:paraId="0B48E36B" w14:textId="66859952" w:rsidR="00A46867" w:rsidRPr="00A2171C" w:rsidRDefault="00A46867" w:rsidP="00A85F43">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 xml:space="preserve">Like many historic urban centers, most buildings in Yungay have wood floors, ceilings and openings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{"citationItems":[{"id":"ITEM-1","itemData":{"DOI":"10.1007/s10694-018-0778-z","ISSN":"1572-8099","abstract":"Urban risk mitigation is a priority in city management due to the severe consequences and costs that disasters can cause. Several efforts are focused on disaster prevention through the definition of pre-disaster actions, especially in highly vulnerable urban areas. In that sense, historical centres represent one of the main challenges for risk mitigation due to two inherent characteristics: their heritage value, related to their historic importance, economic role and social symbolism; and their high vulnerability, resulting from the condition of old urban areas,usually complex in terms of architectonic, constructive and urbanistic development. Considering the abovementioned, the present work focuses on the fire risk assessment of the Historical Centre of Guimarães, in Portugal. The assessment was developed through the application of an index-based fire risk assessment method to the 436 buildings that comprise this UNESCO World Heritage Site. After being integrated into a geographical information system tool, the assessment results were spatially analysed and discussed in the form of vulnerability and risk maps. Analysis revealed that about 67% of the assessed building stock have a moderate to high fire risk. From the analysis of the sub-factors that compose the Fire Risk Index method, it was further possible to perceive that this situation is not only associated with the characteristics of the buildings, but also to the inner characteristics of the urban area itself. Taking into account the scale and aim of the study, the results obtained in this work were found to be reliable, allowing for identification of the most vulnerable buildings in respect to fire risk.","author":[{"dropping-particle":"","family":"Granda","given":"Santiago","non-dropping-particle":"","parse-names":false,"suffix":""},{"dropping-particle":"","family":"Ferreira","given":"Tiago Miguel","non-dropping-particle":"","parse-names":false,"suffix":""}],"container-title":"Fire Technology","id":"ITEM-1","issue":"1","issued":{"date-parts":[["2019"]]},"page":"105-127","title":"Assessing Vulnerability and Fire Risk in Old Urban Areas: Application to the Historical Centre of Guimarães","type":"article-journal","volume":"55"},"uris":["http://www.mendeley.com/documents/?uuid=1dd8a17f-3e32-478c-afee-69978d64b7a0"]},{"id":"ITEM-2","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Heritage","id":"ITEM-2","issue":"426","issued":{"date-parts":[["2016"]]},"page":"1-7","title":"Urban fire risk: Evaluation and emergency planning","type":"article-journal","volume":"20"},"uris":["http://www.mendeley.com/documents/?uuid=8b45f97f-58a1-4a84-9208-ddf32f667d2c"]},{"id":"ITEM-3","itemData":{"author":[{"dropping-particle":"","family":"Vicente","given":"Romeu","non-dropping-particle":"","parse-names":false,"suffix":""},{"dropping-particle":"","family":"Silva","given":"J. Ant. R.","non-dropping-particle":"","parse-names":false,"suffix":""},{"dropping-particle":"","family":"Varum","given":"Humberto","non-dropping-particle":"","parse-names":false,"suffix":""},{"dropping-particle":"","family":"Costa","given":"Aníbal","non-dropping-particle":"","parse-names":false,"suffix":""},{"dropping-particle":"","family":"Subtil","given":"Ana","non-dropping-particle":"","parse-names":false,"suffix":""},{"dropping-particle":"","family":"Santos","given":"Cátia","non-dropping-particle":"","parse-names":false,"suffix":""},{"dropping-particle":"","family":"Santos","given":"Mário","non-dropping-particle":"","parse-names":false,"suffix":""},{"dropping-particle":"","family":"Ferreira","given":"Tiago","non-dropping-particle":"","parse-names":false,"suffix":""},{"dropping-particle":"","family":"Rodrigues","given":"Ana","non-dropping-particle":"","parse-names":false,"suffix":""}],"id":"ITEM-3","issued":{"date-parts":[["2010"]]},"title":"CADERNO DE APOIO À AVALIAÇÃO DO RISCO SÍSMICO E DE INCÊNDIO NOS NÚCLEOS URBANOS ANTIGOS DO SEIXAL","type":"book"},"uris":["http://www.mendeley.com/documents/?uuid=e74ef6e7-da85-4717-81a0-cd08f3561dcb"]}],"mendeley":{"formattedCitation":"(Ferreira et al., 2016; Granda &amp; Ferreira, 2019a; Vicente et al., 2010)","plainTextFormattedCitation":"(Ferreira et al., 2016; Granda &amp; Ferreira, 2019a; Vicente et al., 2010)","previouslyFormattedCitation":"(Ferreira et al., 2016; Granda &amp; Ferreira, 2019a; Vicente et al., 2010)"},"properties":{"noteIndex":0},"schema":"https://github.com/citation-style-language/schema/raw/master/csl-citation.json"}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(Ferreira et al., 2016; Granda &amp; Ferreira, 2019a; Vicente et al., 2010)</w:t>
      </w:r>
      <w:r w:rsidRPr="00A2171C">
        <w:rPr>
          <w:rFonts w:eastAsia="Times New Roman" w:cs="Times New Roman"/>
          <w:szCs w:val="20"/>
          <w:lang w:val="en-GB"/>
        </w:rPr>
        <w:fldChar w:fldCharType="end"/>
      </w:r>
      <w:r w:rsidRPr="00A2171C">
        <w:rPr>
          <w:rFonts w:eastAsia="Times New Roman" w:cs="Times New Roman"/>
          <w:szCs w:val="20"/>
          <w:lang w:val="en-GB"/>
        </w:rPr>
        <w:t>. Wood is the most fire sensitive material, with all other materials having higher fire resistance. Although adobe and brick masonry walls have a good fire performance, their preservation</w:t>
      </w:r>
      <w:r w:rsidRPr="00A2171C">
        <w:rPr>
          <w:lang w:val="en-CA"/>
        </w:rPr>
        <w:t xml:space="preserve"> state </w:t>
      </w:r>
      <w:r w:rsidRPr="00A2171C">
        <w:rPr>
          <w:rFonts w:eastAsia="Times New Roman" w:cs="Times New Roman"/>
          <w:szCs w:val="20"/>
          <w:lang w:val="en-GB"/>
        </w:rPr>
        <w:t>may affect resistance. As shown in</w:t>
      </w:r>
      <w:r w:rsidR="002A77A8" w:rsidRPr="00A2171C">
        <w:rPr>
          <w:rFonts w:eastAsia="Times New Roman" w:cs="Times New Roman"/>
          <w:szCs w:val="20"/>
          <w:lang w:val="en-GB"/>
        </w:rPr>
        <w:t xml:space="preserve"> </w:t>
      </w:r>
      <w:r w:rsidR="002A77A8" w:rsidRPr="00A2171C">
        <w:rPr>
          <w:rFonts w:eastAsia="Times New Roman" w:cs="Times New Roman"/>
          <w:szCs w:val="20"/>
          <w:lang w:val="en-GB"/>
        </w:rPr>
        <w:fldChar w:fldCharType="begin"/>
      </w:r>
      <w:r w:rsidR="002A77A8" w:rsidRPr="00A2171C">
        <w:rPr>
          <w:rFonts w:eastAsia="Times New Roman" w:cs="Times New Roman"/>
          <w:szCs w:val="20"/>
          <w:lang w:val="en-GB"/>
        </w:rPr>
        <w:instrText xml:space="preserve"> REF _Ref121156773 \h </w:instrText>
      </w:r>
      <w:r w:rsidR="002A77A8" w:rsidRPr="00A2171C">
        <w:rPr>
          <w:rFonts w:eastAsia="Times New Roman" w:cs="Times New Roman"/>
          <w:szCs w:val="20"/>
          <w:lang w:val="en-GB"/>
        </w:rPr>
      </w:r>
      <w:r w:rsidR="002A77A8" w:rsidRPr="00A2171C">
        <w:rPr>
          <w:rFonts w:eastAsia="Times New Roman" w:cs="Times New Roman"/>
          <w:szCs w:val="20"/>
          <w:lang w:val="en-GB"/>
        </w:rPr>
        <w:fldChar w:fldCharType="separate"/>
      </w:r>
      <w:r w:rsidR="00C20049" w:rsidRPr="00A2171C">
        <w:rPr>
          <w:lang w:val="en-US"/>
        </w:rPr>
        <w:t xml:space="preserve">Table A </w:t>
      </w:r>
      <w:r w:rsidR="00C20049" w:rsidRPr="00A2171C">
        <w:rPr>
          <w:noProof/>
          <w:lang w:val="en-US"/>
        </w:rPr>
        <w:t>2</w:t>
      </w:r>
      <w:r w:rsidR="002A77A8" w:rsidRPr="00A2171C">
        <w:rPr>
          <w:rFonts w:eastAsia="Times New Roman" w:cs="Times New Roman"/>
          <w:szCs w:val="20"/>
          <w:lang w:val="en-GB"/>
        </w:rPr>
        <w:fldChar w:fldCharType="end"/>
      </w:r>
      <w:r w:rsidRPr="00A2171C">
        <w:rPr>
          <w:rFonts w:eastAsia="Times New Roman" w:cs="Times New Roman"/>
          <w:szCs w:val="20"/>
          <w:lang w:val="en-GB"/>
        </w:rPr>
        <w:t>, factors that increase the risk of propagation are verified for each element with an upper limit value of 2.00.</w:t>
      </w:r>
    </w:p>
    <w:p w14:paraId="06493DD7" w14:textId="77777777" w:rsidR="00A46867" w:rsidRPr="00A2171C" w:rsidRDefault="00A46867" w:rsidP="00A85F43">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 xml:space="preserve"> </w:t>
      </w:r>
    </w:p>
    <w:p w14:paraId="1016622E" w14:textId="77777777" w:rsidR="00917073" w:rsidRPr="00A2171C" w:rsidRDefault="00917073" w:rsidP="00A85F43">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 xml:space="preserve">The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p,5</m:t>
            </m:r>
          </m:sub>
        </m:sSub>
      </m:oMath>
      <w:r w:rsidRPr="00A2171C">
        <w:rPr>
          <w:rFonts w:eastAsia="Times New Roman" w:cs="Times New Roman"/>
          <w:szCs w:val="20"/>
          <w:lang w:val="en-GB"/>
        </w:rPr>
        <w:t xml:space="preserve"> evaluates the movable fire load (q</w:t>
      </w:r>
      <w:r w:rsidRPr="00A2171C">
        <w:rPr>
          <w:rFonts w:eastAsia="Times New Roman" w:cs="Times New Roman"/>
          <w:szCs w:val="20"/>
          <w:vertAlign w:val="subscript"/>
          <w:lang w:val="en-GB"/>
        </w:rPr>
        <w:t>mf</w:t>
      </w:r>
      <w:r w:rsidRPr="00A2171C">
        <w:rPr>
          <w:rFonts w:eastAsia="Times New Roman" w:cs="Times New Roman"/>
          <w:szCs w:val="20"/>
          <w:lang w:val="en-GB"/>
        </w:rPr>
        <w:t xml:space="preserve">) depending on the material with the largest quantity present in a building. According to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{"citationItems":[{"id":"ITEM-1","itemData":{"author":[{"dropping-particle":"","family":"Vicente","given":"Romeu","non-dropping-particle":"","parse-names":false,"suffix":""},{"dropping-particle":"","family":"Silva","given":"J. Ant. R.","non-dropping-particle":"","parse-names":false,"suffix":""},{"dropping-particle":"","family":"Varum","given":"Humberto","non-dropping-particle":"","parse-names":false,"suffix":""},{"dropping-particle":"","family":"Costa","given":"Aníbal","non-dropping-particle":"","parse-names":false,"suffix":""},{"dropping-particle":"","family":"Subtil","given":"Ana","non-dropping-particle":"","parse-names":false,"suffix":""},{"dropping-particle":"","family":"Santos","given":"Cátia","non-dropping-particle":"","parse-names":false,"suffix":""},{"dropping-particle":"","family":"Santos","given":"Mário","non-dropping-particle":"","parse-names":false,"suffix":""},{"dropping-particle":"","family":"Ferreira","given":"Tiago","non-dropping-particle":"","parse-names":false,"suffix":""},{"dropping-particle":"","family":"Rodrigues","given":"Ana","non-dropping-particle":"","parse-names":false,"suffix":""}],"id":"ITEM-1","issued":{"date-parts":[["2010"]]},"title":"CADERNO DE APOIO À AVALIAÇÃO DO RISCO SÍSMICO E DE INCÊNDIO NOS NÚCLEOS URBANOS ANTIGOS DO SEIXAL","type":"book"},"uris":["http://www.mendeley.com/documents/?uuid=e74ef6e7-da85-4717-81a0-cd08f3561dcb"]}],"mendeley":{"formattedCitation":"(Vicente et al., 2010)","manualFormatting":"(Claret &amp; Andrade, 2007; Suresh, 2015; and Su at al, 2019)","plainTextFormattedCitation":"(Vicente et al., 2010)","previouslyFormattedCitation":"(Vicente et al., 2010)"},"properties":{"noteIndex":0},"schema":"https://github.com/citation-style-language/schema/raw/master/csl-citation.json"}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b/>
          <w:bCs/>
          <w:noProof/>
          <w:szCs w:val="20"/>
          <w:lang w:val="en-GB"/>
        </w:rPr>
        <w:t>(Claret &amp; Andrade, 2007;</w:t>
      </w:r>
      <w:r w:rsidRPr="00A2171C">
        <w:rPr>
          <w:rFonts w:eastAsia="Times New Roman" w:cs="Times New Roman"/>
          <w:noProof/>
          <w:szCs w:val="20"/>
          <w:lang w:val="en-GB"/>
        </w:rPr>
        <w:t xml:space="preserve"> </w:t>
      </w:r>
      <w:r w:rsidRPr="00A2171C">
        <w:rPr>
          <w:rFonts w:eastAsia="Times New Roman" w:cs="Times New Roman"/>
          <w:b/>
          <w:bCs/>
          <w:noProof/>
          <w:szCs w:val="20"/>
          <w:lang w:val="en-GB"/>
        </w:rPr>
        <w:t>Suresh, 2015; and Su at al, 2019</w:t>
      </w:r>
      <w:r w:rsidRPr="00A2171C">
        <w:rPr>
          <w:rFonts w:eastAsia="Times New Roman" w:cs="Times New Roman"/>
          <w:noProof/>
          <w:szCs w:val="20"/>
          <w:lang w:val="en-GB"/>
        </w:rPr>
        <w:t>)</w:t>
      </w:r>
      <w:r w:rsidRPr="00A2171C">
        <w:rPr>
          <w:rFonts w:eastAsia="Times New Roman" w:cs="Times New Roman"/>
          <w:szCs w:val="20"/>
          <w:lang w:val="en-GB"/>
        </w:rPr>
        <w:fldChar w:fldCharType="end"/>
      </w:r>
      <w:r w:rsidRPr="00A2171C">
        <w:rPr>
          <w:rFonts w:eastAsia="Times New Roman" w:cs="Times New Roman"/>
          <w:szCs w:val="20"/>
          <w:lang w:val="en-GB"/>
        </w:rPr>
        <w:t xml:space="preserve"> to normalize movable fire load value, the q</w:t>
      </w:r>
      <w:r w:rsidRPr="00A2171C">
        <w:rPr>
          <w:rFonts w:eastAsia="Times New Roman" w:cs="Times New Roman"/>
          <w:szCs w:val="20"/>
          <w:vertAlign w:val="subscript"/>
          <w:lang w:val="en-GB"/>
        </w:rPr>
        <w:t>mf</w:t>
      </w:r>
      <w:r w:rsidRPr="00A2171C">
        <w:rPr>
          <w:rFonts w:eastAsia="Times New Roman" w:cs="Times New Roman"/>
          <w:szCs w:val="20"/>
          <w:lang w:val="en-GB"/>
        </w:rPr>
        <w:t xml:space="preserve"> (MJ/m</w:t>
      </w:r>
      <w:r w:rsidRPr="00A2171C">
        <w:rPr>
          <w:rFonts w:eastAsia="Times New Roman" w:cs="Times New Roman"/>
          <w:szCs w:val="20"/>
          <w:vertAlign w:val="superscript"/>
          <w:lang w:val="en-GB"/>
        </w:rPr>
        <w:t>2</w:t>
      </w:r>
      <w:r w:rsidRPr="00A2171C">
        <w:rPr>
          <w:rFonts w:eastAsia="Times New Roman" w:cs="Times New Roman"/>
          <w:szCs w:val="20"/>
          <w:lang w:val="en-GB"/>
        </w:rPr>
        <w:t>) is divided by 1000 (obtaining a lower limit of 0.10 and an upper limit of 5.00).</w:t>
      </w:r>
    </w:p>
    <w:p w14:paraId="2B1F7B72" w14:textId="43334FEF" w:rsidR="00A46867" w:rsidRPr="00A2171C" w:rsidRDefault="00A46867" w:rsidP="00A46867">
      <w:pPr>
        <w:pStyle w:val="ListParagraph"/>
        <w:spacing w:before="240" w:after="0"/>
        <w:ind w:left="284"/>
        <w:rPr>
          <w:rFonts w:eastAsia="Times New Roman" w:cs="Times New Roman"/>
          <w:szCs w:val="20"/>
          <w:lang w:val="en-GB"/>
        </w:rPr>
      </w:pPr>
    </w:p>
    <w:p w14:paraId="71CFA0B9" w14:textId="7B461F3D" w:rsidR="00A46867" w:rsidRPr="00A2171C" w:rsidRDefault="00A46867" w:rsidP="00A46867">
      <w:pPr>
        <w:pStyle w:val="ListParagraph"/>
        <w:numPr>
          <w:ilvl w:val="0"/>
          <w:numId w:val="16"/>
        </w:numPr>
        <w:spacing w:before="240"/>
        <w:ind w:left="284" w:hanging="284"/>
        <w:rPr>
          <w:rFonts w:eastAsia="Times New Roman" w:cs="Times New Roman"/>
          <w:szCs w:val="20"/>
          <w:lang w:val="en-US"/>
        </w:rPr>
      </w:pPr>
      <w:r w:rsidRPr="00A2171C">
        <w:rPr>
          <w:rFonts w:eastAsia="Times New Roman" w:cs="Times New Roman"/>
          <w:b/>
          <w:bCs/>
          <w:szCs w:val="20"/>
          <w:lang w:val="en-GB"/>
        </w:rPr>
        <w:t>Fire evacuation risk</w:t>
      </w:r>
      <w:r w:rsidRPr="00A2171C">
        <w:rPr>
          <w:rFonts w:eastAsia="Times New Roman" w:cs="Times New Roman"/>
          <w:szCs w:val="20"/>
          <w:lang w:val="en-GB"/>
        </w:rPr>
        <w:t xml:space="preserve"> (</w:t>
      </w:r>
      <w:r w:rsidRPr="00A2171C">
        <w:rPr>
          <w:rFonts w:eastAsia="Times New Roman" w:cs="Times New Roman"/>
          <w:i/>
          <w:szCs w:val="20"/>
          <w:lang w:val="en-GB"/>
        </w:rPr>
        <w:t>SF</w:t>
      </w:r>
      <w:r w:rsidRPr="00A2171C">
        <w:rPr>
          <w:rFonts w:eastAsia="Times New Roman" w:cs="Times New Roman"/>
          <w:i/>
          <w:szCs w:val="20"/>
          <w:vertAlign w:val="subscript"/>
          <w:lang w:val="en-GB"/>
        </w:rPr>
        <w:t>E</w:t>
      </w:r>
      <w:r w:rsidRPr="00A2171C">
        <w:rPr>
          <w:rFonts w:eastAsia="Times New Roman" w:cs="Times New Roman"/>
          <w:szCs w:val="20"/>
          <w:lang w:val="en-GB"/>
        </w:rPr>
        <w:t>) is evaluated through three partial factors presented in the Appendix (</w:t>
      </w:r>
      <w:r w:rsidR="002A77A8" w:rsidRPr="00A2171C">
        <w:rPr>
          <w:rFonts w:eastAsia="Times New Roman" w:cs="Times New Roman"/>
          <w:szCs w:val="20"/>
          <w:lang w:val="en-GB"/>
        </w:rPr>
        <w:fldChar w:fldCharType="begin"/>
      </w:r>
      <w:r w:rsidR="002A77A8" w:rsidRPr="00A2171C">
        <w:rPr>
          <w:rFonts w:eastAsia="Times New Roman" w:cs="Times New Roman"/>
          <w:szCs w:val="20"/>
          <w:lang w:val="en-GB"/>
        </w:rPr>
        <w:instrText xml:space="preserve"> REF _Ref121156801 \h </w:instrText>
      </w:r>
      <w:r w:rsidR="002A77A8" w:rsidRPr="00A2171C">
        <w:rPr>
          <w:rFonts w:eastAsia="Times New Roman" w:cs="Times New Roman"/>
          <w:szCs w:val="20"/>
          <w:lang w:val="en-GB"/>
        </w:rPr>
      </w:r>
      <w:r w:rsidR="002A77A8" w:rsidRPr="00A2171C">
        <w:rPr>
          <w:rFonts w:eastAsia="Times New Roman" w:cs="Times New Roman"/>
          <w:szCs w:val="20"/>
          <w:lang w:val="en-GB"/>
        </w:rPr>
        <w:fldChar w:fldCharType="separate"/>
      </w:r>
      <w:r w:rsidR="00C20049" w:rsidRPr="00A2171C">
        <w:rPr>
          <w:lang w:val="en-US"/>
        </w:rPr>
        <w:t xml:space="preserve">Table A </w:t>
      </w:r>
      <w:r w:rsidR="00C20049" w:rsidRPr="00A2171C">
        <w:rPr>
          <w:noProof/>
          <w:lang w:val="en-US"/>
        </w:rPr>
        <w:t>3</w:t>
      </w:r>
      <w:r w:rsidR="002A77A8" w:rsidRPr="00A2171C">
        <w:rPr>
          <w:rFonts w:eastAsia="Times New Roman" w:cs="Times New Roman"/>
          <w:szCs w:val="20"/>
          <w:lang w:val="en-GB"/>
        </w:rPr>
        <w:fldChar w:fldCharType="end"/>
      </w:r>
      <w:r w:rsidRPr="00A2171C">
        <w:rPr>
          <w:rFonts w:eastAsia="Times New Roman" w:cs="Times New Roman"/>
          <w:szCs w:val="20"/>
          <w:lang w:val="en-GB"/>
        </w:rPr>
        <w:t xml:space="preserve">) based on this </w:t>
      </w:r>
      <w:r w:rsidR="008600AE" w:rsidRPr="00A2171C">
        <w:rPr>
          <w:rFonts w:eastAsia="Times New Roman" w:cs="Times New Roman"/>
          <w:szCs w:val="20"/>
          <w:lang w:val="en-GB"/>
        </w:rPr>
        <w:t>expression</w:t>
      </w:r>
      <w:r w:rsidRPr="00A2171C">
        <w:rPr>
          <w:rFonts w:eastAsia="Times New Roman" w:cs="Times New Roman"/>
          <w:szCs w:val="20"/>
          <w:lang w:val="en-GB"/>
        </w:rPr>
        <w:t xml:space="preserve"> </w:t>
      </w:r>
      <w:r w:rsidRPr="00A2171C">
        <w:rPr>
          <w:rFonts w:eastAsia="Times New Roman" w:cs="Times New Roman"/>
          <w:i/>
          <w:iCs/>
          <w:sz w:val="18"/>
          <w:szCs w:val="18"/>
          <w:lang w:val="en-GB"/>
        </w:rPr>
        <w:t>SF</w:t>
      </w:r>
      <w:r w:rsidRPr="00A2171C">
        <w:rPr>
          <w:rFonts w:eastAsia="Times New Roman" w:cs="Times New Roman"/>
          <w:i/>
          <w:iCs/>
          <w:sz w:val="18"/>
          <w:szCs w:val="18"/>
          <w:vertAlign w:val="subscript"/>
          <w:lang w:val="en-GB"/>
        </w:rPr>
        <w:t>E</w:t>
      </w:r>
      <w:r w:rsidRPr="00A2171C">
        <w:rPr>
          <w:rFonts w:eastAsia="Times New Roman" w:cs="Times New Roman"/>
          <w:sz w:val="18"/>
          <w:szCs w:val="18"/>
          <w:lang w:val="en-GB"/>
        </w:rPr>
        <w:t xml:space="preserve"> = </w:t>
      </w:r>
      <m:oMath>
        <m:nary>
          <m:naryPr>
            <m:chr m:val="∑"/>
            <m:ctrlPr>
              <w:rPr>
                <w:rFonts w:ascii="Cambria Math" w:eastAsia="Cambria Math" w:hAnsi="Cambria Math" w:cs="Times New Roman"/>
                <w:sz w:val="18"/>
                <w:szCs w:val="18"/>
                <w:lang w:val="en-GB"/>
              </w:rPr>
            </m:ctrlPr>
          </m:naryPr>
          <m:sub>
            <m:r>
              <w:rPr>
                <w:rFonts w:ascii="Cambria Math" w:eastAsia="Cambria Math" w:hAnsi="Cambria Math" w:cs="Times New Roman"/>
                <w:sz w:val="18"/>
                <w:szCs w:val="18"/>
                <w:lang w:val="en-GB"/>
              </w:rPr>
              <m:t>i=1</m:t>
            </m:r>
          </m:sub>
          <m:sup>
            <m:r>
              <w:rPr>
                <w:rFonts w:ascii="Cambria Math" w:eastAsia="Cambria Math" w:hAnsi="Cambria Math" w:cs="Times New Roman"/>
                <w:sz w:val="18"/>
                <w:szCs w:val="18"/>
                <w:lang w:val="en-GB"/>
              </w:rPr>
              <m:t>3</m:t>
            </m:r>
          </m:sup>
          <m:e>
            <m:acc>
              <m:accPr>
                <m:ctrlPr>
                  <w:rPr>
                    <w:rFonts w:ascii="Cambria Math" w:eastAsia="Cambria Math" w:hAnsi="Cambria Math" w:cs="Times New Roman"/>
                    <w:i/>
                    <w:sz w:val="18"/>
                    <w:szCs w:val="18"/>
                    <w:lang w:val="en-GB"/>
                  </w:rPr>
                </m:ctrlPr>
              </m:accPr>
              <m:e>
                <m:sSub>
                  <m:sSubPr>
                    <m:ctrlPr>
                      <w:rPr>
                        <w:rFonts w:ascii="Cambria Math" w:eastAsia="Cambria Math" w:hAnsi="Cambria Math" w:cs="Times New Roman"/>
                        <w:i/>
                        <w:sz w:val="18"/>
                        <w:szCs w:val="18"/>
                        <w:lang w:val="en-GB"/>
                      </w:rPr>
                    </m:ctrlPr>
                  </m:sSubPr>
                  <m:e>
                    <m:r>
                      <w:rPr>
                        <w:rFonts w:ascii="Cambria Math" w:eastAsia="Cambria Math" w:hAnsi="Cambria Math" w:cs="Times New Roman"/>
                        <w:sz w:val="18"/>
                        <w:szCs w:val="18"/>
                        <w:lang w:val="en-GB"/>
                      </w:rPr>
                      <m:t>PF</m:t>
                    </m:r>
                  </m:e>
                  <m:sub>
                    <m:r>
                      <w:rPr>
                        <w:rFonts w:ascii="Cambria Math" w:eastAsia="Cambria Math" w:hAnsi="Cambria Math" w:cs="Times New Roman"/>
                        <w:sz w:val="18"/>
                        <w:szCs w:val="18"/>
                        <w:lang w:val="en-GB"/>
                      </w:rPr>
                      <m:t>E,i</m:t>
                    </m:r>
                  </m:sub>
                </m:sSub>
              </m:e>
            </m:acc>
          </m:e>
        </m:nary>
      </m:oMath>
      <w:r w:rsidRPr="00A2171C">
        <w:rPr>
          <w:rFonts w:eastAsia="Times New Roman" w:cs="Times New Roman"/>
          <w:szCs w:val="20"/>
          <w:lang w:val="en-GB"/>
        </w:rPr>
        <w:t xml:space="preserve">. The first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E,1</m:t>
            </m:r>
          </m:sub>
        </m:sSub>
      </m:oMath>
      <w:r w:rsidRPr="00A2171C">
        <w:rPr>
          <w:rFonts w:eastAsia="Times New Roman" w:cs="Times New Roman"/>
          <w:szCs w:val="20"/>
          <w:vertAlign w:val="subscript"/>
          <w:lang w:val="en-GB"/>
        </w:rPr>
        <w:t>,</w:t>
      </w:r>
      <w:r w:rsidRPr="00A2171C">
        <w:rPr>
          <w:rFonts w:eastAsia="Times New Roman" w:cs="Times New Roman"/>
          <w:szCs w:val="20"/>
          <w:lang w:val="en-GB"/>
        </w:rPr>
        <w:t xml:space="preserve"> evaluates the features of horizontal and vertical evacuation routes, number of exits, and the presence of emergency signs.  Since no requirements for escape routes are present in the Chilean regulations, herein the FRI method prescriptions are adopted (</w:t>
      </w:r>
      <w:r w:rsidR="002A77A8" w:rsidRPr="00A2171C">
        <w:rPr>
          <w:rFonts w:eastAsia="Times New Roman" w:cs="Times New Roman"/>
          <w:szCs w:val="20"/>
          <w:lang w:val="en-GB"/>
        </w:rPr>
        <w:fldChar w:fldCharType="begin"/>
      </w:r>
      <w:r w:rsidR="002A77A8" w:rsidRPr="00A2171C">
        <w:rPr>
          <w:rFonts w:eastAsia="Times New Roman" w:cs="Times New Roman"/>
          <w:szCs w:val="20"/>
          <w:lang w:val="en-GB"/>
        </w:rPr>
        <w:instrText xml:space="preserve"> REF _Ref121156801 \h </w:instrText>
      </w:r>
      <w:r w:rsidR="002A77A8" w:rsidRPr="00A2171C">
        <w:rPr>
          <w:rFonts w:eastAsia="Times New Roman" w:cs="Times New Roman"/>
          <w:szCs w:val="20"/>
          <w:lang w:val="en-GB"/>
        </w:rPr>
      </w:r>
      <w:r w:rsidR="002A77A8" w:rsidRPr="00A2171C">
        <w:rPr>
          <w:rFonts w:eastAsia="Times New Roman" w:cs="Times New Roman"/>
          <w:szCs w:val="20"/>
          <w:lang w:val="en-GB"/>
        </w:rPr>
        <w:fldChar w:fldCharType="separate"/>
      </w:r>
      <w:r w:rsidR="00C20049" w:rsidRPr="00A2171C">
        <w:rPr>
          <w:lang w:val="en-US"/>
        </w:rPr>
        <w:t xml:space="preserve">Table A </w:t>
      </w:r>
      <w:r w:rsidR="00C20049" w:rsidRPr="00A2171C">
        <w:rPr>
          <w:noProof/>
          <w:lang w:val="en-US"/>
        </w:rPr>
        <w:t>3</w:t>
      </w:r>
      <w:r w:rsidR="002A77A8" w:rsidRPr="00A2171C">
        <w:rPr>
          <w:rFonts w:eastAsia="Times New Roman" w:cs="Times New Roman"/>
          <w:szCs w:val="20"/>
          <w:lang w:val="en-GB"/>
        </w:rPr>
        <w:fldChar w:fldCharType="end"/>
      </w:r>
      <w:r w:rsidRPr="00A2171C">
        <w:rPr>
          <w:rFonts w:eastAsia="Times New Roman" w:cs="Times New Roman"/>
          <w:szCs w:val="20"/>
          <w:lang w:val="en-GB"/>
        </w:rPr>
        <w:t xml:space="preserve">). The partial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E,2</m:t>
            </m:r>
          </m:sub>
        </m:sSub>
      </m:oMath>
      <w:r w:rsidRPr="00A2171C">
        <w:rPr>
          <w:rFonts w:eastAsia="Times New Roman" w:cs="Times New Roman"/>
          <w:szCs w:val="20"/>
          <w:lang w:val="en-GB"/>
        </w:rPr>
        <w:t>, related to building properties, integrates some partial factors previously assessed as security teams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P,2</m:t>
            </m:r>
          </m:sub>
        </m:sSub>
      </m:oMath>
      <w:r w:rsidRPr="00A2171C">
        <w:rPr>
          <w:rFonts w:eastAsia="Times New Roman" w:cs="Times New Roman"/>
          <w:szCs w:val="20"/>
          <w:lang w:val="en-GB"/>
        </w:rPr>
        <w:t>) and fire detection, alert and alarm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P,3</m:t>
            </m:r>
          </m:sub>
        </m:sSub>
      </m:oMath>
      <w:r w:rsidRPr="00A2171C">
        <w:rPr>
          <w:rFonts w:eastAsia="Times New Roman" w:cs="Times New Roman"/>
          <w:szCs w:val="20"/>
          <w:lang w:val="en-GB"/>
        </w:rPr>
        <w:t>), and a new partial factor corresponding to the performance of security drills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e,2</m:t>
            </m:r>
          </m:sub>
        </m:sSub>
      </m:oMath>
      <w:r w:rsidRPr="00A2171C">
        <w:rPr>
          <w:rFonts w:eastAsia="Times New Roman" w:cs="Times New Roman"/>
          <w:szCs w:val="20"/>
          <w:lang w:val="en-GB"/>
        </w:rPr>
        <w:t>). Based on the FRI method, an evacuation correction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E,3</m:t>
            </m:r>
          </m:sub>
        </m:sSub>
      </m:oMath>
      <w:r w:rsidRPr="00A2171C">
        <w:rPr>
          <w:rFonts w:eastAsia="Times New Roman" w:cs="Times New Roman"/>
          <w:szCs w:val="20"/>
          <w:lang w:val="en-GB"/>
        </w:rPr>
        <w:t xml:space="preserve">) is applied if any of the building properties assessed in the partial factors of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E,1</m:t>
            </m:r>
          </m:sub>
        </m:sSub>
      </m:oMath>
      <w:r w:rsidRPr="00A2171C">
        <w:rPr>
          <w:rFonts w:eastAsia="Times New Roman" w:cs="Times New Roman"/>
          <w:szCs w:val="20"/>
          <w:lang w:val="en-GB"/>
        </w:rPr>
        <w:t xml:space="preserve"> and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E,2</m:t>
            </m:r>
          </m:sub>
        </m:sSub>
      </m:oMath>
      <w:r w:rsidRPr="00A2171C">
        <w:rPr>
          <w:rFonts w:eastAsia="Times New Roman" w:cs="Times New Roman"/>
          <w:szCs w:val="20"/>
          <w:lang w:val="en-GB"/>
        </w:rPr>
        <w:t xml:space="preserve">, does not comply with the regulation requirements. </w:t>
      </w:r>
      <w:bookmarkStart w:id="18" w:name="_Hlk120533726"/>
      <w:r w:rsidR="00A85F43" w:rsidRPr="00A2171C">
        <w:rPr>
          <w:rFonts w:eastAsia="Times New Roman" w:cs="Times New Roman"/>
          <w:bCs/>
          <w:szCs w:val="20"/>
          <w:lang w:val="en-US"/>
        </w:rPr>
        <w:t xml:space="preserve">For 3-stories or less, 7-stories or less, or higher than 7-stories, </w:t>
      </w:r>
      <m:oMath>
        <m:sSub>
          <m:sSubPr>
            <m:ctrlPr>
              <w:rPr>
                <w:rFonts w:ascii="Cambria Math" w:eastAsia="Times New Roman" w:hAnsi="Cambria Math" w:cs="Times New Roman"/>
                <w:bCs/>
                <w:szCs w:val="20"/>
              </w:rPr>
            </m:ctrlPr>
          </m:sSubPr>
          <m:e>
            <m:r>
              <w:rPr>
                <w:rFonts w:ascii="Cambria Math" w:eastAsia="Times New Roman" w:hAnsi="Cambria Math" w:cs="Times New Roman"/>
                <w:szCs w:val="20"/>
              </w:rPr>
              <m:t>PF</m:t>
            </m:r>
          </m:e>
          <m:sub>
            <m:r>
              <w:rPr>
                <w:rFonts w:ascii="Cambria Math" w:eastAsia="Times New Roman" w:hAnsi="Cambria Math" w:cs="Times New Roman"/>
                <w:szCs w:val="20"/>
              </w:rPr>
              <m:t>E</m:t>
            </m:r>
            <m:r>
              <m:rPr>
                <m:sty m:val="p"/>
              </m:rPr>
              <w:rPr>
                <w:rFonts w:ascii="Cambria Math" w:eastAsia="Times New Roman" w:hAnsi="Cambria Math" w:cs="Times New Roman"/>
                <w:szCs w:val="20"/>
                <w:lang w:val="en-US"/>
              </w:rPr>
              <m:t>,3</m:t>
            </m:r>
          </m:sub>
        </m:sSub>
      </m:oMath>
      <w:r w:rsidR="00A85F43" w:rsidRPr="00A2171C">
        <w:rPr>
          <w:rFonts w:eastAsia="Times New Roman" w:cs="Times New Roman"/>
          <w:bCs/>
          <w:szCs w:val="20"/>
          <w:lang w:val="en-US"/>
        </w:rPr>
        <w:t xml:space="preserve"> assumes the values 1.10, 1.20 and 1.30, respectively </w:t>
      </w:r>
      <w:r w:rsidR="00A85F43" w:rsidRPr="00A2171C">
        <w:rPr>
          <w:rFonts w:eastAsia="Times New Roman" w:cs="Times New Roman"/>
          <w:bCs/>
          <w:szCs w:val="20"/>
        </w:rPr>
        <w:fldChar w:fldCharType="begin" w:fldLock="1"/>
      </w:r>
      <w:r w:rsidR="00A85F43" w:rsidRPr="00A2171C">
        <w:rPr>
          <w:rFonts w:eastAsia="Times New Roman" w:cs="Times New Roman"/>
          <w:bCs/>
          <w:szCs w:val="20"/>
          <w:lang w:val="en-US"/>
        </w:rPr>
        <w:instrText>ADDIN CSL_CITATION {"citationItems":[{"id":"ITEM-1","itemData":{"author":[{"dropping-particle":"","family":"Vicente","given":"Romeu","non-dropping-particle":"","parse-names":false,"suffix":""},{"dropping-particle":"","family":"Silva","given":"J. Ant. R.","non-dropping-particle":"","parse-names":false,"suffix":""},{"dropping-particle":"","family":"Varum","given":"Humberto","non-dropping-particle":"","parse-names":false,"suffix":""},{"dropping-particle":"","family":"Costa","given":"Aníbal","non-dropping-particle":"","parse-names":false,"suffix":""},{"dropping-particle":"","family":"Subtil","given":"Ana","non-dropping-particle":"","parse-names":false,"suffix":""},{"dropping-particle":"","family":"Santos","given":"Cátia","non-dropping-particle":"","parse-names":false,"suffix":""},{"dropping-particle":"","family":"Santos","given":"Mário","non-dropping-particle":"","parse-names":false,"suffix":""},{"dropping-particle":"","family":"Ferreira","given":"Tiago","non-dropping-particle":"","parse-names":false,"suffix":""},{"dropping-particle":"","family":"Rodrigues","given":"Ana","non-dropping-particle":"","parse-names":false,"suffix":""}],"id":"ITEM-1","issued":{"date-parts":[["2010"]]},"title":"CADERNO DE APOIO À AVALIAÇÃO DO RISCO SÍSMICO E DE INCÊNDIO NOS NÚCLEOS URBANOS ANTIGOS DO SEIXAL","type":"book"},"uris":["http://www.mendeley.com/documents/?uuid=e74ef6e7-da85-4717-81a0-cd08f3561dcb"]}],"mendeley":{"formattedCitation":"(Vicente et al., 2010)","plainTextFormattedCitation":"(Vicente et al., 2010)","previouslyFormattedCitation":"(Vicente et al., 2010)"},"properties":{"noteIndex":0},"schema":"https://github.com/citation-style-language/schema/raw/master/csl-citation.json"}</w:instrText>
      </w:r>
      <w:r w:rsidR="00A85F43" w:rsidRPr="00A2171C">
        <w:rPr>
          <w:rFonts w:eastAsia="Times New Roman" w:cs="Times New Roman"/>
          <w:bCs/>
          <w:szCs w:val="20"/>
        </w:rPr>
        <w:fldChar w:fldCharType="separate"/>
      </w:r>
      <w:r w:rsidR="00A85F43" w:rsidRPr="00A2171C">
        <w:rPr>
          <w:rFonts w:eastAsia="Times New Roman" w:cs="Times New Roman"/>
          <w:bCs/>
          <w:noProof/>
          <w:szCs w:val="20"/>
          <w:lang w:val="en-US"/>
        </w:rPr>
        <w:t>(Vicente et al., 2010)</w:t>
      </w:r>
      <w:r w:rsidR="00A85F43" w:rsidRPr="00A2171C">
        <w:rPr>
          <w:rFonts w:eastAsia="Times New Roman" w:cs="Times New Roman"/>
          <w:bCs/>
          <w:szCs w:val="20"/>
        </w:rPr>
        <w:fldChar w:fldCharType="end"/>
      </w:r>
      <w:r w:rsidR="00A85F43" w:rsidRPr="00A2171C">
        <w:rPr>
          <w:rFonts w:eastAsia="Times New Roman" w:cs="Times New Roman"/>
          <w:bCs/>
          <w:szCs w:val="20"/>
          <w:lang w:val="en-US"/>
        </w:rPr>
        <w:t xml:space="preserve"> (Granda &amp; Ferreira, 2019a). When the conditions of </w:t>
      </w:r>
      <m:oMath>
        <m:sSub>
          <m:sSubPr>
            <m:ctrlPr>
              <w:rPr>
                <w:rFonts w:ascii="Cambria Math" w:eastAsia="Times New Roman" w:hAnsi="Cambria Math" w:cs="Times New Roman"/>
                <w:bCs/>
                <w:szCs w:val="20"/>
              </w:rPr>
            </m:ctrlPr>
          </m:sSubPr>
          <m:e>
            <m:r>
              <w:rPr>
                <w:rFonts w:ascii="Cambria Math" w:eastAsia="Times New Roman" w:hAnsi="Cambria Math" w:cs="Times New Roman"/>
                <w:szCs w:val="20"/>
              </w:rPr>
              <m:t>PF</m:t>
            </m:r>
          </m:e>
          <m:sub>
            <m:r>
              <w:rPr>
                <w:rFonts w:ascii="Cambria Math" w:eastAsia="Times New Roman" w:hAnsi="Cambria Math" w:cs="Times New Roman"/>
                <w:szCs w:val="20"/>
              </w:rPr>
              <m:t>E</m:t>
            </m:r>
            <m:r>
              <m:rPr>
                <m:sty m:val="p"/>
              </m:rPr>
              <w:rPr>
                <w:rFonts w:ascii="Cambria Math" w:eastAsia="Times New Roman" w:hAnsi="Cambria Math" w:cs="Times New Roman"/>
                <w:szCs w:val="20"/>
                <w:lang w:val="en-US"/>
              </w:rPr>
              <m:t>,1</m:t>
            </m:r>
          </m:sub>
        </m:sSub>
      </m:oMath>
      <w:r w:rsidR="00A85F43" w:rsidRPr="00A2171C">
        <w:rPr>
          <w:rFonts w:eastAsia="Times New Roman" w:cs="Times New Roman"/>
          <w:bCs/>
          <w:szCs w:val="20"/>
          <w:lang w:val="en-US"/>
        </w:rPr>
        <w:t xml:space="preserve"> and </w:t>
      </w:r>
      <m:oMath>
        <m:sSub>
          <m:sSubPr>
            <m:ctrlPr>
              <w:rPr>
                <w:rFonts w:ascii="Cambria Math" w:eastAsia="Times New Roman" w:hAnsi="Cambria Math" w:cs="Times New Roman"/>
                <w:bCs/>
                <w:szCs w:val="20"/>
              </w:rPr>
            </m:ctrlPr>
          </m:sSubPr>
          <m:e>
            <m:r>
              <w:rPr>
                <w:rFonts w:ascii="Cambria Math" w:eastAsia="Times New Roman" w:hAnsi="Cambria Math" w:cs="Times New Roman"/>
                <w:szCs w:val="20"/>
              </w:rPr>
              <m:t>PF</m:t>
            </m:r>
          </m:e>
          <m:sub>
            <m:r>
              <w:rPr>
                <w:rFonts w:ascii="Cambria Math" w:eastAsia="Times New Roman" w:hAnsi="Cambria Math" w:cs="Times New Roman"/>
                <w:szCs w:val="20"/>
              </w:rPr>
              <m:t>E</m:t>
            </m:r>
            <m:r>
              <m:rPr>
                <m:sty m:val="p"/>
              </m:rPr>
              <w:rPr>
                <w:rFonts w:ascii="Cambria Math" w:eastAsia="Times New Roman" w:hAnsi="Cambria Math" w:cs="Times New Roman"/>
                <w:szCs w:val="20"/>
                <w:lang w:val="en-US"/>
              </w:rPr>
              <m:t>,2</m:t>
            </m:r>
          </m:sub>
        </m:sSub>
      </m:oMath>
      <w:r w:rsidR="00A85F43" w:rsidRPr="00A2171C">
        <w:rPr>
          <w:rFonts w:eastAsia="Times New Roman" w:cs="Times New Roman"/>
          <w:bCs/>
          <w:szCs w:val="20"/>
          <w:lang w:val="en-US"/>
        </w:rPr>
        <w:t xml:space="preserve"> are not verified, </w:t>
      </w:r>
      <m:oMath>
        <m:sSub>
          <m:sSubPr>
            <m:ctrlPr>
              <w:rPr>
                <w:rFonts w:ascii="Cambria Math" w:eastAsia="Times New Roman" w:hAnsi="Cambria Math" w:cs="Times New Roman"/>
                <w:bCs/>
                <w:szCs w:val="20"/>
              </w:rPr>
            </m:ctrlPr>
          </m:sSubPr>
          <m:e>
            <m:r>
              <w:rPr>
                <w:rFonts w:ascii="Cambria Math" w:eastAsia="Times New Roman" w:hAnsi="Cambria Math" w:cs="Times New Roman"/>
                <w:szCs w:val="20"/>
              </w:rPr>
              <m:t>PF</m:t>
            </m:r>
          </m:e>
          <m:sub>
            <m:r>
              <w:rPr>
                <w:rFonts w:ascii="Cambria Math" w:eastAsia="Times New Roman" w:hAnsi="Cambria Math" w:cs="Times New Roman"/>
                <w:szCs w:val="20"/>
              </w:rPr>
              <m:t>E</m:t>
            </m:r>
            <m:r>
              <m:rPr>
                <m:sty m:val="p"/>
              </m:rPr>
              <w:rPr>
                <w:rFonts w:ascii="Cambria Math" w:eastAsia="Times New Roman" w:hAnsi="Cambria Math" w:cs="Times New Roman"/>
                <w:szCs w:val="20"/>
                <w:lang w:val="en-US"/>
              </w:rPr>
              <m:t>,3</m:t>
            </m:r>
          </m:sub>
        </m:sSub>
      </m:oMath>
      <w:r w:rsidR="00A85F43" w:rsidRPr="00A2171C">
        <w:rPr>
          <w:rFonts w:eastAsia="Times New Roman" w:cs="Times New Roman"/>
          <w:bCs/>
          <w:szCs w:val="20"/>
          <w:lang w:val="en-US"/>
        </w:rPr>
        <w:t xml:space="preserve"> increases the values of these terms.</w:t>
      </w:r>
    </w:p>
    <w:bookmarkEnd w:id="18"/>
    <w:p w14:paraId="4555D104" w14:textId="77777777" w:rsidR="00A46867" w:rsidRPr="00A2171C" w:rsidRDefault="00A46867" w:rsidP="00A46867">
      <w:pPr>
        <w:pStyle w:val="ListParagraph"/>
        <w:spacing w:before="240"/>
        <w:ind w:left="284"/>
        <w:rPr>
          <w:rFonts w:eastAsia="Times New Roman" w:cs="Times New Roman"/>
          <w:szCs w:val="20"/>
          <w:lang w:val="en-US"/>
        </w:rPr>
      </w:pPr>
    </w:p>
    <w:p w14:paraId="08407161" w14:textId="7073CDE5" w:rsidR="00A46867" w:rsidRPr="00A2171C" w:rsidRDefault="00A46867" w:rsidP="00A46867">
      <w:pPr>
        <w:pStyle w:val="ListParagraph"/>
        <w:numPr>
          <w:ilvl w:val="0"/>
          <w:numId w:val="16"/>
        </w:numPr>
        <w:spacing w:before="240" w:after="0"/>
        <w:ind w:left="284" w:hanging="284"/>
        <w:rPr>
          <w:rFonts w:eastAsia="Times New Roman" w:cs="Times New Roman"/>
          <w:szCs w:val="20"/>
          <w:lang w:val="en-GB"/>
        </w:rPr>
      </w:pPr>
      <w:r w:rsidRPr="00A2171C">
        <w:rPr>
          <w:rFonts w:eastAsia="Times New Roman" w:cs="Times New Roman"/>
          <w:szCs w:val="20"/>
          <w:lang w:val="en-GB"/>
        </w:rPr>
        <w:lastRenderedPageBreak/>
        <w:t xml:space="preserve">Last, </w:t>
      </w:r>
      <w:r w:rsidRPr="00A2171C">
        <w:rPr>
          <w:rFonts w:eastAsia="Times New Roman" w:cs="Times New Roman"/>
          <w:b/>
          <w:bCs/>
          <w:szCs w:val="20"/>
          <w:lang w:val="en-GB"/>
        </w:rPr>
        <w:t>fire combat conditions (</w:t>
      </w:r>
      <w:r w:rsidRPr="00A2171C">
        <w:rPr>
          <w:rFonts w:eastAsia="Times New Roman" w:cs="Times New Roman"/>
          <w:b/>
          <w:bCs/>
          <w:i/>
          <w:szCs w:val="20"/>
          <w:lang w:val="en-GB"/>
        </w:rPr>
        <w:t>SF</w:t>
      </w:r>
      <w:r w:rsidRPr="00A2171C">
        <w:rPr>
          <w:rFonts w:eastAsia="Times New Roman" w:cs="Times New Roman"/>
          <w:b/>
          <w:bCs/>
          <w:i/>
          <w:szCs w:val="20"/>
          <w:vertAlign w:val="subscript"/>
          <w:lang w:val="en-GB"/>
        </w:rPr>
        <w:t>C</w:t>
      </w:r>
      <w:r w:rsidRPr="00A2171C">
        <w:rPr>
          <w:rFonts w:eastAsia="Times New Roman" w:cs="Times New Roman"/>
          <w:b/>
          <w:bCs/>
          <w:szCs w:val="20"/>
          <w:lang w:val="en-GB"/>
        </w:rPr>
        <w:t xml:space="preserve">) </w:t>
      </w:r>
      <w:r w:rsidRPr="00A2171C">
        <w:rPr>
          <w:rFonts w:eastAsia="Times New Roman" w:cs="Times New Roman"/>
          <w:szCs w:val="20"/>
          <w:lang w:val="en-GB"/>
        </w:rPr>
        <w:t>are evaluated with three partial factors presented in the Appendix</w:t>
      </w:r>
      <w:r w:rsidR="0031617B" w:rsidRPr="00A2171C">
        <w:rPr>
          <w:rFonts w:eastAsia="Times New Roman" w:cs="Times New Roman"/>
          <w:szCs w:val="20"/>
          <w:lang w:val="en-GB"/>
        </w:rPr>
        <w:t xml:space="preserve"> (</w:t>
      </w:r>
      <w:r w:rsidR="002A77A8" w:rsidRPr="00A2171C">
        <w:rPr>
          <w:rFonts w:eastAsia="Times New Roman" w:cs="Times New Roman"/>
          <w:szCs w:val="20"/>
          <w:lang w:val="en-GB"/>
        </w:rPr>
        <w:fldChar w:fldCharType="begin"/>
      </w:r>
      <w:r w:rsidR="002A77A8" w:rsidRPr="00A2171C">
        <w:rPr>
          <w:rFonts w:eastAsia="Times New Roman" w:cs="Times New Roman"/>
          <w:szCs w:val="20"/>
          <w:lang w:val="en-GB"/>
        </w:rPr>
        <w:instrText xml:space="preserve"> REF _Ref121156889 \h </w:instrText>
      </w:r>
      <w:r w:rsidR="002A77A8" w:rsidRPr="00A2171C">
        <w:rPr>
          <w:rFonts w:eastAsia="Times New Roman" w:cs="Times New Roman"/>
          <w:szCs w:val="20"/>
          <w:lang w:val="en-GB"/>
        </w:rPr>
      </w:r>
      <w:r w:rsidR="002A77A8" w:rsidRPr="00A2171C">
        <w:rPr>
          <w:rFonts w:eastAsia="Times New Roman" w:cs="Times New Roman"/>
          <w:szCs w:val="20"/>
          <w:lang w:val="en-GB"/>
        </w:rPr>
        <w:fldChar w:fldCharType="separate"/>
      </w:r>
      <w:r w:rsidR="00C20049" w:rsidRPr="00A2171C">
        <w:rPr>
          <w:lang w:val="en-US"/>
        </w:rPr>
        <w:t xml:space="preserve">Table A </w:t>
      </w:r>
      <w:r w:rsidR="00C20049" w:rsidRPr="00A2171C">
        <w:rPr>
          <w:noProof/>
          <w:lang w:val="en-US"/>
        </w:rPr>
        <w:t>4</w:t>
      </w:r>
      <w:r w:rsidR="002A77A8" w:rsidRPr="00A2171C">
        <w:rPr>
          <w:rFonts w:eastAsia="Times New Roman" w:cs="Times New Roman"/>
          <w:szCs w:val="20"/>
          <w:lang w:val="en-GB"/>
        </w:rPr>
        <w:fldChar w:fldCharType="end"/>
      </w:r>
      <w:r w:rsidRPr="00A2171C">
        <w:rPr>
          <w:rFonts w:eastAsia="Times New Roman" w:cs="Times New Roman"/>
          <w:szCs w:val="20"/>
          <w:lang w:val="en-GB"/>
        </w:rPr>
        <w:t xml:space="preserve">) and given by the expression </w:t>
      </w:r>
      <w:r w:rsidRPr="00A2171C">
        <w:rPr>
          <w:rFonts w:eastAsia="Times New Roman" w:cs="Times New Roman"/>
          <w:i/>
          <w:iCs/>
          <w:sz w:val="18"/>
          <w:szCs w:val="18"/>
          <w:lang w:val="en-GB"/>
        </w:rPr>
        <w:t>SF</w:t>
      </w:r>
      <w:r w:rsidRPr="00A2171C">
        <w:rPr>
          <w:rFonts w:eastAsia="Times New Roman" w:cs="Times New Roman"/>
          <w:i/>
          <w:iCs/>
          <w:sz w:val="18"/>
          <w:szCs w:val="18"/>
          <w:vertAlign w:val="subscript"/>
          <w:lang w:val="en-GB"/>
        </w:rPr>
        <w:t>C</w:t>
      </w:r>
      <w:r w:rsidRPr="00A2171C">
        <w:rPr>
          <w:rFonts w:eastAsia="Times New Roman" w:cs="Times New Roman"/>
          <w:sz w:val="18"/>
          <w:szCs w:val="18"/>
          <w:lang w:val="en-GB"/>
        </w:rPr>
        <w:t xml:space="preserve"> = </w:t>
      </w:r>
      <m:oMath>
        <m:nary>
          <m:naryPr>
            <m:chr m:val="∑"/>
            <m:ctrlPr>
              <w:rPr>
                <w:rFonts w:ascii="Cambria Math" w:eastAsia="Cambria Math" w:hAnsi="Cambria Math" w:cs="Times New Roman"/>
                <w:sz w:val="18"/>
                <w:szCs w:val="18"/>
                <w:lang w:val="en-GB"/>
              </w:rPr>
            </m:ctrlPr>
          </m:naryPr>
          <m:sub>
            <m:r>
              <w:rPr>
                <w:rFonts w:ascii="Cambria Math" w:eastAsia="Cambria Math" w:hAnsi="Cambria Math" w:cs="Times New Roman"/>
                <w:sz w:val="18"/>
                <w:szCs w:val="18"/>
                <w:lang w:val="en-GB"/>
              </w:rPr>
              <m:t>i=1</m:t>
            </m:r>
          </m:sub>
          <m:sup>
            <m:r>
              <w:rPr>
                <w:rFonts w:ascii="Cambria Math" w:eastAsia="Cambria Math" w:hAnsi="Cambria Math" w:cs="Times New Roman"/>
                <w:sz w:val="18"/>
                <w:szCs w:val="18"/>
                <w:lang w:val="en-GB"/>
              </w:rPr>
              <m:t>3</m:t>
            </m:r>
          </m:sup>
          <m:e>
            <m:acc>
              <m:accPr>
                <m:ctrlPr>
                  <w:rPr>
                    <w:rFonts w:ascii="Cambria Math" w:eastAsia="Cambria Math" w:hAnsi="Cambria Math" w:cs="Times New Roman"/>
                    <w:i/>
                    <w:sz w:val="18"/>
                    <w:szCs w:val="18"/>
                    <w:lang w:val="en-GB"/>
                  </w:rPr>
                </m:ctrlPr>
              </m:accPr>
              <m:e>
                <m:sSub>
                  <m:sSubPr>
                    <m:ctrlPr>
                      <w:rPr>
                        <w:rFonts w:ascii="Cambria Math" w:eastAsia="Cambria Math" w:hAnsi="Cambria Math" w:cs="Times New Roman"/>
                        <w:i/>
                        <w:sz w:val="18"/>
                        <w:szCs w:val="18"/>
                        <w:lang w:val="en-GB"/>
                      </w:rPr>
                    </m:ctrlPr>
                  </m:sSubPr>
                  <m:e>
                    <m:r>
                      <w:rPr>
                        <w:rFonts w:ascii="Cambria Math" w:eastAsia="Cambria Math" w:hAnsi="Cambria Math" w:cs="Times New Roman"/>
                        <w:sz w:val="18"/>
                        <w:szCs w:val="18"/>
                        <w:lang w:val="en-GB"/>
                      </w:rPr>
                      <m:t>PF</m:t>
                    </m:r>
                  </m:e>
                  <m:sub>
                    <m:r>
                      <w:rPr>
                        <w:rFonts w:ascii="Cambria Math" w:eastAsia="Cambria Math" w:hAnsi="Cambria Math" w:cs="Times New Roman"/>
                        <w:sz w:val="18"/>
                        <w:szCs w:val="18"/>
                        <w:lang w:val="en-GB"/>
                      </w:rPr>
                      <m:t>C,i</m:t>
                    </m:r>
                  </m:sub>
                </m:sSub>
              </m:e>
            </m:acc>
          </m:e>
        </m:nary>
      </m:oMath>
      <w:r w:rsidRPr="00A2171C">
        <w:rPr>
          <w:rFonts w:eastAsia="Times New Roman" w:cs="Times New Roman"/>
          <w:szCs w:val="20"/>
          <w:lang w:val="en-GB"/>
        </w:rPr>
        <w:t xml:space="preserve">. </w:t>
      </w:r>
    </w:p>
    <w:p w14:paraId="5D22D5D5" w14:textId="4CFFF5FD" w:rsidR="00A46867" w:rsidRPr="00A2171C" w:rsidRDefault="00A46867" w:rsidP="00A46867">
      <w:pPr>
        <w:pStyle w:val="ListParagraph"/>
        <w:spacing w:before="240" w:after="0"/>
        <w:ind w:left="284"/>
        <w:rPr>
          <w:rFonts w:eastAsia="Times New Roman" w:cs="Times New Roman"/>
          <w:szCs w:val="20"/>
          <w:lang w:val="en-GB"/>
        </w:rPr>
      </w:pPr>
      <w:r w:rsidRPr="00A2171C">
        <w:rPr>
          <w:rFonts w:eastAsia="Times New Roman" w:cs="Times New Roman"/>
          <w:szCs w:val="20"/>
          <w:lang w:val="en-GB"/>
        </w:rPr>
        <w:t xml:space="preserve">The first partial factor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PF</m:t>
            </m:r>
          </m:e>
          <m:sub>
            <m:r>
              <w:rPr>
                <w:rFonts w:ascii="Cambria Math" w:eastAsia="Times New Roman" w:hAnsi="Cambria Math" w:cs="Times New Roman"/>
                <w:szCs w:val="20"/>
                <w:vertAlign w:val="subscript"/>
                <w:lang w:val="en-GB"/>
              </w:rPr>
              <m:t>C,1</m:t>
            </m:r>
          </m:sub>
        </m:sSub>
      </m:oMath>
      <w:r w:rsidRPr="00A2171C">
        <w:rPr>
          <w:rFonts w:eastAsia="Times New Roman" w:cs="Times New Roman"/>
          <w:szCs w:val="20"/>
          <w:vertAlign w:val="subscript"/>
          <w:lang w:val="en-GB"/>
        </w:rPr>
        <w:t xml:space="preserve"> </w:t>
      </w:r>
      <w:r w:rsidRPr="00A2171C">
        <w:rPr>
          <w:rFonts w:eastAsia="Times New Roman" w:cs="Times New Roman"/>
          <w:szCs w:val="20"/>
          <w:lang w:val="en-GB"/>
        </w:rPr>
        <w:t>is related to the external fire combat conditions (PF</w:t>
      </w:r>
      <w:r w:rsidRPr="00A2171C">
        <w:rPr>
          <w:rFonts w:eastAsia="Times New Roman" w:cs="Times New Roman"/>
          <w:szCs w:val="20"/>
          <w:vertAlign w:val="subscript"/>
          <w:lang w:val="en-GB"/>
        </w:rPr>
        <w:t>C1</w:t>
      </w:r>
      <w:r w:rsidRPr="00A2171C">
        <w:rPr>
          <w:rFonts w:eastAsia="Times New Roman" w:cs="Times New Roman"/>
          <w:szCs w:val="20"/>
          <w:lang w:val="en-GB"/>
        </w:rPr>
        <w:t xml:space="preserve">) depending on the </w:t>
      </w:r>
      <w:r w:rsidR="00D97A16" w:rsidRPr="00A2171C">
        <w:rPr>
          <w:rFonts w:eastAsia="Times New Roman" w:cs="Times New Roman"/>
          <w:szCs w:val="20"/>
          <w:lang w:val="en-GB"/>
        </w:rPr>
        <w:t>following</w:t>
      </w:r>
      <w:r w:rsidRPr="00A2171C">
        <w:rPr>
          <w:rFonts w:eastAsia="Times New Roman" w:cs="Times New Roman"/>
          <w:szCs w:val="20"/>
          <w:lang w:val="en-GB"/>
        </w:rPr>
        <w:t xml:space="preserve"> criteria: </w:t>
      </w:r>
    </w:p>
    <w:p w14:paraId="1C72234C" w14:textId="77777777" w:rsidR="00A46867" w:rsidRPr="00A2171C" w:rsidRDefault="00A46867" w:rsidP="00A46867">
      <w:pPr>
        <w:pStyle w:val="ListParagraph"/>
        <w:numPr>
          <w:ilvl w:val="0"/>
          <w:numId w:val="23"/>
        </w:numPr>
        <w:spacing w:after="0"/>
        <w:rPr>
          <w:rFonts w:eastAsia="Times New Roman" w:cs="Times New Roman"/>
          <w:szCs w:val="20"/>
          <w:lang w:val="en-GB"/>
        </w:rPr>
      </w:pPr>
      <w:r w:rsidRPr="00A2171C">
        <w:rPr>
          <w:rFonts w:eastAsia="Times New Roman" w:cs="Times New Roman"/>
          <w:szCs w:val="20"/>
          <w:lang w:val="en-GB"/>
        </w:rPr>
        <w:t>Accessibility of the building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C</m:t>
            </m:r>
          </m:e>
          <m:sub>
            <m:r>
              <w:rPr>
                <w:rFonts w:ascii="Cambria Math" w:eastAsia="Times New Roman" w:hAnsi="Cambria Math" w:cs="Times New Roman"/>
                <w:szCs w:val="20"/>
                <w:vertAlign w:val="subscript"/>
                <w:lang w:val="en-GB"/>
              </w:rPr>
              <m:t>1,1</m:t>
            </m:r>
          </m:sub>
        </m:sSub>
      </m:oMath>
      <w:r w:rsidRPr="00A2171C">
        <w:rPr>
          <w:rFonts w:eastAsia="Times New Roman" w:cs="Times New Roman"/>
          <w:szCs w:val="20"/>
          <w:lang w:val="en-GB"/>
        </w:rPr>
        <w:t>): This criterion considers the physical characteristics of the street used to access the building (width, clear height and slope).</w:t>
      </w:r>
    </w:p>
    <w:p w14:paraId="61C0E90F" w14:textId="46CFD2D6" w:rsidR="00A46867" w:rsidRPr="00A2171C" w:rsidRDefault="00A46867" w:rsidP="00A46867">
      <w:pPr>
        <w:pStyle w:val="ListParagraph"/>
        <w:numPr>
          <w:ilvl w:val="0"/>
          <w:numId w:val="22"/>
        </w:numPr>
        <w:pBdr>
          <w:top w:val="nil"/>
          <w:left w:val="nil"/>
          <w:bottom w:val="nil"/>
          <w:right w:val="nil"/>
          <w:between w:val="nil"/>
        </w:pBdr>
        <w:spacing w:after="0"/>
        <w:rPr>
          <w:rFonts w:eastAsia="Times New Roman" w:cs="Times New Roman"/>
          <w:szCs w:val="20"/>
          <w:lang w:val="en-GB"/>
        </w:rPr>
      </w:pPr>
      <w:r w:rsidRPr="00A2171C">
        <w:rPr>
          <w:rFonts w:eastAsia="Times New Roman" w:cs="Times New Roman"/>
          <w:szCs w:val="20"/>
          <w:lang w:val="en-GB"/>
        </w:rPr>
        <w:t>Hydrant maximum distance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C</m:t>
            </m:r>
          </m:e>
          <m:sub>
            <m:r>
              <w:rPr>
                <w:rFonts w:ascii="Cambria Math" w:eastAsia="Times New Roman" w:hAnsi="Cambria Math" w:cs="Times New Roman"/>
                <w:szCs w:val="20"/>
                <w:vertAlign w:val="subscript"/>
                <w:lang w:val="en-GB"/>
              </w:rPr>
              <m:t>1,2</m:t>
            </m:r>
          </m:sub>
        </m:sSub>
      </m:oMath>
      <w:r w:rsidRPr="00A2171C">
        <w:rPr>
          <w:rFonts w:eastAsia="Times New Roman" w:cs="Times New Roman"/>
          <w:szCs w:val="20"/>
          <w:lang w:val="en-GB"/>
        </w:rPr>
        <w:t xml:space="preserve">): In Chile, the hydrants are regulated by different legal and regulatory provisions, with regard to installation, technical and operating requirements—Regulation of the General Law of Sanitary Services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{"citationItems":[{"id":"ITEM-1","itemData":{"author":[{"dropping-particle":"","family":"Decree No. 1199","given":"","non-dropping-particle":"","parse-names":false,"suffix":""}],"id":"ITEM-1","issued":{"date-parts":[["2004"]]},"title":"APRUEBA EL REGLAMENTO DE LAS CONCESIONES SANITARIAS DE PRODUCCION Y DISTRIBUCION DE AGUA POTABLE Y DE RECOLECCION Y DISPOSICION DE AGUAS SERVIDAS Y DE LAS NORMAS SOBRE CALIDAD DE ATENCION A LOS USUARIOS DE ESTOS SERVICIOS. Ministerio de Obras Públicas","type":"article-journal"},"uris":["http://www.mendeley.com/documents/?uuid=6e247b3b-dcf9-4a79-8fe9-788aac5bd039"]}],"mendeley":{"formattedCitation":"(Decree No. 1199, 2004)","plainTextFormattedCitation":"(Decree No. 1199, 2004)","previouslyFormattedCitation":"(Decree No. 1199, 2004)"},"properties":{"noteIndex":0},"schema":"https://github.com/citation-style-language/schema/raw/master/csl-citation.json"}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(Decree No. 1199, 2004)</w:t>
      </w:r>
      <w:r w:rsidRPr="00A2171C">
        <w:rPr>
          <w:rFonts w:eastAsia="Times New Roman" w:cs="Times New Roman"/>
          <w:szCs w:val="20"/>
          <w:lang w:val="en-GB"/>
        </w:rPr>
        <w:fldChar w:fldCharType="end"/>
      </w:r>
      <w:r w:rsidRPr="00A2171C">
        <w:rPr>
          <w:rFonts w:eastAsia="Times New Roman" w:cs="Times New Roman"/>
          <w:szCs w:val="20"/>
          <w:lang w:val="en-GB"/>
        </w:rPr>
        <w:t xml:space="preserve"> and the General Ordinance of Urbanism and Construction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{"citationItems":[{"id":"ITEM-1","itemData":{"abstract":"Fija nuevo texto de la Ordenanza General de la Ley General de Urbanismo y Construcciones","author":[{"dropping-particle":"","family":"Decree No. 47","given":"","non-dropping-particle":"","parse-names":false,"suffix":""}],"id":"ITEM-1","issued":{"date-parts":[["1992"]]},"title":"del Ministerio de Vivienda y Urbanismo, que fija nuevo texto de la Ordenanza General de la Ley General de Urbanismo y Construcciones.","type":"article-journal"},"uris":["http://www.mendeley.com/documents/?uuid=58c34084-0c7e-4a83-a5d8-b96149a5719c"]}],"mendeley":{"formattedCitation":"(Decree No. 47, 1992)","plainTextFormattedCitation":"(Decree No. 47, 1992)","previouslyFormattedCitation":"(Decree No. 47, 1992)"},"properties":{"noteIndex":0},"schema":"https://github.com/citation-style-language/schema/raw/master/csl-citation.json"}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(Decree No. 47, 1992)</w:t>
      </w:r>
      <w:r w:rsidRPr="00A2171C">
        <w:rPr>
          <w:rFonts w:eastAsia="Times New Roman" w:cs="Times New Roman"/>
          <w:szCs w:val="20"/>
          <w:lang w:val="en-GB"/>
        </w:rPr>
        <w:fldChar w:fldCharType="end"/>
      </w:r>
      <w:r w:rsidRPr="00A2171C">
        <w:rPr>
          <w:rFonts w:eastAsia="Times New Roman" w:cs="Times New Roman"/>
          <w:szCs w:val="20"/>
          <w:lang w:val="en-GB"/>
        </w:rPr>
        <w:t xml:space="preserve">. The factor considers the distance between the nearest fire hydrant and the building and whether the building has a fire reel. The regulation on fire hydrants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{"citationItems":[{"id":"ITEM-1","itemData":{"author":[{"dropping-particle":"","family":"NCh1646.Of98","given":"","non-dropping-particle":"","parse-names":false,"suffix":""}],"container-title":"Instituto Nacional De Normalización","id":"ITEM-1","issued":{"date-parts":[["1998"]]},"title":"Grifos de incendio – Tipo de columna 100 mm diámetro nominal – Requisitos generales","type":"article-journal"},"uris":["http://www.mendeley.com/documents/?uuid=7410cdd9-03a5-43ed-9d80-6bb626f5968b"]}],"mendeley":{"formattedCitation":"(NCh1646.Of98, 1998)","manualFormatting":"(NCh1646.Of98)","plainTextFormattedCitation":"(NCh1646.Of98, 1998)","previouslyFormattedCitation":"(NCh1646.Of98, 1998)"},"properties":{"noteIndex":0},"schema":"https://github.com/citation-style-language/schema/raw/master/csl-citation.json"}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(NCh1646.Of98)</w:t>
      </w:r>
      <w:r w:rsidRPr="00A2171C">
        <w:rPr>
          <w:rFonts w:eastAsia="Times New Roman" w:cs="Times New Roman"/>
          <w:szCs w:val="20"/>
          <w:lang w:val="en-GB"/>
        </w:rPr>
        <w:fldChar w:fldCharType="end"/>
      </w:r>
      <w:r w:rsidRPr="00A2171C">
        <w:rPr>
          <w:rFonts w:eastAsia="Times New Roman" w:cs="Times New Roman"/>
          <w:szCs w:val="20"/>
          <w:lang w:val="en-GB"/>
        </w:rPr>
        <w:t xml:space="preserve"> </w:t>
      </w:r>
      <w:r w:rsidRPr="00A2171C">
        <w:rPr>
          <w:rFonts w:eastAsia="Gungsuh" w:cs="Times New Roman"/>
          <w:szCs w:val="20"/>
          <w:lang w:val="en-GB"/>
        </w:rPr>
        <w:t xml:space="preserve"> recommends a distance between hydrant and the farthest building (maximum distance) as measured through streets and passages  depending on building typologies. For isolated or attached buildings (with less than </w:t>
      </w:r>
      <w:r w:rsidR="00E57AA6" w:rsidRPr="00A2171C">
        <w:rPr>
          <w:rFonts w:eastAsia="Gungsuh" w:cs="Times New Roman"/>
          <w:szCs w:val="20"/>
          <w:lang w:val="en-GB"/>
        </w:rPr>
        <w:t>2</w:t>
      </w:r>
      <w:r w:rsidRPr="00A2171C">
        <w:rPr>
          <w:rFonts w:eastAsia="Gungsuh" w:cs="Times New Roman"/>
          <w:szCs w:val="20"/>
          <w:lang w:val="en-GB"/>
        </w:rPr>
        <w:t xml:space="preserve"> SUs), the maximum distance is 150 m; for attached buildings of 3 to 50 SUs (houses, offices, commercial premises, etc.) the maximum distance is 100m; while for continuous buildings with more than 50 SUs the maximum distance is 50m. In FRI analysis, the value of the External Fire Hydrant parameter is equal to 1.00 if the standard requirements are satisfied, while equal to 1.5 when it does not.</w:t>
      </w:r>
    </w:p>
    <w:p w14:paraId="604C8312" w14:textId="04AE6760" w:rsidR="00BA2612" w:rsidRPr="00A2171C" w:rsidRDefault="00A46867" w:rsidP="00BA2612">
      <w:pPr>
        <w:pStyle w:val="ListParagraph"/>
        <w:numPr>
          <w:ilvl w:val="0"/>
          <w:numId w:val="22"/>
        </w:numPr>
        <w:spacing w:before="240" w:after="0"/>
        <w:rPr>
          <w:rFonts w:eastAsia="Times New Roman" w:cs="Times New Roman"/>
          <w:szCs w:val="20"/>
          <w:lang w:val="en-GB"/>
        </w:rPr>
      </w:pPr>
      <w:r w:rsidRPr="00A2171C">
        <w:rPr>
          <w:rFonts w:eastAsia="Times New Roman" w:cs="Times New Roman"/>
          <w:szCs w:val="20"/>
          <w:lang w:val="en-GB"/>
        </w:rPr>
        <w:t>Reliability of the existing hydraulic network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C</m:t>
            </m:r>
          </m:e>
          <m:sub>
            <m:r>
              <w:rPr>
                <w:rFonts w:ascii="Cambria Math" w:eastAsia="Times New Roman" w:hAnsi="Cambria Math" w:cs="Times New Roman"/>
                <w:szCs w:val="20"/>
                <w:vertAlign w:val="subscript"/>
                <w:lang w:val="en-GB"/>
              </w:rPr>
              <m:t>1,3</m:t>
            </m:r>
          </m:sub>
        </m:sSub>
      </m:oMath>
      <w:r w:rsidRPr="00A2171C">
        <w:rPr>
          <w:rFonts w:eastAsia="Times New Roman" w:cs="Times New Roman"/>
          <w:szCs w:val="20"/>
          <w:lang w:val="en-GB"/>
        </w:rPr>
        <w:t xml:space="preserve">):  In addition to the maximum hydrant distance, the main requirements considered for hydrant effectiveness are fire volume and static pressure, which are </w:t>
      </w:r>
      <w:r w:rsidR="00BA2612" w:rsidRPr="00A2171C">
        <w:rPr>
          <w:rFonts w:eastAsia="Times New Roman" w:cs="Times New Roman"/>
          <w:szCs w:val="20"/>
          <w:lang w:val="en-GB"/>
        </w:rPr>
        <w:t>computed as follows</w:t>
      </w:r>
      <w:r w:rsidRPr="00A2171C">
        <w:rPr>
          <w:rFonts w:eastAsia="Times New Roman" w:cs="Times New Roman"/>
          <w:szCs w:val="20"/>
          <w:lang w:val="en-GB"/>
        </w:rPr>
        <w:t>:</w:t>
      </w:r>
    </w:p>
    <w:p w14:paraId="67653B06" w14:textId="57FF8F4F" w:rsidR="00A46867" w:rsidRPr="00A2171C" w:rsidRDefault="00A46867" w:rsidP="00A46867">
      <w:pPr>
        <w:pBdr>
          <w:top w:val="nil"/>
          <w:left w:val="nil"/>
          <w:bottom w:val="nil"/>
          <w:right w:val="nil"/>
          <w:between w:val="nil"/>
        </w:pBdr>
        <w:spacing w:after="0"/>
        <w:ind w:left="709"/>
        <w:rPr>
          <w:rFonts w:eastAsia="Times New Roman" w:cs="Times New Roman"/>
          <w:szCs w:val="20"/>
          <w:lang w:val="en-GB"/>
        </w:rPr>
      </w:pPr>
      <w:r w:rsidRPr="00A2171C">
        <w:rPr>
          <w:rFonts w:eastAsia="Times New Roman" w:cs="Times New Roman"/>
          <w:i/>
          <w:iCs/>
          <w:szCs w:val="20"/>
          <w:lang w:val="en-GB"/>
        </w:rPr>
        <w:t>(i) Fire volume</w:t>
      </w:r>
      <w:r w:rsidRPr="00A2171C">
        <w:rPr>
          <w:rFonts w:eastAsia="Times New Roman" w:cs="Times New Roman"/>
          <w:szCs w:val="20"/>
          <w:lang w:val="en-GB"/>
        </w:rPr>
        <w:t>. The minimum value of water volume supply for hydrant operation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V</m:t>
            </m:r>
            <m:r>
              <w:rPr>
                <w:rFonts w:ascii="Cambria Math" w:eastAsia="Times New Roman" w:hAnsi="Cambria Math" w:cs="Times New Roman"/>
                <w:szCs w:val="20"/>
                <w:vertAlign w:val="subscript"/>
                <w:lang w:val="en-GB"/>
              </w:rPr>
              <m:t>p</m:t>
            </m:r>
          </m:e>
          <m:sub>
            <m:r>
              <w:rPr>
                <w:rFonts w:ascii="Cambria Math" w:eastAsia="Times New Roman" w:hAnsi="Cambria Math" w:cs="Times New Roman"/>
                <w:szCs w:val="20"/>
                <w:lang w:val="en-GB"/>
              </w:rPr>
              <m:t>min</m:t>
            </m:r>
          </m:sub>
        </m:sSub>
      </m:oMath>
      <w:r w:rsidRPr="00A2171C">
        <w:rPr>
          <w:rFonts w:eastAsia="Times New Roman" w:cs="Times New Roman"/>
          <w:szCs w:val="20"/>
          <w:lang w:val="en-GB"/>
        </w:rPr>
        <w:t>), regulated by Chilean standard</w:t>
      </w:r>
      <w:r w:rsidR="00BA2612" w:rsidRPr="00A2171C">
        <w:rPr>
          <w:rFonts w:eastAsia="Times New Roman" w:cs="Times New Roman"/>
          <w:szCs w:val="20"/>
          <w:lang w:val="en-GB"/>
        </w:rPr>
        <w:t>s</w:t>
      </w:r>
      <w:r w:rsidRPr="00A2171C">
        <w:rPr>
          <w:rFonts w:eastAsia="Times New Roman" w:cs="Times New Roman"/>
          <w:szCs w:val="20"/>
          <w:lang w:val="en-GB"/>
        </w:rPr>
        <w:t xml:space="preserve">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{"citationItems":[{"id":"ITEM-1","itemData":{"author":[{"dropping-particle":"","family":"NCh1646.Of98","given":"","non-dropping-particle":"","parse-names":false,"suffix":""}],"container-title":"Instituto Nacional De Normalización","id":"ITEM-1","issued":{"date-parts":[["1998"]]},"title":"Grifos de incendio – Tipo de columna 100 mm diámetro nominal – Requisitos generales","type":"article-journal"},"uris":["http://www.mendeley.com/documents/?uuid=7410cdd9-03a5-43ed-9d80-6bb626f5968b"]},{"id":"ITEM-2","itemData":{"author":[{"dropping-particle":"","family":"NCh691.Of98","given":"","non-dropping-particle":"","parse-names":false,"suffix":""}],"container-title":"Instituto Nacional De Normalización","id":"ITEM-2","issued":{"date-parts":[["1998"]]},"title":"Agua potable - Conducción, regulación y distribución","type":"article-journal"},"uris":["http://www.mendeley.com/documents/?uuid=48147feb-7705-43a2-857d-a3b83aaa81be"]}],"mendeley":{"formattedCitation":"(NCh1646.Of98, 1998; NCh691.Of98, 1998)","manualFormatting":"(NCh1646.Of98; NCh691.Of98)","plainTextFormattedCitation":"(NCh1646.Of98, 1998; NCh691.Of98, 1998)","previouslyFormattedCitation":"(NCh1646.Of98, 1998; NCh691.Of98, 1998)"},"properties":{"noteIndex":0},"schema":"https://github.com/citation-style-language/schema/raw/master/csl-citation.json"}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(NCh1646.Of98; NCh691.Of98)</w:t>
      </w:r>
      <w:r w:rsidRPr="00A2171C">
        <w:rPr>
          <w:rFonts w:eastAsia="Times New Roman" w:cs="Times New Roman"/>
          <w:szCs w:val="20"/>
          <w:lang w:val="en-GB"/>
        </w:rPr>
        <w:fldChar w:fldCharType="end"/>
      </w:r>
      <w:r w:rsidRPr="00A2171C">
        <w:rPr>
          <w:rFonts w:eastAsia="Times New Roman" w:cs="Times New Roman"/>
          <w:szCs w:val="20"/>
          <w:lang w:val="en-GB"/>
        </w:rPr>
        <w:t xml:space="preserve">  is:</w:t>
      </w:r>
    </w:p>
    <w:p w14:paraId="31964580" w14:textId="1A88522B" w:rsidR="00A46867" w:rsidRPr="00A2171C" w:rsidRDefault="00000000" w:rsidP="00A46867">
      <w:pPr>
        <w:pBdr>
          <w:top w:val="nil"/>
          <w:left w:val="nil"/>
          <w:bottom w:val="nil"/>
          <w:right w:val="nil"/>
          <w:between w:val="nil"/>
        </w:pBdr>
        <w:spacing w:after="0"/>
        <w:ind w:left="709"/>
        <w:jc w:val="center"/>
        <w:rPr>
          <w:rFonts w:eastAsia="Times New Roman" w:cs="Times New Roman"/>
          <w:szCs w:val="20"/>
          <w:lang w:val="en-GB"/>
        </w:rPr>
      </w:pPr>
      <m:oMathPara>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V</m:t>
              </m:r>
              <m:r>
                <w:rPr>
                  <w:rFonts w:ascii="Cambria Math" w:eastAsia="Times New Roman" w:hAnsi="Cambria Math" w:cs="Times New Roman"/>
                  <w:szCs w:val="20"/>
                  <w:vertAlign w:val="subscript"/>
                  <w:lang w:val="en-GB"/>
                </w:rPr>
                <m:t>p</m:t>
              </m:r>
            </m:e>
            <m:sub>
              <m:r>
                <w:rPr>
                  <w:rFonts w:ascii="Cambria Math" w:eastAsia="Times New Roman" w:hAnsi="Cambria Math" w:cs="Times New Roman"/>
                  <w:szCs w:val="20"/>
                  <w:lang w:val="en-GB"/>
                </w:rPr>
                <m:t>min</m:t>
              </m:r>
            </m:sub>
          </m:sSub>
          <m:r>
            <w:rPr>
              <w:rFonts w:ascii="Cambria Math" w:eastAsia="Times New Roman" w:hAnsi="Cambria Math" w:cs="Times New Roman"/>
              <w:szCs w:val="20"/>
              <w:lang w:val="en-GB"/>
            </w:rPr>
            <m:t xml:space="preserve"> = max {V</m:t>
          </m:r>
          <m:r>
            <w:rPr>
              <w:rFonts w:ascii="Cambria Math" w:eastAsia="Times New Roman" w:hAnsi="Cambria Math" w:cs="Times New Roman"/>
              <w:szCs w:val="20"/>
              <w:vertAlign w:val="subscript"/>
              <w:lang w:val="en-GB"/>
            </w:rPr>
            <m:t>re</m:t>
          </m:r>
          <m:r>
            <w:rPr>
              <w:rFonts w:ascii="Cambria Math" w:eastAsia="Times New Roman" w:hAnsi="Cambria Math" w:cs="Times New Roman"/>
              <w:szCs w:val="20"/>
              <w:lang w:val="en-GB"/>
            </w:rPr>
            <m:t>+V</m:t>
          </m:r>
          <m:r>
            <w:rPr>
              <w:rFonts w:ascii="Cambria Math" w:eastAsia="Times New Roman" w:hAnsi="Cambria Math" w:cs="Times New Roman"/>
              <w:szCs w:val="20"/>
              <w:vertAlign w:val="subscript"/>
              <w:lang w:val="en-GB"/>
            </w:rPr>
            <m:t>f</m:t>
          </m:r>
          <m:r>
            <w:rPr>
              <w:rFonts w:ascii="Cambria Math" w:eastAsia="Times New Roman" w:hAnsi="Cambria Math" w:cs="Times New Roman"/>
              <w:szCs w:val="20"/>
              <w:lang w:val="en-GB"/>
            </w:rPr>
            <m:t>; V</m:t>
          </m:r>
          <m:r>
            <w:rPr>
              <w:rFonts w:ascii="Cambria Math" w:eastAsia="Times New Roman" w:hAnsi="Cambria Math" w:cs="Times New Roman"/>
              <w:szCs w:val="20"/>
              <w:vertAlign w:val="subscript"/>
              <w:lang w:val="en-GB"/>
            </w:rPr>
            <m:t>re</m:t>
          </m:r>
          <m:r>
            <w:rPr>
              <w:rFonts w:ascii="Cambria Math" w:eastAsia="Times New Roman" w:hAnsi="Cambria Math" w:cs="Times New Roman"/>
              <w:szCs w:val="20"/>
              <w:lang w:val="en-GB"/>
            </w:rPr>
            <m:t>+V</m:t>
          </m:r>
          <m:r>
            <w:rPr>
              <w:rFonts w:ascii="Cambria Math" w:eastAsia="Times New Roman" w:hAnsi="Cambria Math" w:cs="Times New Roman"/>
              <w:szCs w:val="20"/>
              <w:vertAlign w:val="subscript"/>
              <w:lang w:val="en-GB"/>
            </w:rPr>
            <m:t>ri</m:t>
          </m:r>
          <m:r>
            <w:rPr>
              <w:rFonts w:ascii="Cambria Math" w:eastAsia="Times New Roman" w:hAnsi="Cambria Math" w:cs="Times New Roman"/>
              <w:szCs w:val="20"/>
              <w:lang w:val="en-GB"/>
            </w:rPr>
            <m:t>}</m:t>
          </m:r>
        </m:oMath>
      </m:oMathPara>
    </w:p>
    <w:p w14:paraId="6CF4FDB0" w14:textId="3776D489" w:rsidR="00A46867" w:rsidRPr="00A2171C" w:rsidRDefault="00BA2612" w:rsidP="00A46867">
      <w:pPr>
        <w:pBdr>
          <w:top w:val="nil"/>
          <w:left w:val="nil"/>
          <w:bottom w:val="nil"/>
          <w:right w:val="nil"/>
          <w:between w:val="nil"/>
        </w:pBdr>
        <w:spacing w:after="0"/>
        <w:ind w:left="709"/>
        <w:rPr>
          <w:rFonts w:eastAsia="Times New Roman" w:cs="Times New Roman"/>
          <w:szCs w:val="20"/>
          <w:lang w:val="en-GB"/>
        </w:rPr>
      </w:pPr>
      <w:r w:rsidRPr="00A2171C">
        <w:rPr>
          <w:rFonts w:eastAsia="Times New Roman" w:cs="Times New Roman"/>
          <w:szCs w:val="20"/>
          <w:lang w:val="en-GB"/>
        </w:rPr>
        <w:t>w</w:t>
      </w:r>
      <w:r w:rsidR="00A46867" w:rsidRPr="00A2171C">
        <w:rPr>
          <w:rFonts w:eastAsia="Times New Roman" w:cs="Times New Roman"/>
          <w:szCs w:val="20"/>
          <w:lang w:val="en-GB"/>
        </w:rPr>
        <w:t xml:space="preserve">here </w:t>
      </w:r>
      <m:oMath>
        <m:r>
          <w:rPr>
            <w:rFonts w:ascii="Cambria Math" w:eastAsia="Times New Roman" w:hAnsi="Cambria Math" w:cs="Times New Roman"/>
            <w:szCs w:val="20"/>
            <w:lang w:val="en-GB"/>
          </w:rPr>
          <m:t>V</m:t>
        </m:r>
        <m:r>
          <w:rPr>
            <w:rFonts w:ascii="Cambria Math" w:eastAsia="Times New Roman" w:hAnsi="Cambria Math" w:cs="Times New Roman"/>
            <w:szCs w:val="20"/>
            <w:vertAlign w:val="subscript"/>
            <w:lang w:val="en-GB"/>
          </w:rPr>
          <m:t>re</m:t>
        </m:r>
      </m:oMath>
      <w:r w:rsidR="00A46867" w:rsidRPr="00A2171C">
        <w:rPr>
          <w:rFonts w:eastAsia="Times New Roman" w:cs="Times New Roman"/>
          <w:szCs w:val="20"/>
          <w:lang w:val="en-GB"/>
        </w:rPr>
        <w:t xml:space="preserve"> is the regulation volume, equal to a minimum of 5% </w:t>
      </w:r>
      <w:r w:rsidRPr="00A2171C">
        <w:rPr>
          <w:rFonts w:eastAsia="Times New Roman" w:cs="Times New Roman"/>
          <w:szCs w:val="20"/>
          <w:lang w:val="en-GB"/>
        </w:rPr>
        <w:t xml:space="preserve">of the </w:t>
      </w:r>
      <w:r w:rsidR="00A46867" w:rsidRPr="00A2171C">
        <w:rPr>
          <w:rFonts w:eastAsia="Times New Roman" w:cs="Times New Roman"/>
          <w:szCs w:val="20"/>
          <w:lang w:val="en-GB"/>
        </w:rPr>
        <w:t xml:space="preserve">maximum daily volume; </w:t>
      </w:r>
      <m:oMath>
        <m:r>
          <w:rPr>
            <w:rFonts w:ascii="Cambria Math" w:eastAsia="Times New Roman" w:hAnsi="Cambria Math" w:cs="Times New Roman"/>
            <w:szCs w:val="20"/>
            <w:lang w:val="en-GB"/>
          </w:rPr>
          <m:t>V</m:t>
        </m:r>
        <m:r>
          <w:rPr>
            <w:rFonts w:ascii="Cambria Math" w:eastAsia="Times New Roman" w:hAnsi="Cambria Math" w:cs="Times New Roman"/>
            <w:szCs w:val="20"/>
            <w:vertAlign w:val="subscript"/>
            <w:lang w:val="en-GB"/>
          </w:rPr>
          <m:t>f</m:t>
        </m:r>
      </m:oMath>
      <w:r w:rsidR="00A46867" w:rsidRPr="00A2171C">
        <w:rPr>
          <w:rFonts w:eastAsia="Times New Roman" w:cs="Times New Roman"/>
          <w:szCs w:val="20"/>
          <w:lang w:val="en-GB"/>
        </w:rPr>
        <w:t xml:space="preserve"> is the fire volume, determined by the </w:t>
      </w:r>
      <w:r w:rsidRPr="00A2171C">
        <w:rPr>
          <w:rFonts w:eastAsia="Times New Roman" w:cs="Times New Roman"/>
          <w:szCs w:val="20"/>
          <w:lang w:val="en-GB"/>
        </w:rPr>
        <w:t xml:space="preserve">water </w:t>
      </w:r>
      <w:r w:rsidR="00A46867" w:rsidRPr="00A2171C">
        <w:rPr>
          <w:rFonts w:eastAsia="Times New Roman" w:cs="Times New Roman"/>
          <w:szCs w:val="20"/>
          <w:lang w:val="en-GB"/>
        </w:rPr>
        <w:t xml:space="preserve">flow rate of the hydrants in use </w:t>
      </w:r>
      <w:r w:rsidRPr="00A2171C">
        <w:rPr>
          <w:rFonts w:eastAsia="Times New Roman" w:cs="Times New Roman"/>
          <w:szCs w:val="20"/>
          <w:lang w:val="en-GB"/>
        </w:rPr>
        <w:t>times</w:t>
      </w:r>
      <w:r w:rsidR="00A46867" w:rsidRPr="00A2171C">
        <w:rPr>
          <w:rFonts w:eastAsia="Times New Roman" w:cs="Times New Roman"/>
          <w:szCs w:val="20"/>
          <w:lang w:val="en-GB"/>
        </w:rPr>
        <w:t xml:space="preserve"> the duration of the incident</w:t>
      </w:r>
      <w:r w:rsidRPr="00A2171C">
        <w:rPr>
          <w:rFonts w:eastAsia="Times New Roman" w:cs="Times New Roman"/>
          <w:szCs w:val="20"/>
          <w:lang w:val="en-GB"/>
        </w:rPr>
        <w:t xml:space="preserve"> and</w:t>
      </w:r>
      <w:r w:rsidR="00A46867" w:rsidRPr="00A2171C">
        <w:rPr>
          <w:rFonts w:eastAsia="Times New Roman" w:cs="Times New Roman"/>
          <w:szCs w:val="20"/>
          <w:lang w:val="en-GB"/>
        </w:rPr>
        <w:t xml:space="preserve"> </w:t>
      </w:r>
      <w:r w:rsidRPr="00A2171C">
        <w:rPr>
          <w:rFonts w:eastAsia="Times New Roman" w:cs="Times New Roman"/>
          <w:szCs w:val="20"/>
          <w:lang w:val="en-GB"/>
        </w:rPr>
        <w:t>a minimum</w:t>
      </w:r>
      <w:r w:rsidR="00A46867" w:rsidRPr="00A2171C">
        <w:rPr>
          <w:rFonts w:eastAsia="Times New Roman" w:cs="Times New Roman"/>
          <w:szCs w:val="20"/>
          <w:lang w:val="en-GB"/>
        </w:rPr>
        <w:t xml:space="preserve"> 2 hour incident should be considered (with a flow of 16 L/s </w:t>
      </w:r>
      <w:r w:rsidRPr="00A2171C">
        <w:rPr>
          <w:rFonts w:eastAsia="Times New Roman" w:cs="Times New Roman"/>
          <w:szCs w:val="20"/>
          <w:lang w:val="en-GB"/>
        </w:rPr>
        <w:t>for</w:t>
      </w:r>
      <w:r w:rsidR="00A46867" w:rsidRPr="00A2171C">
        <w:rPr>
          <w:rFonts w:eastAsia="Times New Roman" w:cs="Times New Roman"/>
          <w:szCs w:val="20"/>
          <w:lang w:val="en-GB"/>
        </w:rPr>
        <w:t xml:space="preserve"> each 100mm diameter hydrant,  equal </w:t>
      </w:r>
      <w:r w:rsidRPr="00A2171C">
        <w:rPr>
          <w:rFonts w:eastAsia="Times New Roman" w:cs="Times New Roman"/>
          <w:szCs w:val="20"/>
          <w:lang w:val="en-GB"/>
        </w:rPr>
        <w:t xml:space="preserve">to </w:t>
      </w:r>
      <w:r w:rsidR="00A46867" w:rsidRPr="00A2171C">
        <w:rPr>
          <w:rFonts w:eastAsia="Times New Roman" w:cs="Times New Roman"/>
          <w:szCs w:val="20"/>
          <w:lang w:val="en-GB"/>
        </w:rPr>
        <w:t xml:space="preserve">259 GPM minute, a unit of measurement used by Chilean firefighters; and </w:t>
      </w:r>
      <w:r w:rsidR="005C1ABE" w:rsidRPr="00A2171C">
        <w:rPr>
          <w:rFonts w:eastAsia="Times New Roman" w:cs="Times New Roman"/>
          <w:szCs w:val="20"/>
          <w:lang w:val="en-GB"/>
        </w:rPr>
        <w:t xml:space="preserve">the number </w:t>
      </w:r>
      <w:r w:rsidR="00474918" w:rsidRPr="00A2171C">
        <w:rPr>
          <w:rFonts w:eastAsia="Times New Roman" w:cs="Times New Roman"/>
          <w:szCs w:val="20"/>
          <w:lang w:val="en-GB"/>
        </w:rPr>
        <w:t>of</w:t>
      </w:r>
      <w:r w:rsidR="007C641F" w:rsidRPr="00A2171C">
        <w:rPr>
          <w:rFonts w:eastAsia="Times New Roman" w:cs="Times New Roman"/>
          <w:szCs w:val="20"/>
          <w:lang w:val="en-GB"/>
        </w:rPr>
        <w:t xml:space="preserve"> hydrants in simultaneous use indicated in the</w:t>
      </w:r>
      <w:r w:rsidR="0077391B" w:rsidRPr="00A2171C">
        <w:rPr>
          <w:rFonts w:eastAsia="Times New Roman" w:cs="Times New Roman"/>
          <w:szCs w:val="20"/>
          <w:lang w:val="en-GB"/>
        </w:rPr>
        <w:t xml:space="preserve"> </w:t>
      </w:r>
      <w:r w:rsidR="0077391B" w:rsidRPr="00A2171C">
        <w:rPr>
          <w:rFonts w:eastAsia="Times New Roman" w:cs="Times New Roman"/>
          <w:szCs w:val="20"/>
          <w:lang w:val="en-GB"/>
        </w:rPr>
        <w:fldChar w:fldCharType="begin"/>
      </w:r>
      <w:r w:rsidR="0077391B" w:rsidRPr="00A2171C">
        <w:rPr>
          <w:rFonts w:eastAsia="Times New Roman" w:cs="Times New Roman"/>
          <w:szCs w:val="20"/>
          <w:lang w:val="en-GB"/>
        </w:rPr>
        <w:instrText xml:space="preserve"> REF _Ref121159126 \h </w:instrText>
      </w:r>
      <w:r w:rsidR="0077391B" w:rsidRPr="00A2171C">
        <w:rPr>
          <w:rFonts w:eastAsia="Times New Roman" w:cs="Times New Roman"/>
          <w:szCs w:val="20"/>
          <w:lang w:val="en-GB"/>
        </w:rPr>
      </w:r>
      <w:r w:rsidR="0077391B" w:rsidRPr="00A2171C">
        <w:rPr>
          <w:rFonts w:eastAsia="Times New Roman" w:cs="Times New Roman"/>
          <w:szCs w:val="20"/>
          <w:lang w:val="en-GB"/>
        </w:rPr>
        <w:fldChar w:fldCharType="separate"/>
      </w:r>
      <w:r w:rsidR="00C20049" w:rsidRPr="00A2171C">
        <w:rPr>
          <w:lang w:val="en-US"/>
        </w:rPr>
        <w:t xml:space="preserve">Table </w:t>
      </w:r>
      <w:r w:rsidR="00C20049" w:rsidRPr="00A2171C">
        <w:rPr>
          <w:noProof/>
          <w:lang w:val="en-US"/>
        </w:rPr>
        <w:t>3</w:t>
      </w:r>
      <w:r w:rsidR="0077391B" w:rsidRPr="00A2171C">
        <w:rPr>
          <w:rFonts w:eastAsia="Times New Roman" w:cs="Times New Roman"/>
          <w:szCs w:val="20"/>
          <w:lang w:val="en-GB"/>
        </w:rPr>
        <w:fldChar w:fldCharType="end"/>
      </w:r>
      <w:r w:rsidR="0077391B" w:rsidRPr="00A2171C">
        <w:rPr>
          <w:rFonts w:eastAsia="Times New Roman" w:cs="Times New Roman"/>
          <w:szCs w:val="20"/>
          <w:lang w:val="en-GB"/>
        </w:rPr>
        <w:t>)</w:t>
      </w:r>
      <w:r w:rsidR="00B675A0" w:rsidRPr="00A2171C">
        <w:rPr>
          <w:rFonts w:eastAsia="Times New Roman" w:cs="Times New Roman"/>
          <w:szCs w:val="20"/>
          <w:lang w:val="en-GB"/>
        </w:rPr>
        <w:t>; and</w:t>
      </w:r>
      <w:r w:rsidR="007C641F" w:rsidRPr="00A2171C">
        <w:rPr>
          <w:rFonts w:eastAsia="Times New Roman" w:cs="Times New Roman"/>
          <w:szCs w:val="20"/>
          <w:lang w:val="en-GB"/>
        </w:rPr>
        <w:t xml:space="preserve"> </w:t>
      </w:r>
      <m:oMath>
        <m:r>
          <w:rPr>
            <w:rFonts w:ascii="Cambria Math" w:eastAsia="Times New Roman" w:hAnsi="Cambria Math" w:cs="Times New Roman"/>
            <w:szCs w:val="20"/>
            <w:lang w:val="en-GB"/>
          </w:rPr>
          <m:t>V</m:t>
        </m:r>
        <m:r>
          <w:rPr>
            <w:rFonts w:ascii="Cambria Math" w:eastAsia="Times New Roman" w:hAnsi="Cambria Math" w:cs="Times New Roman"/>
            <w:szCs w:val="20"/>
            <w:vertAlign w:val="subscript"/>
            <w:lang w:val="en-GB"/>
          </w:rPr>
          <m:t>ri</m:t>
        </m:r>
      </m:oMath>
      <w:r w:rsidR="00A46867" w:rsidRPr="00A2171C">
        <w:rPr>
          <w:rFonts w:eastAsia="Times New Roman" w:cs="Times New Roman"/>
          <w:szCs w:val="20"/>
          <w:lang w:val="en-GB"/>
        </w:rPr>
        <w:t xml:space="preserve"> is the reserve volume (equal to 2 hours of the </w:t>
      </w:r>
      <w:r w:rsidRPr="00A2171C">
        <w:rPr>
          <w:rFonts w:eastAsia="Times New Roman" w:cs="Times New Roman"/>
          <w:szCs w:val="20"/>
          <w:lang w:val="en-GB"/>
        </w:rPr>
        <w:t xml:space="preserve">daily </w:t>
      </w:r>
      <w:r w:rsidR="00A46867" w:rsidRPr="00A2171C">
        <w:rPr>
          <w:rFonts w:eastAsia="Times New Roman" w:cs="Times New Roman"/>
          <w:szCs w:val="20"/>
          <w:lang w:val="en-GB"/>
        </w:rPr>
        <w:t>flow of maximum consumption foreseen for towns with up to 200,000 inhabitants supplied, and 4 hours for more than 200,000 inhabitants).</w:t>
      </w:r>
    </w:p>
    <w:p w14:paraId="66333928" w14:textId="1C3716BF" w:rsidR="00F76C61" w:rsidRPr="00A2171C" w:rsidRDefault="00F76C61" w:rsidP="006C1055">
      <w:pPr>
        <w:pStyle w:val="Caption"/>
        <w:jc w:val="center"/>
        <w:rPr>
          <w:color w:val="auto"/>
          <w:lang w:val="en-US"/>
        </w:rPr>
      </w:pPr>
      <w:bookmarkStart w:id="19" w:name="_Ref121159126"/>
      <w:r w:rsidRPr="00A2171C">
        <w:rPr>
          <w:color w:val="auto"/>
          <w:lang w:val="en-US"/>
        </w:rPr>
        <w:t xml:space="preserve">Table </w:t>
      </w:r>
      <w:r w:rsidRPr="00A2171C">
        <w:rPr>
          <w:color w:val="auto"/>
        </w:rPr>
        <w:fldChar w:fldCharType="begin"/>
      </w:r>
      <w:r w:rsidRPr="00A2171C">
        <w:rPr>
          <w:color w:val="auto"/>
          <w:lang w:val="en-US"/>
        </w:rPr>
        <w:instrText xml:space="preserve"> SEQ Table \* ARABIC </w:instrText>
      </w:r>
      <w:r w:rsidRPr="00A2171C">
        <w:rPr>
          <w:color w:val="auto"/>
        </w:rPr>
        <w:fldChar w:fldCharType="separate"/>
      </w:r>
      <w:r w:rsidR="00C20049" w:rsidRPr="00A2171C">
        <w:rPr>
          <w:noProof/>
          <w:color w:val="auto"/>
          <w:lang w:val="en-US"/>
        </w:rPr>
        <w:t>3</w:t>
      </w:r>
      <w:r w:rsidRPr="00A2171C">
        <w:rPr>
          <w:color w:val="auto"/>
        </w:rPr>
        <w:fldChar w:fldCharType="end"/>
      </w:r>
      <w:bookmarkEnd w:id="19"/>
      <w:r w:rsidRPr="00A2171C">
        <w:rPr>
          <w:color w:val="auto"/>
          <w:lang w:val="en-US"/>
        </w:rPr>
        <w:t xml:space="preserve">: Number of fire taps in simultaneous use. </w:t>
      </w:r>
      <w:r w:rsidRPr="00A2171C">
        <w:rPr>
          <w:color w:val="auto"/>
        </w:rPr>
        <w:t xml:space="preserve">Source: </w:t>
      </w:r>
      <w:r w:rsidRPr="00A2171C">
        <w:rPr>
          <w:color w:val="auto"/>
        </w:rPr>
        <w:fldChar w:fldCharType="begin" w:fldLock="1"/>
      </w:r>
      <w:r w:rsidRPr="00A2171C">
        <w:rPr>
          <w:color w:val="auto"/>
        </w:rPr>
        <w:instrText>ADDIN CSL_CITATION {"citationItems":[{"id":"ITEM-1","itemData":{"author":[{"dropping-particle":"","family":"NCh691.Of98","given":"","non-dropping-particle":"","parse-names":false,"suffix":""}],"container-title":"Instituto Nacional De Normalización","id":"ITEM-1","issued":{"date-parts":[["1998"]]},"title":"Agua potable - Conducción, regulación y distribución","type":"article-journal"},"uris":["http://www.mendeley.com/documents/?uuid=48147feb-7705-43a2-857d-a3b83aaa81be"]}],"mendeley":{"formattedCitation":"(NCh691.Of98, 1998)","plainTextFormattedCitation":"(NCh691.Of98, 1998)","previouslyFormattedCitation":"(NCh691.Of98, 1998)"},"properties":{"noteIndex":0},"schema":"https://github.com/citation-style-language/schema/raw/master/csl-citation.json"}</w:instrText>
      </w:r>
      <w:r w:rsidRPr="00A2171C">
        <w:rPr>
          <w:color w:val="auto"/>
        </w:rPr>
        <w:fldChar w:fldCharType="separate"/>
      </w:r>
      <w:r w:rsidRPr="00A2171C">
        <w:rPr>
          <w:color w:val="auto"/>
        </w:rPr>
        <w:t>(NCh691.Of98, 1998)</w:t>
      </w:r>
      <w:r w:rsidRPr="00A2171C">
        <w:rPr>
          <w:color w:val="auto"/>
        </w:rPr>
        <w:fldChar w:fldCharType="end"/>
      </w:r>
    </w:p>
    <w:tbl>
      <w:tblPr>
        <w:tblW w:w="5000" w:type="pct"/>
        <w:tblBorders>
          <w:top w:val="single" w:sz="4" w:space="0" w:color="000000"/>
          <w:bottom w:val="single" w:sz="4" w:space="0" w:color="000000"/>
          <w:insideH w:val="single" w:sz="4" w:space="0" w:color="000000"/>
          <w:insideV w:val="single" w:sz="4" w:space="0" w:color="000000"/>
        </w:tblBorders>
        <w:tblLook w:val="0400" w:firstRow="0" w:lastRow="0" w:firstColumn="0" w:lastColumn="0" w:noHBand="0" w:noVBand="1"/>
      </w:tblPr>
      <w:tblGrid>
        <w:gridCol w:w="3016"/>
        <w:gridCol w:w="2879"/>
        <w:gridCol w:w="2943"/>
      </w:tblGrid>
      <w:tr w:rsidR="00A2171C" w:rsidRPr="00A2171C" w14:paraId="2D731FD2" w14:textId="77777777" w:rsidTr="003C61F0">
        <w:trPr>
          <w:trHeight w:val="283"/>
        </w:trPr>
        <w:tc>
          <w:tcPr>
            <w:tcW w:w="1706" w:type="pct"/>
            <w:tcBorders>
              <w:bottom w:val="single" w:sz="4" w:space="0" w:color="000000"/>
            </w:tcBorders>
            <w:vAlign w:val="center"/>
          </w:tcPr>
          <w:p w14:paraId="56249CA8" w14:textId="77777777" w:rsidR="00F76C61" w:rsidRPr="00A2171C" w:rsidRDefault="00F76C61" w:rsidP="00CC0261">
            <w:pPr>
              <w:pBdr>
                <w:top w:val="nil"/>
                <w:left w:val="nil"/>
                <w:bottom w:val="nil"/>
                <w:right w:val="nil"/>
                <w:between w:val="nil"/>
              </w:pBdr>
              <w:spacing w:after="0" w:line="240" w:lineRule="auto"/>
              <w:ind w:left="29"/>
              <w:jc w:val="center"/>
              <w:rPr>
                <w:rFonts w:eastAsia="Times New Roman" w:cs="Times New Roman"/>
                <w:szCs w:val="20"/>
                <w:lang w:val="en-GB"/>
              </w:rPr>
            </w:pPr>
            <w:r w:rsidRPr="00A2171C">
              <w:rPr>
                <w:rFonts w:eastAsia="Times New Roman" w:cs="Times New Roman"/>
                <w:szCs w:val="20"/>
                <w:lang w:val="en-GB"/>
              </w:rPr>
              <w:t>Population in thousands of inhab.</w:t>
            </w:r>
          </w:p>
        </w:tc>
        <w:tc>
          <w:tcPr>
            <w:tcW w:w="1629" w:type="pct"/>
            <w:tcBorders>
              <w:bottom w:val="single" w:sz="4" w:space="0" w:color="000000"/>
            </w:tcBorders>
            <w:vAlign w:val="center"/>
          </w:tcPr>
          <w:p w14:paraId="559AACCD" w14:textId="77777777" w:rsidR="00F76C61" w:rsidRPr="00A2171C" w:rsidRDefault="00F76C61" w:rsidP="00CC0261">
            <w:pPr>
              <w:pBdr>
                <w:top w:val="nil"/>
                <w:left w:val="nil"/>
                <w:bottom w:val="nil"/>
                <w:right w:val="nil"/>
                <w:between w:val="nil"/>
              </w:pBdr>
              <w:spacing w:after="0" w:line="240" w:lineRule="auto"/>
              <w:jc w:val="center"/>
              <w:rPr>
                <w:rFonts w:eastAsia="Times New Roman" w:cs="Times New Roman"/>
                <w:szCs w:val="20"/>
                <w:lang w:val="en-GB"/>
              </w:rPr>
            </w:pPr>
            <w:r w:rsidRPr="00A2171C">
              <w:rPr>
                <w:rFonts w:eastAsia="Times New Roman" w:cs="Times New Roman"/>
                <w:szCs w:val="20"/>
                <w:lang w:val="en-GB"/>
              </w:rPr>
              <w:t>N° hydrants in simultaneous use</w:t>
            </w:r>
          </w:p>
        </w:tc>
        <w:tc>
          <w:tcPr>
            <w:tcW w:w="1666" w:type="pct"/>
            <w:tcBorders>
              <w:bottom w:val="single" w:sz="4" w:space="0" w:color="000000"/>
            </w:tcBorders>
            <w:vAlign w:val="center"/>
          </w:tcPr>
          <w:p w14:paraId="29E41129" w14:textId="77777777" w:rsidR="00F76C61" w:rsidRPr="00A2171C" w:rsidRDefault="00F76C61" w:rsidP="00CC0261">
            <w:pPr>
              <w:pBdr>
                <w:top w:val="nil"/>
                <w:left w:val="nil"/>
                <w:bottom w:val="nil"/>
                <w:right w:val="nil"/>
                <w:between w:val="nil"/>
              </w:pBdr>
              <w:spacing w:after="0" w:line="240" w:lineRule="auto"/>
              <w:ind w:left="30"/>
              <w:jc w:val="center"/>
              <w:rPr>
                <w:rFonts w:eastAsia="Times New Roman" w:cs="Times New Roman"/>
                <w:szCs w:val="20"/>
                <w:lang w:val="en-US"/>
              </w:rPr>
            </w:pPr>
            <w:r w:rsidRPr="00A2171C">
              <w:rPr>
                <w:rFonts w:eastAsia="Times New Roman" w:cs="Times New Roman"/>
                <w:szCs w:val="20"/>
                <w:lang w:val="en-US"/>
              </w:rPr>
              <w:t>Fire volume m</w:t>
            </w:r>
            <w:r w:rsidRPr="00A2171C">
              <w:rPr>
                <w:rFonts w:eastAsia="Times New Roman" w:cs="Times New Roman"/>
                <w:szCs w:val="20"/>
                <w:vertAlign w:val="superscript"/>
                <w:lang w:val="en-US"/>
              </w:rPr>
              <w:t>3</w:t>
            </w:r>
          </w:p>
        </w:tc>
      </w:tr>
      <w:tr w:rsidR="00A2171C" w:rsidRPr="00A2171C" w14:paraId="698DE382" w14:textId="77777777" w:rsidTr="003C61F0">
        <w:trPr>
          <w:trHeight w:val="283"/>
        </w:trPr>
        <w:tc>
          <w:tcPr>
            <w:tcW w:w="1706" w:type="pct"/>
            <w:tcBorders>
              <w:bottom w:val="nil"/>
            </w:tcBorders>
            <w:vAlign w:val="center"/>
          </w:tcPr>
          <w:p w14:paraId="34989188" w14:textId="77777777" w:rsidR="00F76C61" w:rsidRPr="00A2171C" w:rsidRDefault="00F76C61" w:rsidP="00CC0261">
            <w:pPr>
              <w:pBdr>
                <w:top w:val="nil"/>
                <w:left w:val="nil"/>
                <w:bottom w:val="nil"/>
                <w:right w:val="nil"/>
                <w:between w:val="nil"/>
              </w:pBdr>
              <w:spacing w:after="0" w:line="240" w:lineRule="auto"/>
              <w:ind w:left="29"/>
              <w:jc w:val="center"/>
              <w:rPr>
                <w:rFonts w:eastAsia="Times New Roman" w:cs="Times New Roman"/>
                <w:szCs w:val="20"/>
                <w:lang w:val="en-US"/>
              </w:rPr>
            </w:pPr>
            <w:r w:rsidRPr="00A2171C">
              <w:rPr>
                <w:rFonts w:eastAsia="Times New Roman" w:cs="Times New Roman"/>
                <w:szCs w:val="20"/>
                <w:lang w:val="en-US"/>
              </w:rPr>
              <w:t>until 6</w:t>
            </w:r>
          </w:p>
        </w:tc>
        <w:tc>
          <w:tcPr>
            <w:tcW w:w="1629" w:type="pct"/>
            <w:tcBorders>
              <w:bottom w:val="nil"/>
            </w:tcBorders>
            <w:vAlign w:val="center"/>
          </w:tcPr>
          <w:p w14:paraId="5C13EADE" w14:textId="77777777" w:rsidR="00F76C61" w:rsidRPr="00A2171C" w:rsidRDefault="00F76C61" w:rsidP="00CC0261">
            <w:pPr>
              <w:pBdr>
                <w:top w:val="nil"/>
                <w:left w:val="nil"/>
                <w:bottom w:val="nil"/>
                <w:right w:val="nil"/>
                <w:between w:val="nil"/>
              </w:pBdr>
              <w:spacing w:after="0" w:line="240" w:lineRule="auto"/>
              <w:jc w:val="center"/>
              <w:rPr>
                <w:rFonts w:eastAsia="Times New Roman" w:cs="Times New Roman"/>
                <w:szCs w:val="20"/>
                <w:lang w:val="en-US"/>
              </w:rPr>
            </w:pPr>
            <w:r w:rsidRPr="00A2171C">
              <w:rPr>
                <w:rFonts w:eastAsia="Times New Roman" w:cs="Times New Roman"/>
                <w:szCs w:val="20"/>
                <w:lang w:val="en-US"/>
              </w:rPr>
              <w:t>1</w:t>
            </w:r>
          </w:p>
        </w:tc>
        <w:tc>
          <w:tcPr>
            <w:tcW w:w="1666" w:type="pct"/>
            <w:tcBorders>
              <w:bottom w:val="nil"/>
            </w:tcBorders>
            <w:vAlign w:val="center"/>
          </w:tcPr>
          <w:p w14:paraId="03262609" w14:textId="77777777" w:rsidR="00F76C61" w:rsidRPr="00A2171C" w:rsidRDefault="00F76C61" w:rsidP="00CC0261">
            <w:pPr>
              <w:pBdr>
                <w:top w:val="nil"/>
                <w:left w:val="nil"/>
                <w:bottom w:val="nil"/>
                <w:right w:val="nil"/>
                <w:between w:val="nil"/>
              </w:pBdr>
              <w:spacing w:after="0" w:line="240" w:lineRule="auto"/>
              <w:ind w:left="30"/>
              <w:jc w:val="center"/>
              <w:rPr>
                <w:rFonts w:eastAsia="Times New Roman" w:cs="Times New Roman"/>
                <w:szCs w:val="20"/>
                <w:lang w:val="en-US"/>
              </w:rPr>
            </w:pPr>
            <w:r w:rsidRPr="00A2171C">
              <w:rPr>
                <w:rFonts w:eastAsia="Times New Roman" w:cs="Times New Roman"/>
                <w:szCs w:val="20"/>
                <w:lang w:val="en-US"/>
              </w:rPr>
              <w:t>115</w:t>
            </w:r>
          </w:p>
        </w:tc>
      </w:tr>
      <w:tr w:rsidR="00A2171C" w:rsidRPr="00A2171C" w14:paraId="457A283D" w14:textId="77777777" w:rsidTr="003C61F0">
        <w:trPr>
          <w:trHeight w:val="283"/>
        </w:trPr>
        <w:tc>
          <w:tcPr>
            <w:tcW w:w="1706" w:type="pct"/>
            <w:tcBorders>
              <w:top w:val="nil"/>
              <w:bottom w:val="nil"/>
            </w:tcBorders>
            <w:vAlign w:val="center"/>
          </w:tcPr>
          <w:p w14:paraId="035DF3EF" w14:textId="77777777" w:rsidR="00F76C61" w:rsidRPr="00A2171C" w:rsidRDefault="00F76C61" w:rsidP="00CC0261">
            <w:pPr>
              <w:pBdr>
                <w:top w:val="nil"/>
                <w:left w:val="nil"/>
                <w:bottom w:val="nil"/>
                <w:right w:val="nil"/>
                <w:between w:val="nil"/>
              </w:pBdr>
              <w:spacing w:after="0" w:line="240" w:lineRule="auto"/>
              <w:ind w:left="29"/>
              <w:jc w:val="center"/>
              <w:rPr>
                <w:rFonts w:eastAsia="Times New Roman" w:cs="Times New Roman"/>
                <w:szCs w:val="20"/>
                <w:lang w:val="en-US"/>
              </w:rPr>
            </w:pPr>
            <w:r w:rsidRPr="00A2171C">
              <w:rPr>
                <w:rFonts w:eastAsia="Times New Roman" w:cs="Times New Roman"/>
                <w:szCs w:val="20"/>
                <w:lang w:val="en-US"/>
              </w:rPr>
              <w:t>&gt; 6 - 25</w:t>
            </w:r>
          </w:p>
        </w:tc>
        <w:tc>
          <w:tcPr>
            <w:tcW w:w="1629" w:type="pct"/>
            <w:tcBorders>
              <w:top w:val="nil"/>
              <w:bottom w:val="nil"/>
            </w:tcBorders>
            <w:vAlign w:val="center"/>
          </w:tcPr>
          <w:p w14:paraId="4663CC0D" w14:textId="77777777" w:rsidR="00F76C61" w:rsidRPr="00A2171C" w:rsidRDefault="00F76C61" w:rsidP="00CC0261">
            <w:pPr>
              <w:pBdr>
                <w:top w:val="nil"/>
                <w:left w:val="nil"/>
                <w:bottom w:val="nil"/>
                <w:right w:val="nil"/>
                <w:between w:val="nil"/>
              </w:pBdr>
              <w:spacing w:after="0" w:line="240" w:lineRule="auto"/>
              <w:jc w:val="center"/>
              <w:rPr>
                <w:rFonts w:eastAsia="Times New Roman" w:cs="Times New Roman"/>
                <w:szCs w:val="20"/>
                <w:lang w:val="en-US"/>
              </w:rPr>
            </w:pPr>
            <w:r w:rsidRPr="00A2171C">
              <w:rPr>
                <w:rFonts w:eastAsia="Times New Roman" w:cs="Times New Roman"/>
                <w:szCs w:val="20"/>
                <w:lang w:val="en-US"/>
              </w:rPr>
              <w:t>2</w:t>
            </w:r>
          </w:p>
        </w:tc>
        <w:tc>
          <w:tcPr>
            <w:tcW w:w="1666" w:type="pct"/>
            <w:tcBorders>
              <w:top w:val="nil"/>
              <w:bottom w:val="nil"/>
            </w:tcBorders>
            <w:vAlign w:val="center"/>
          </w:tcPr>
          <w:p w14:paraId="7D97D959" w14:textId="77777777" w:rsidR="00F76C61" w:rsidRPr="00A2171C" w:rsidRDefault="00F76C61" w:rsidP="00CC0261">
            <w:pPr>
              <w:pBdr>
                <w:top w:val="nil"/>
                <w:left w:val="nil"/>
                <w:bottom w:val="nil"/>
                <w:right w:val="nil"/>
                <w:between w:val="nil"/>
              </w:pBdr>
              <w:spacing w:after="0" w:line="240" w:lineRule="auto"/>
              <w:ind w:left="30"/>
              <w:jc w:val="center"/>
              <w:rPr>
                <w:rFonts w:eastAsia="Times New Roman" w:cs="Times New Roman"/>
                <w:szCs w:val="20"/>
                <w:lang w:val="en-US"/>
              </w:rPr>
            </w:pPr>
            <w:r w:rsidRPr="00A2171C">
              <w:rPr>
                <w:rFonts w:eastAsia="Times New Roman" w:cs="Times New Roman"/>
                <w:szCs w:val="20"/>
                <w:lang w:val="en-US"/>
              </w:rPr>
              <w:t>230</w:t>
            </w:r>
          </w:p>
        </w:tc>
      </w:tr>
      <w:tr w:rsidR="00A2171C" w:rsidRPr="00A2171C" w14:paraId="6DE30440" w14:textId="77777777" w:rsidTr="003C61F0">
        <w:trPr>
          <w:trHeight w:val="283"/>
        </w:trPr>
        <w:tc>
          <w:tcPr>
            <w:tcW w:w="1706" w:type="pct"/>
            <w:tcBorders>
              <w:top w:val="nil"/>
              <w:bottom w:val="nil"/>
            </w:tcBorders>
            <w:vAlign w:val="center"/>
          </w:tcPr>
          <w:p w14:paraId="7A667E34" w14:textId="77777777" w:rsidR="00F76C61" w:rsidRPr="00A2171C" w:rsidRDefault="00F76C61" w:rsidP="00CC0261">
            <w:pPr>
              <w:pBdr>
                <w:top w:val="nil"/>
                <w:left w:val="nil"/>
                <w:bottom w:val="nil"/>
                <w:right w:val="nil"/>
                <w:between w:val="nil"/>
              </w:pBdr>
              <w:spacing w:after="0" w:line="240" w:lineRule="auto"/>
              <w:ind w:left="29"/>
              <w:jc w:val="center"/>
              <w:rPr>
                <w:rFonts w:eastAsia="Times New Roman" w:cs="Times New Roman"/>
                <w:szCs w:val="20"/>
                <w:lang w:val="en-US"/>
              </w:rPr>
            </w:pPr>
            <w:r w:rsidRPr="00A2171C">
              <w:rPr>
                <w:rFonts w:eastAsia="Times New Roman" w:cs="Times New Roman"/>
                <w:szCs w:val="20"/>
                <w:lang w:val="en-US"/>
              </w:rPr>
              <w:t>&gt; 25 - 60</w:t>
            </w:r>
          </w:p>
        </w:tc>
        <w:tc>
          <w:tcPr>
            <w:tcW w:w="1629" w:type="pct"/>
            <w:tcBorders>
              <w:top w:val="nil"/>
              <w:bottom w:val="nil"/>
            </w:tcBorders>
            <w:vAlign w:val="center"/>
          </w:tcPr>
          <w:p w14:paraId="49048D1F" w14:textId="77777777" w:rsidR="00F76C61" w:rsidRPr="00A2171C" w:rsidRDefault="00F76C61" w:rsidP="00CC0261">
            <w:pPr>
              <w:pBdr>
                <w:top w:val="nil"/>
                <w:left w:val="nil"/>
                <w:bottom w:val="nil"/>
                <w:right w:val="nil"/>
                <w:between w:val="nil"/>
              </w:pBdr>
              <w:spacing w:after="0" w:line="240" w:lineRule="auto"/>
              <w:jc w:val="center"/>
              <w:rPr>
                <w:rFonts w:eastAsia="Times New Roman" w:cs="Times New Roman"/>
                <w:szCs w:val="20"/>
                <w:lang w:val="en-US"/>
              </w:rPr>
            </w:pPr>
            <w:r w:rsidRPr="00A2171C">
              <w:rPr>
                <w:rFonts w:eastAsia="Times New Roman" w:cs="Times New Roman"/>
                <w:szCs w:val="20"/>
                <w:lang w:val="en-US"/>
              </w:rPr>
              <w:t>3</w:t>
            </w:r>
          </w:p>
        </w:tc>
        <w:tc>
          <w:tcPr>
            <w:tcW w:w="1666" w:type="pct"/>
            <w:tcBorders>
              <w:top w:val="nil"/>
              <w:bottom w:val="nil"/>
            </w:tcBorders>
            <w:vAlign w:val="center"/>
          </w:tcPr>
          <w:p w14:paraId="4EA6BE65" w14:textId="77777777" w:rsidR="00F76C61" w:rsidRPr="00A2171C" w:rsidRDefault="00F76C61" w:rsidP="00CC0261">
            <w:pPr>
              <w:pBdr>
                <w:top w:val="nil"/>
                <w:left w:val="nil"/>
                <w:bottom w:val="nil"/>
                <w:right w:val="nil"/>
                <w:between w:val="nil"/>
              </w:pBdr>
              <w:spacing w:after="0" w:line="240" w:lineRule="auto"/>
              <w:ind w:left="30"/>
              <w:jc w:val="center"/>
              <w:rPr>
                <w:rFonts w:eastAsia="Times New Roman" w:cs="Times New Roman"/>
                <w:szCs w:val="20"/>
                <w:lang w:val="en-US"/>
              </w:rPr>
            </w:pPr>
            <w:r w:rsidRPr="00A2171C">
              <w:rPr>
                <w:rFonts w:eastAsia="Times New Roman" w:cs="Times New Roman"/>
                <w:szCs w:val="20"/>
                <w:lang w:val="en-US"/>
              </w:rPr>
              <w:t>346</w:t>
            </w:r>
          </w:p>
        </w:tc>
      </w:tr>
      <w:tr w:rsidR="00A2171C" w:rsidRPr="00A2171C" w14:paraId="0867DB1C" w14:textId="77777777" w:rsidTr="003C61F0">
        <w:trPr>
          <w:trHeight w:val="283"/>
        </w:trPr>
        <w:tc>
          <w:tcPr>
            <w:tcW w:w="1706" w:type="pct"/>
            <w:tcBorders>
              <w:top w:val="nil"/>
              <w:bottom w:val="nil"/>
            </w:tcBorders>
            <w:vAlign w:val="center"/>
          </w:tcPr>
          <w:p w14:paraId="39270A1B" w14:textId="77777777" w:rsidR="00F76C61" w:rsidRPr="00A2171C" w:rsidRDefault="00F76C61" w:rsidP="00CC0261">
            <w:pPr>
              <w:pBdr>
                <w:top w:val="nil"/>
                <w:left w:val="nil"/>
                <w:bottom w:val="nil"/>
                <w:right w:val="nil"/>
                <w:between w:val="nil"/>
              </w:pBdr>
              <w:spacing w:after="0" w:line="240" w:lineRule="auto"/>
              <w:ind w:left="29"/>
              <w:jc w:val="center"/>
              <w:rPr>
                <w:rFonts w:eastAsia="Times New Roman" w:cs="Times New Roman"/>
                <w:szCs w:val="20"/>
                <w:lang w:val="en-US"/>
              </w:rPr>
            </w:pPr>
            <w:r w:rsidRPr="00A2171C">
              <w:rPr>
                <w:rFonts w:eastAsia="Times New Roman" w:cs="Times New Roman"/>
                <w:szCs w:val="20"/>
                <w:lang w:val="en-US"/>
              </w:rPr>
              <w:t>&gt; 60 - 150</w:t>
            </w:r>
          </w:p>
        </w:tc>
        <w:tc>
          <w:tcPr>
            <w:tcW w:w="1629" w:type="pct"/>
            <w:tcBorders>
              <w:top w:val="nil"/>
              <w:bottom w:val="nil"/>
            </w:tcBorders>
            <w:vAlign w:val="center"/>
          </w:tcPr>
          <w:p w14:paraId="29BB7538" w14:textId="77777777" w:rsidR="00F76C61" w:rsidRPr="00A2171C" w:rsidRDefault="00F76C61" w:rsidP="00CC0261">
            <w:pPr>
              <w:pBdr>
                <w:top w:val="nil"/>
                <w:left w:val="nil"/>
                <w:bottom w:val="nil"/>
                <w:right w:val="nil"/>
                <w:between w:val="nil"/>
              </w:pBdr>
              <w:spacing w:after="0" w:line="240" w:lineRule="auto"/>
              <w:jc w:val="center"/>
              <w:rPr>
                <w:rFonts w:eastAsia="Times New Roman" w:cs="Times New Roman"/>
                <w:szCs w:val="20"/>
                <w:lang w:val="en-US"/>
              </w:rPr>
            </w:pPr>
            <w:r w:rsidRPr="00A2171C">
              <w:rPr>
                <w:rFonts w:eastAsia="Times New Roman" w:cs="Times New Roman"/>
                <w:szCs w:val="20"/>
                <w:lang w:val="en-US"/>
              </w:rPr>
              <w:t>5</w:t>
            </w:r>
          </w:p>
        </w:tc>
        <w:tc>
          <w:tcPr>
            <w:tcW w:w="1666" w:type="pct"/>
            <w:tcBorders>
              <w:top w:val="nil"/>
              <w:bottom w:val="nil"/>
            </w:tcBorders>
            <w:vAlign w:val="center"/>
          </w:tcPr>
          <w:p w14:paraId="178C9CCB" w14:textId="77777777" w:rsidR="00F76C61" w:rsidRPr="00A2171C" w:rsidRDefault="00F76C61" w:rsidP="00CC0261">
            <w:pPr>
              <w:pBdr>
                <w:top w:val="nil"/>
                <w:left w:val="nil"/>
                <w:bottom w:val="nil"/>
                <w:right w:val="nil"/>
                <w:between w:val="nil"/>
              </w:pBdr>
              <w:spacing w:after="0" w:line="240" w:lineRule="auto"/>
              <w:ind w:left="30"/>
              <w:jc w:val="center"/>
              <w:rPr>
                <w:rFonts w:eastAsia="Times New Roman" w:cs="Times New Roman"/>
                <w:szCs w:val="20"/>
                <w:lang w:val="en-US"/>
              </w:rPr>
            </w:pPr>
            <w:r w:rsidRPr="00A2171C">
              <w:rPr>
                <w:rFonts w:eastAsia="Times New Roman" w:cs="Times New Roman"/>
                <w:szCs w:val="20"/>
                <w:lang w:val="en-US"/>
              </w:rPr>
              <w:t>576</w:t>
            </w:r>
          </w:p>
        </w:tc>
      </w:tr>
      <w:tr w:rsidR="00A2171C" w:rsidRPr="00A2171C" w14:paraId="18A78176" w14:textId="77777777" w:rsidTr="003C61F0">
        <w:trPr>
          <w:trHeight w:val="283"/>
        </w:trPr>
        <w:tc>
          <w:tcPr>
            <w:tcW w:w="1706" w:type="pct"/>
            <w:tcBorders>
              <w:top w:val="nil"/>
              <w:bottom w:val="single" w:sz="4" w:space="0" w:color="auto"/>
            </w:tcBorders>
            <w:vAlign w:val="center"/>
          </w:tcPr>
          <w:p w14:paraId="134D7FF7" w14:textId="77777777" w:rsidR="00F76C61" w:rsidRPr="00A2171C" w:rsidRDefault="00F76C61" w:rsidP="00CC0261">
            <w:pPr>
              <w:pBdr>
                <w:top w:val="nil"/>
                <w:left w:val="nil"/>
                <w:bottom w:val="nil"/>
                <w:right w:val="nil"/>
                <w:between w:val="nil"/>
              </w:pBdr>
              <w:spacing w:after="0" w:line="240" w:lineRule="auto"/>
              <w:ind w:left="29"/>
              <w:jc w:val="center"/>
              <w:rPr>
                <w:rFonts w:eastAsia="Times New Roman" w:cs="Times New Roman"/>
                <w:szCs w:val="20"/>
                <w:lang w:val="en-US"/>
              </w:rPr>
            </w:pPr>
            <w:r w:rsidRPr="00A2171C">
              <w:rPr>
                <w:rFonts w:eastAsia="Times New Roman" w:cs="Times New Roman"/>
                <w:szCs w:val="20"/>
                <w:lang w:val="en-US"/>
              </w:rPr>
              <w:t>&gt; 150</w:t>
            </w:r>
          </w:p>
        </w:tc>
        <w:tc>
          <w:tcPr>
            <w:tcW w:w="1629" w:type="pct"/>
            <w:tcBorders>
              <w:top w:val="nil"/>
              <w:bottom w:val="single" w:sz="4" w:space="0" w:color="auto"/>
            </w:tcBorders>
            <w:vAlign w:val="center"/>
          </w:tcPr>
          <w:p w14:paraId="1F32E273" w14:textId="77777777" w:rsidR="00F76C61" w:rsidRPr="00A2171C" w:rsidRDefault="00F76C61" w:rsidP="00CC0261">
            <w:pPr>
              <w:pBdr>
                <w:top w:val="nil"/>
                <w:left w:val="nil"/>
                <w:bottom w:val="nil"/>
                <w:right w:val="nil"/>
                <w:between w:val="nil"/>
              </w:pBdr>
              <w:spacing w:after="0" w:line="240" w:lineRule="auto"/>
              <w:jc w:val="center"/>
              <w:rPr>
                <w:rFonts w:eastAsia="Times New Roman" w:cs="Times New Roman"/>
                <w:szCs w:val="20"/>
                <w:lang w:val="en-US"/>
              </w:rPr>
            </w:pPr>
            <w:r w:rsidRPr="00A2171C">
              <w:rPr>
                <w:rFonts w:eastAsia="Times New Roman" w:cs="Times New Roman"/>
                <w:szCs w:val="20"/>
                <w:lang w:val="en-US"/>
              </w:rPr>
              <w:t>6</w:t>
            </w:r>
          </w:p>
        </w:tc>
        <w:tc>
          <w:tcPr>
            <w:tcW w:w="1666" w:type="pct"/>
            <w:tcBorders>
              <w:top w:val="nil"/>
              <w:bottom w:val="single" w:sz="4" w:space="0" w:color="auto"/>
            </w:tcBorders>
            <w:vAlign w:val="center"/>
          </w:tcPr>
          <w:p w14:paraId="7E2626B2" w14:textId="77777777" w:rsidR="00F76C61" w:rsidRPr="00A2171C" w:rsidRDefault="00F76C61" w:rsidP="00CC0261">
            <w:pPr>
              <w:pBdr>
                <w:top w:val="nil"/>
                <w:left w:val="nil"/>
                <w:bottom w:val="nil"/>
                <w:right w:val="nil"/>
                <w:between w:val="nil"/>
              </w:pBdr>
              <w:spacing w:after="0" w:line="240" w:lineRule="auto"/>
              <w:ind w:left="30"/>
              <w:jc w:val="center"/>
              <w:rPr>
                <w:rFonts w:eastAsia="Times New Roman" w:cs="Times New Roman"/>
                <w:szCs w:val="20"/>
                <w:lang w:val="en-US"/>
              </w:rPr>
            </w:pPr>
            <w:r w:rsidRPr="00A2171C">
              <w:rPr>
                <w:rFonts w:eastAsia="Times New Roman" w:cs="Times New Roman"/>
                <w:szCs w:val="20"/>
                <w:lang w:val="en-US"/>
              </w:rPr>
              <w:t>690</w:t>
            </w:r>
          </w:p>
        </w:tc>
      </w:tr>
    </w:tbl>
    <w:p w14:paraId="0DB54001" w14:textId="1E8D3745" w:rsidR="00A46867" w:rsidRPr="00A2171C" w:rsidRDefault="00A46867" w:rsidP="00A46867">
      <w:pPr>
        <w:pBdr>
          <w:top w:val="nil"/>
          <w:left w:val="nil"/>
          <w:bottom w:val="nil"/>
          <w:right w:val="nil"/>
          <w:between w:val="nil"/>
        </w:pBdr>
        <w:spacing w:after="0"/>
        <w:ind w:left="709"/>
        <w:rPr>
          <w:rFonts w:eastAsia="Times New Roman" w:cs="Times New Roman"/>
          <w:szCs w:val="20"/>
          <w:lang w:val="en-GB"/>
        </w:rPr>
      </w:pPr>
      <w:r w:rsidRPr="00A2171C">
        <w:rPr>
          <w:rFonts w:eastAsia="Times New Roman" w:cs="Times New Roman"/>
          <w:i/>
          <w:iCs/>
          <w:szCs w:val="20"/>
          <w:lang w:val="en-GB"/>
        </w:rPr>
        <w:lastRenderedPageBreak/>
        <w:t>(ii) Pressure</w:t>
      </w:r>
      <w:r w:rsidRPr="00A2171C">
        <w:rPr>
          <w:rFonts w:eastAsia="Times New Roman" w:cs="Times New Roman"/>
          <w:b/>
          <w:i/>
          <w:iCs/>
          <w:szCs w:val="20"/>
          <w:lang w:val="en-GB"/>
        </w:rPr>
        <w:t>.</w:t>
      </w:r>
      <w:r w:rsidRPr="00A2171C">
        <w:rPr>
          <w:rFonts w:eastAsia="Times New Roman" w:cs="Times New Roman"/>
          <w:szCs w:val="20"/>
          <w:lang w:val="en-GB"/>
        </w:rPr>
        <w:t xml:space="preserve"> The minimum hydrant pressure </w:t>
      </w:r>
      <w:r w:rsidR="00BA2612" w:rsidRPr="00A2171C">
        <w:rPr>
          <w:rFonts w:eastAsia="Times New Roman" w:cs="Times New Roman"/>
          <w:szCs w:val="20"/>
          <w:lang w:val="en-GB"/>
        </w:rPr>
        <w:t>at</w:t>
      </w:r>
      <w:r w:rsidRPr="00A2171C">
        <w:rPr>
          <w:rFonts w:eastAsia="Times New Roman" w:cs="Times New Roman"/>
          <w:szCs w:val="20"/>
          <w:lang w:val="en-GB"/>
        </w:rPr>
        <w:t xml:space="preserve"> ground level, calculated with dynamic pressure conditions, must be equal or greater than 49.03 kPa. Static pressure of the hydrant is equal to </w:t>
      </w:r>
      <w:r w:rsidR="00BA2612" w:rsidRPr="00A2171C">
        <w:rPr>
          <w:rFonts w:eastAsia="Times New Roman" w:cs="Times New Roman"/>
          <w:szCs w:val="20"/>
          <w:lang w:val="en-GB"/>
        </w:rPr>
        <w:t xml:space="preserve">a </w:t>
      </w:r>
      <w:r w:rsidRPr="00A2171C">
        <w:rPr>
          <w:rFonts w:eastAsia="Times New Roman" w:cs="Times New Roman"/>
          <w:szCs w:val="20"/>
          <w:lang w:val="en-GB"/>
        </w:rPr>
        <w:t>min</w:t>
      </w:r>
      <w:r w:rsidR="00BA2612" w:rsidRPr="00A2171C">
        <w:rPr>
          <w:rFonts w:eastAsia="Times New Roman" w:cs="Times New Roman"/>
          <w:szCs w:val="20"/>
          <w:lang w:val="en-GB"/>
        </w:rPr>
        <w:t>imum of</w:t>
      </w:r>
      <w:r w:rsidRPr="00A2171C">
        <w:rPr>
          <w:rFonts w:eastAsia="Times New Roman" w:cs="Times New Roman"/>
          <w:szCs w:val="20"/>
          <w:lang w:val="en-GB"/>
        </w:rPr>
        <w:t xml:space="preserve"> 0.15MPa. In a place with more than 10.000 habitants</w:t>
      </w:r>
      <w:r w:rsidR="00BA2612" w:rsidRPr="00A2171C">
        <w:rPr>
          <w:rFonts w:eastAsia="Times New Roman" w:cs="Times New Roman"/>
          <w:szCs w:val="20"/>
          <w:lang w:val="en-GB"/>
        </w:rPr>
        <w:t>,</w:t>
      </w:r>
      <w:r w:rsidRPr="00A2171C">
        <w:rPr>
          <w:rFonts w:eastAsia="Times New Roman" w:cs="Times New Roman"/>
          <w:szCs w:val="20"/>
          <w:lang w:val="en-GB"/>
        </w:rPr>
        <w:t xml:space="preserve"> or in the city centre, two taps used simultaneous</w:t>
      </w:r>
      <w:r w:rsidR="00BA2612" w:rsidRPr="00A2171C">
        <w:rPr>
          <w:rFonts w:eastAsia="Times New Roman" w:cs="Times New Roman"/>
          <w:szCs w:val="20"/>
          <w:lang w:val="en-GB"/>
        </w:rPr>
        <w:t>ly</w:t>
      </w:r>
      <w:r w:rsidRPr="00A2171C">
        <w:rPr>
          <w:rFonts w:eastAsia="Times New Roman" w:cs="Times New Roman"/>
          <w:szCs w:val="20"/>
          <w:lang w:val="en-GB"/>
        </w:rPr>
        <w:t xml:space="preserve"> must have a minimum pressure of 0.05 MPa with a minimum flow of 16L/s. In fire risk </w:t>
      </w:r>
      <w:r w:rsidR="00BA2612" w:rsidRPr="00A2171C">
        <w:rPr>
          <w:rFonts w:eastAsia="Times New Roman" w:cs="Times New Roman"/>
          <w:szCs w:val="20"/>
          <w:lang w:val="en-GB"/>
        </w:rPr>
        <w:t>i</w:t>
      </w:r>
      <w:r w:rsidRPr="00A2171C">
        <w:rPr>
          <w:rFonts w:eastAsia="Times New Roman" w:cs="Times New Roman"/>
          <w:szCs w:val="20"/>
          <w:lang w:val="en-GB"/>
        </w:rPr>
        <w:t xml:space="preserve">ndex analyses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Heritage","id":"ITEM-1","issue":"426","issued":{"date-parts":[["2016"]]},"page":"1-7","title":"Urban fire risk: Evaluation and emergency planning","type":"article-journal","volume":"20"},"uris":["http://www.mendeley.com/documents/?uuid=8b45f97f-58a1-4a84-9208-ddf32f667d2c"]},{"id":"ITEM-2","itemData":{"DOI":"10.1080/15583058.2019.1665142","ISSN":"15583066","abstract":"Risk mitigation is assumed today as a top priority in the international agenda. Recent natural disasters raised the awareness of governments and scientists and have let to the search for more efficient and effective strategies to manage and mitigate risk. Such efforts are especially important in the case of large historic centres, which, by often combining a high heritage value with a high level of physical vulnerability, are particularly sensitive and relevant. Considering the abovementioned, the present work aims at presenting and discussing the fire risk in the Historic Centre of Quito, one of the oldest and most important Spanish colonial settlements in South America. Taking into account the difficulties inherent to the scale of the case study, the evaluation is carried out in a neighbourhood scale, through the application of simplified fire vulnerability and risk assessment methodology. In order to perform the spatial analysis of the outputs, vulnerability and risk indicators are integrated into a Geographical Information System tool and the results are presented in the form of vulnerability maps. In a second-order analysis, these maps are subsequently combined with pre-existing vulnerability data in order to identify targets and priorities in terms of risk mitigation strategies.","author":[{"dropping-particle":"","family":"Granda","given":"Santiago","non-dropping-particle":"","parse-names":false,"suffix":""},{"dropping-particle":"","family":"Ferreira","given":"Tiago Miguel","non-dropping-particle":"","parse-names":false,"suffix":""}],"container-title":"International Journal of Architectural Heritage","id":"ITEM-2","issue":"September","issued":{"date-parts":[["2019"]]},"title":"Large-scale Vulnerability and Fire Risk Assessment of the Historic Centre of Quito, Ecuador","type":"article-journal"},"uris":["http://www.mendeley.com/documents/?uuid=32ac1f70-f4ca-42f6-85ac-b79892a73355"]},{"id":"ITEM-3","itemData":{"DOI":"10.1007/s10694-018-0778-z","ISSN":"1572-8099","abstract":"Urban risk mitigation is a priority in city management due to the severe consequences and costs that disasters can cause. Several efforts are focused on disaster prevention through the definition of pre-disaster actions, especially in highly vulnerable urban areas. In that sense, historical centres represent one of the main challenges for risk mitigation due to two inherent characteristics: their heritage value, related to their historic importance, economic role and social symbolism; and their high vulnerability, resulting from the condition of old urban areas,usually complex in terms of architectonic, constructive and urbanistic development. Considering the abovementioned, the present work focuses on the fire risk assessment of the Historical Centre of Guimarães, in Portugal. The assessment was developed through the application of an index-based fire risk assessment method to the 436 buildings that comprise this UNESCO World Heritage Site. After being integrated into a geographical information system tool, the assessment results were spatially analysed and discussed in the form of vulnerability and risk maps. Analysis revealed that about 67% of the assessed building stock have a moderate to high fire risk. From the analysis of the sub-factors that compose the Fire Risk Index method, it was further possible to perceive that this situation is not only associated with the characteristics of the buildings, but also to the inner characteristics of the urban area itself. Taking into account the scale and aim of the study, the results obtained in this work were found to be reliable, allowing for identification of the most vulnerable buildings in respect to fire risk.","author":[{"dropping-particle":"","family":"Granda","given":"Santiago","non-dropping-particle":"","parse-names":false,"suffix":""},{"dropping-particle":"","family":"Ferreira","given":"Tiago Miguel","non-dropping-particle":"","parse-names":false,"suffix":""}],"container-title":"Fire Technology","id":"ITEM-3","issue":"1","issued":{"date-parts":[["2019"]]},"page":"105-127","title":"Assessing Vulnerability and Fire Risk in Old Urban Areas: Application to the Historical Centre of Guimarães","type":"article-journal","volume":"55"},"uris":["http://www.mendeley.com/documents/?uuid=1dd8a17f-3e32-478c-afee-69978d64b7a0"]}],"mendeley":{"formattedCitation":"(Ferreira et al., 2016; Granda &amp; Ferreira, 2019b, 2019a)","plainTextFormattedCitation":"(Ferreira et al., 2016; Granda &amp; Ferreira, 2019b, 2019a)","previouslyFormattedCitation":"(Ferreira et al., 2016; Granda &amp; Ferreira, 2019b, 2019a)"},"properties":{"noteIndex":0},"schema":"https://github.com/citation-style-language/schema/raw/master/csl-citation.json"}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(Ferreira et al., 2016; Granda &amp; Ferreira, 2019b, 2019a)</w:t>
      </w:r>
      <w:r w:rsidRPr="00A2171C">
        <w:rPr>
          <w:rFonts w:eastAsia="Times New Roman" w:cs="Times New Roman"/>
          <w:szCs w:val="20"/>
          <w:lang w:val="en-GB"/>
        </w:rPr>
        <w:fldChar w:fldCharType="end"/>
      </w:r>
      <w:r w:rsidR="00BA2612" w:rsidRPr="00A2171C">
        <w:rPr>
          <w:rFonts w:eastAsia="Times New Roman" w:cs="Times New Roman"/>
          <w:szCs w:val="20"/>
          <w:lang w:val="en-GB"/>
        </w:rPr>
        <w:t>,</w:t>
      </w:r>
      <w:r w:rsidRPr="00A2171C">
        <w:rPr>
          <w:rFonts w:eastAsia="Times New Roman" w:cs="Times New Roman"/>
          <w:szCs w:val="20"/>
          <w:lang w:val="en-GB"/>
        </w:rPr>
        <w:t xml:space="preserve"> the water supply parameter (depending on fire volume and static pressure) is usually assumed to be equal to 1.00. In the specific case of Yungay, the </w:t>
      </w:r>
      <w:r w:rsidR="00BA2612" w:rsidRPr="00A2171C">
        <w:rPr>
          <w:rFonts w:eastAsia="Times New Roman" w:cs="Times New Roman"/>
          <w:szCs w:val="20"/>
          <w:lang w:val="en-GB"/>
        </w:rPr>
        <w:t>history of fires show that we</w:t>
      </w:r>
      <w:r w:rsidRPr="00A2171C">
        <w:rPr>
          <w:rFonts w:eastAsia="Times New Roman" w:cs="Times New Roman"/>
          <w:szCs w:val="20"/>
          <w:lang w:val="en-GB"/>
        </w:rPr>
        <w:t xml:space="preserve"> require a water fire volume greater than 259 GPM per minute as imposed by the regulation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{"citationItems":[{"id":"ITEM-1","itemData":{"author":[{"dropping-particle":"","family":"NCh1646.Of98","given":"","non-dropping-particle":"","parse-names":false,"suffix":""}],"container-title":"Instituto Nacional De Normalización","id":"ITEM-1","issued":{"date-parts":[["1998"]]},"title":"Grifos de incendio – Tipo de columna 100 mm diámetro nominal – Requisitos generales","type":"article-journal"},"uris":["http://www.mendeley.com/documents/?uuid=7410cdd9-03a5-43ed-9d80-6bb626f5968b"]}],"mendeley":{"formattedCitation":"(NCh1646.Of98, 1998)","manualFormatting":"(NCh1646.Of98)","plainTextFormattedCitation":"(NCh1646.Of98, 1998)","previouslyFormattedCitation":"(NCh1646.Of98, 1998)"},"properties":{"noteIndex":0},"schema":"https://github.com/citation-style-language/schema/raw/master/csl-citation.json"}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(NCh1646.Of98)</w:t>
      </w:r>
      <w:r w:rsidRPr="00A2171C">
        <w:rPr>
          <w:rFonts w:eastAsia="Times New Roman" w:cs="Times New Roman"/>
          <w:szCs w:val="20"/>
          <w:lang w:val="en-GB"/>
        </w:rPr>
        <w:fldChar w:fldCharType="end"/>
      </w:r>
      <w:r w:rsidRPr="00A2171C">
        <w:rPr>
          <w:rFonts w:eastAsia="Times New Roman" w:cs="Times New Roman"/>
          <w:szCs w:val="20"/>
          <w:lang w:val="en-GB"/>
        </w:rPr>
        <w:t>. In fact, a fire load of 400</w:t>
      </w:r>
      <w:r w:rsidR="00BA2612" w:rsidRPr="00A2171C">
        <w:rPr>
          <w:rFonts w:eastAsia="Times New Roman" w:cs="Times New Roman"/>
          <w:szCs w:val="20"/>
          <w:lang w:val="en-GB"/>
        </w:rPr>
        <w:t xml:space="preserve"> </w:t>
      </w:r>
      <w:r w:rsidR="00E57AA6" w:rsidRPr="00A2171C">
        <w:rPr>
          <w:rFonts w:eastAsia="Times New Roman" w:cs="Times New Roman"/>
          <w:szCs w:val="20"/>
          <w:lang w:val="en-GB"/>
        </w:rPr>
        <w:t>Mcal/m</w:t>
      </w:r>
      <w:r w:rsidR="00E57AA6" w:rsidRPr="00A2171C">
        <w:rPr>
          <w:rFonts w:eastAsia="Times New Roman" w:cs="Times New Roman"/>
          <w:szCs w:val="20"/>
          <w:vertAlign w:val="superscript"/>
          <w:lang w:val="en-GB"/>
        </w:rPr>
        <w:t>2</w:t>
      </w:r>
      <w:r w:rsidR="00E57AA6" w:rsidRPr="00A2171C">
        <w:rPr>
          <w:rFonts w:eastAsia="Times New Roman" w:cs="Times New Roman"/>
          <w:szCs w:val="20"/>
          <w:lang w:val="en-GB"/>
        </w:rPr>
        <w:t xml:space="preserve"> </w:t>
      </w:r>
      <w:r w:rsidR="00BA2612" w:rsidRPr="00A2171C">
        <w:rPr>
          <w:rFonts w:eastAsia="Times New Roman" w:cs="Times New Roman"/>
          <w:szCs w:val="20"/>
          <w:lang w:val="en-GB"/>
        </w:rPr>
        <w:t xml:space="preserve">in </w:t>
      </w:r>
      <w:r w:rsidRPr="00A2171C">
        <w:rPr>
          <w:rFonts w:eastAsia="Times New Roman" w:cs="Times New Roman"/>
          <w:szCs w:val="20"/>
          <w:lang w:val="en-GB"/>
        </w:rPr>
        <w:t xml:space="preserve">historical buildings need </w:t>
      </w:r>
      <w:r w:rsidR="00BA2612" w:rsidRPr="00A2171C">
        <w:rPr>
          <w:rFonts w:eastAsia="Times New Roman" w:cs="Times New Roman"/>
          <w:szCs w:val="20"/>
          <w:lang w:val="en-GB"/>
        </w:rPr>
        <w:t>about</w:t>
      </w:r>
      <w:r w:rsidRPr="00A2171C">
        <w:rPr>
          <w:rFonts w:eastAsia="Times New Roman" w:cs="Times New Roman"/>
          <w:szCs w:val="20"/>
          <w:lang w:val="en-GB"/>
        </w:rPr>
        <w:t xml:space="preserve"> 1,080 GPM to be extinguished. </w:t>
      </w:r>
      <w:r w:rsidR="00BA2612" w:rsidRPr="00A2171C">
        <w:rPr>
          <w:rFonts w:eastAsia="Times New Roman" w:cs="Times New Roman"/>
          <w:szCs w:val="20"/>
          <w:lang w:val="en-GB"/>
        </w:rPr>
        <w:t>Because</w:t>
      </w:r>
      <w:r w:rsidRPr="00A2171C">
        <w:rPr>
          <w:rFonts w:eastAsia="Times New Roman" w:cs="Times New Roman"/>
          <w:szCs w:val="20"/>
          <w:lang w:val="en-GB"/>
        </w:rPr>
        <w:t xml:space="preserve"> all the hydrants were </w:t>
      </w:r>
      <w:r w:rsidR="00BA2612" w:rsidRPr="00A2171C">
        <w:rPr>
          <w:rFonts w:eastAsia="Times New Roman" w:cs="Times New Roman"/>
          <w:szCs w:val="20"/>
          <w:lang w:val="en-GB"/>
        </w:rPr>
        <w:t>designed</w:t>
      </w:r>
      <w:r w:rsidRPr="00A2171C">
        <w:rPr>
          <w:rFonts w:eastAsia="Times New Roman" w:cs="Times New Roman"/>
          <w:szCs w:val="20"/>
          <w:lang w:val="en-GB"/>
        </w:rPr>
        <w:t xml:space="preserve"> according to the same standard </w:t>
      </w:r>
      <w:r w:rsidR="00BA2612" w:rsidRPr="00A2171C">
        <w:rPr>
          <w:rFonts w:eastAsia="Times New Roman" w:cs="Times New Roman"/>
          <w:szCs w:val="20"/>
          <w:lang w:val="en-GB"/>
        </w:rPr>
        <w:t xml:space="preserve">of water </w:t>
      </w:r>
      <w:r w:rsidRPr="00A2171C">
        <w:rPr>
          <w:rFonts w:eastAsia="Times New Roman" w:cs="Times New Roman"/>
          <w:szCs w:val="20"/>
          <w:lang w:val="en-GB"/>
        </w:rPr>
        <w:t>supply</w:t>
      </w:r>
      <w:r w:rsidR="00BA2612" w:rsidRPr="00A2171C">
        <w:rPr>
          <w:rFonts w:eastAsia="Times New Roman" w:cs="Times New Roman"/>
          <w:szCs w:val="20"/>
          <w:lang w:val="en-GB"/>
        </w:rPr>
        <w:t>,</w:t>
      </w:r>
      <w:r w:rsidRPr="00A2171C">
        <w:rPr>
          <w:rFonts w:eastAsia="Times New Roman" w:cs="Times New Roman"/>
          <w:szCs w:val="20"/>
          <w:lang w:val="en-GB"/>
        </w:rPr>
        <w:t xml:space="preserve"> </w:t>
      </w:r>
      <w:r w:rsidR="00BA2612" w:rsidRPr="00A2171C">
        <w:rPr>
          <w:rFonts w:eastAsia="Times New Roman" w:cs="Times New Roman"/>
          <w:szCs w:val="20"/>
          <w:lang w:val="en-GB"/>
        </w:rPr>
        <w:t>and with an</w:t>
      </w:r>
      <w:r w:rsidRPr="00A2171C">
        <w:rPr>
          <w:rFonts w:eastAsia="Times New Roman" w:cs="Times New Roman"/>
          <w:szCs w:val="20"/>
          <w:lang w:val="en-GB"/>
        </w:rPr>
        <w:t xml:space="preserve"> underestimated pressure and volume, this parameter is assumed </w:t>
      </w:r>
      <w:r w:rsidR="00BA2612" w:rsidRPr="00A2171C">
        <w:rPr>
          <w:rFonts w:eastAsia="Times New Roman" w:cs="Times New Roman"/>
          <w:szCs w:val="20"/>
          <w:lang w:val="en-GB"/>
        </w:rPr>
        <w:t xml:space="preserve">here </w:t>
      </w:r>
      <w:r w:rsidRPr="00A2171C">
        <w:rPr>
          <w:rFonts w:eastAsia="Times New Roman" w:cs="Times New Roman"/>
          <w:szCs w:val="20"/>
          <w:lang w:val="en-GB"/>
        </w:rPr>
        <w:t xml:space="preserve">equal to 2.00. </w:t>
      </w:r>
    </w:p>
    <w:p w14:paraId="287AF75A" w14:textId="2E85E7DE" w:rsidR="00A46867" w:rsidRPr="00A2171C" w:rsidRDefault="00A46867" w:rsidP="002F5441">
      <w:pPr>
        <w:pStyle w:val="ListParagraph"/>
        <w:numPr>
          <w:ilvl w:val="0"/>
          <w:numId w:val="22"/>
        </w:numPr>
        <w:pBdr>
          <w:top w:val="nil"/>
          <w:left w:val="nil"/>
          <w:bottom w:val="nil"/>
          <w:right w:val="nil"/>
          <w:between w:val="nil"/>
        </w:pBdr>
        <w:spacing w:after="0"/>
        <w:rPr>
          <w:rFonts w:eastAsia="Times New Roman" w:cs="Times New Roman"/>
          <w:szCs w:val="20"/>
          <w:lang w:val="en-GB"/>
        </w:rPr>
      </w:pPr>
      <w:r w:rsidRPr="00A2171C">
        <w:rPr>
          <w:rFonts w:eastAsia="Times New Roman" w:cs="Times New Roman"/>
          <w:szCs w:val="20"/>
          <w:lang w:val="en-GB"/>
        </w:rPr>
        <w:t>Internal fire combat conditions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C,2</m:t>
            </m:r>
          </m:sub>
        </m:sSub>
      </m:oMath>
      <w:r w:rsidRPr="00A2171C">
        <w:rPr>
          <w:rFonts w:eastAsia="Times New Roman" w:cs="Times New Roman"/>
          <w:szCs w:val="20"/>
          <w:lang w:val="en-GB"/>
        </w:rPr>
        <w:t xml:space="preserve">) </w:t>
      </w:r>
      <w:r w:rsidR="00BA2612" w:rsidRPr="00A2171C">
        <w:rPr>
          <w:rFonts w:eastAsia="Times New Roman" w:cs="Times New Roman"/>
          <w:szCs w:val="20"/>
          <w:lang w:val="en-GB"/>
        </w:rPr>
        <w:t>is related</w:t>
      </w:r>
      <w:r w:rsidRPr="00A2171C">
        <w:rPr>
          <w:rFonts w:eastAsia="Times New Roman" w:cs="Times New Roman"/>
          <w:szCs w:val="20"/>
          <w:lang w:val="en-GB"/>
        </w:rPr>
        <w:t xml:space="preserve"> to the firefighting </w:t>
      </w:r>
      <w:r w:rsidR="00BA2612" w:rsidRPr="00A2171C">
        <w:rPr>
          <w:rFonts w:eastAsia="Times New Roman" w:cs="Times New Roman"/>
          <w:szCs w:val="20"/>
          <w:lang w:val="en-GB"/>
        </w:rPr>
        <w:t xml:space="preserve">means </w:t>
      </w:r>
      <w:r w:rsidRPr="00A2171C">
        <w:rPr>
          <w:rFonts w:eastAsia="Times New Roman" w:cs="Times New Roman"/>
          <w:szCs w:val="20"/>
          <w:lang w:val="en-GB"/>
        </w:rPr>
        <w:t>present in buildings, such as manual fire extinguishers, fire networks, dry or wet columns, automatic extinguishing systems</w:t>
      </w:r>
      <w:r w:rsidR="00BA2612" w:rsidRPr="00A2171C">
        <w:rPr>
          <w:rFonts w:eastAsia="Times New Roman" w:cs="Times New Roman"/>
          <w:szCs w:val="20"/>
          <w:lang w:val="en-GB"/>
        </w:rPr>
        <w:t>,</w:t>
      </w:r>
      <w:r w:rsidRPr="00A2171C">
        <w:rPr>
          <w:rFonts w:eastAsia="Times New Roman" w:cs="Times New Roman"/>
          <w:szCs w:val="20"/>
          <w:lang w:val="en-GB"/>
        </w:rPr>
        <w:t xml:space="preserve"> and reliability of the water network. The Chilean Standard only requires the presence of manual extinguishers in the workplace </w:t>
      </w:r>
      <w:r w:rsidR="00582404" w:rsidRPr="00A2171C">
        <w:rPr>
          <w:rFonts w:eastAsia="Times New Roman" w:cs="Times New Roman"/>
          <w:szCs w:val="20"/>
          <w:lang w:val="en-GB"/>
        </w:rPr>
        <w:t>if</w:t>
      </w:r>
      <w:r w:rsidRPr="00A2171C">
        <w:rPr>
          <w:rFonts w:eastAsia="Times New Roman" w:cs="Times New Roman"/>
          <w:szCs w:val="20"/>
          <w:lang w:val="en-GB"/>
        </w:rPr>
        <w:t xml:space="preserve"> a risk of fire exists, due to the nature of construction materials or the</w:t>
      </w:r>
      <w:r w:rsidR="00582404" w:rsidRPr="00A2171C">
        <w:rPr>
          <w:rFonts w:eastAsia="Times New Roman" w:cs="Times New Roman"/>
          <w:szCs w:val="20"/>
          <w:lang w:val="en-GB"/>
        </w:rPr>
        <w:t xml:space="preserve"> nature of </w:t>
      </w:r>
      <w:r w:rsidRPr="00A2171C">
        <w:rPr>
          <w:rFonts w:eastAsia="Times New Roman" w:cs="Times New Roman"/>
          <w:szCs w:val="20"/>
          <w:lang w:val="en-GB"/>
        </w:rPr>
        <w:t xml:space="preserve">work. </w:t>
      </w:r>
      <w:r w:rsidR="00582404" w:rsidRPr="00A2171C">
        <w:rPr>
          <w:rFonts w:eastAsia="Times New Roman" w:cs="Times New Roman"/>
          <w:szCs w:val="20"/>
          <w:lang w:val="en-GB"/>
        </w:rPr>
        <w:t>If</w:t>
      </w:r>
      <w:r w:rsidRPr="00A2171C">
        <w:rPr>
          <w:rFonts w:eastAsia="Times New Roman" w:cs="Times New Roman"/>
          <w:szCs w:val="20"/>
          <w:lang w:val="en-GB"/>
        </w:rPr>
        <w:t xml:space="preserve"> a high potential fire risk</w:t>
      </w:r>
      <w:r w:rsidR="00582404" w:rsidRPr="00A2171C">
        <w:rPr>
          <w:rFonts w:eastAsia="Times New Roman" w:cs="Times New Roman"/>
          <w:szCs w:val="20"/>
          <w:lang w:val="en-GB"/>
        </w:rPr>
        <w:t xml:space="preserve"> exists</w:t>
      </w:r>
      <w:r w:rsidRPr="00A2171C">
        <w:rPr>
          <w:rFonts w:eastAsia="Times New Roman" w:cs="Times New Roman"/>
          <w:szCs w:val="20"/>
          <w:lang w:val="en-GB"/>
        </w:rPr>
        <w:t xml:space="preserve">, given the nature of the </w:t>
      </w:r>
      <w:r w:rsidR="00582404" w:rsidRPr="00A2171C">
        <w:rPr>
          <w:rFonts w:eastAsia="Times New Roman" w:cs="Times New Roman"/>
          <w:szCs w:val="20"/>
          <w:lang w:val="en-GB"/>
        </w:rPr>
        <w:t>materials</w:t>
      </w:r>
      <w:r w:rsidRPr="00A2171C">
        <w:rPr>
          <w:rFonts w:eastAsia="Times New Roman" w:cs="Times New Roman"/>
          <w:szCs w:val="20"/>
          <w:lang w:val="en-GB"/>
        </w:rPr>
        <w:t xml:space="preserve"> </w:t>
      </w:r>
      <w:r w:rsidR="00582404" w:rsidRPr="00A2171C">
        <w:rPr>
          <w:rFonts w:eastAsia="Times New Roman" w:cs="Times New Roman"/>
          <w:szCs w:val="20"/>
          <w:lang w:val="en-GB"/>
        </w:rPr>
        <w:t>present</w:t>
      </w:r>
      <w:r w:rsidRPr="00A2171C">
        <w:rPr>
          <w:rFonts w:eastAsia="Times New Roman" w:cs="Times New Roman"/>
          <w:szCs w:val="20"/>
          <w:lang w:val="en-GB"/>
        </w:rPr>
        <w:t xml:space="preserve">, it may require the installation of an automatic fire extinguishing system -Art. 52 -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{"citationItems":[{"id":"ITEM-1","itemData":{"author":[{"dropping-particle":"","family":"Decree No. 594","given":"","non-dropping-particle":"","parse-names":false,"suffix":""}],"id":"ITEM-1","issued":{"date-parts":[["2000"]]},"title":"Reglamento sobre Condiciones Sanitarias y Ambientales Básicas en los Lugares de Trabajo. Ministerio de Salud","type":"article-journal"},"uris":["http://www.mendeley.com/documents/?uuid=5df6985e-4a74-4e95-bcd5-c38a78b48ddc"]}],"mendeley":{"formattedCitation":"(Decree No. 594, 2000)","plainTextFormattedCitation":"(Decree No. 594, 2000)","previouslyFormattedCitation":"(Decree No. 594, 2000)"},"properties":{"noteIndex":0},"schema":"https://github.com/citation-style-language/schema/raw/master/csl-citation.json"}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(Decree No. 594, 2000)</w:t>
      </w:r>
      <w:r w:rsidRPr="00A2171C">
        <w:rPr>
          <w:rFonts w:eastAsia="Times New Roman" w:cs="Times New Roman"/>
          <w:szCs w:val="20"/>
          <w:lang w:val="en-GB"/>
        </w:rPr>
        <w:fldChar w:fldCharType="end"/>
      </w:r>
      <w:r w:rsidRPr="00A2171C">
        <w:rPr>
          <w:rFonts w:eastAsia="Times New Roman" w:cs="Times New Roman"/>
          <w:szCs w:val="20"/>
          <w:lang w:val="en-GB"/>
        </w:rPr>
        <w:t>. The standard also establishes the number of extinguishers and their distribution according to the surface area to be covered</w:t>
      </w:r>
      <w:r w:rsidR="00D97A16" w:rsidRPr="00A2171C">
        <w:rPr>
          <w:rFonts w:eastAsia="Times New Roman" w:cs="Times New Roman"/>
          <w:szCs w:val="20"/>
          <w:lang w:val="en-GB"/>
        </w:rPr>
        <w:t xml:space="preserve">, indicated in </w:t>
      </w:r>
      <w:r w:rsidR="005643EF" w:rsidRPr="00A2171C">
        <w:fldChar w:fldCharType="begin"/>
      </w:r>
      <w:r w:rsidR="005643EF" w:rsidRPr="00A2171C">
        <w:rPr>
          <w:lang w:val="en-US"/>
        </w:rPr>
        <w:instrText xml:space="preserve"> REF _Ref121159280 \h </w:instrText>
      </w:r>
      <w:r w:rsidR="006E628A" w:rsidRPr="00A2171C">
        <w:rPr>
          <w:lang w:val="en-US"/>
        </w:rPr>
        <w:instrText xml:space="preserve"> \* MERGEFORMAT </w:instrText>
      </w:r>
      <w:r w:rsidR="005643EF" w:rsidRPr="00A2171C">
        <w:fldChar w:fldCharType="separate"/>
      </w:r>
      <w:r w:rsidR="00C20049" w:rsidRPr="00A2171C">
        <w:rPr>
          <w:lang w:val="en-US"/>
        </w:rPr>
        <w:t xml:space="preserve">Table </w:t>
      </w:r>
      <w:r w:rsidR="00C20049" w:rsidRPr="00A2171C">
        <w:rPr>
          <w:noProof/>
          <w:lang w:val="en-US"/>
        </w:rPr>
        <w:t>4</w:t>
      </w:r>
      <w:r w:rsidR="005643EF" w:rsidRPr="00A2171C">
        <w:fldChar w:fldCharType="end"/>
      </w:r>
      <w:r w:rsidR="000B4A57" w:rsidRPr="00A2171C">
        <w:rPr>
          <w:lang w:val="en-US"/>
        </w:rPr>
        <w:t xml:space="preserve">. </w:t>
      </w:r>
      <w:r w:rsidRPr="00A2171C">
        <w:rPr>
          <w:rFonts w:eastAsia="Times New Roman" w:cs="Times New Roman"/>
          <w:szCs w:val="20"/>
          <w:lang w:val="en-GB"/>
        </w:rPr>
        <w:t>In residential buildings with at least one fire extinguisher</w:t>
      </w:r>
      <w:r w:rsidR="00582404" w:rsidRPr="00A2171C">
        <w:rPr>
          <w:rFonts w:eastAsia="Times New Roman" w:cs="Times New Roman"/>
          <w:szCs w:val="20"/>
          <w:lang w:val="en-GB"/>
        </w:rPr>
        <w:t>, the</w:t>
      </w:r>
      <w:r w:rsidRPr="00A2171C">
        <w:rPr>
          <w:rFonts w:eastAsia="Times New Roman" w:cs="Times New Roman"/>
          <w:szCs w:val="20"/>
          <w:lang w:val="en-GB"/>
        </w:rPr>
        <w:t xml:space="preserve"> FRI method propose</w:t>
      </w:r>
      <w:r w:rsidR="00582404" w:rsidRPr="00A2171C">
        <w:rPr>
          <w:rFonts w:eastAsia="Times New Roman" w:cs="Times New Roman"/>
          <w:szCs w:val="20"/>
          <w:lang w:val="en-GB"/>
        </w:rPr>
        <w:t>s</w:t>
      </w:r>
      <w:r w:rsidRPr="00A2171C">
        <w:rPr>
          <w:rFonts w:eastAsia="Times New Roman" w:cs="Times New Roman"/>
          <w:szCs w:val="20"/>
          <w:lang w:val="en-GB"/>
        </w:rPr>
        <w:t xml:space="preserve"> a value of 0.9, </w:t>
      </w:r>
      <w:r w:rsidR="00582404" w:rsidRPr="00A2171C">
        <w:rPr>
          <w:rFonts w:eastAsia="Times New Roman" w:cs="Times New Roman"/>
          <w:szCs w:val="20"/>
          <w:lang w:val="en-GB"/>
        </w:rPr>
        <w:t>or</w:t>
      </w:r>
      <w:r w:rsidRPr="00A2171C">
        <w:rPr>
          <w:rFonts w:eastAsia="Times New Roman" w:cs="Times New Roman"/>
          <w:szCs w:val="20"/>
          <w:lang w:val="en-GB"/>
        </w:rPr>
        <w:t xml:space="preserve"> 1.0 </w:t>
      </w:r>
      <w:r w:rsidR="00582404" w:rsidRPr="00A2171C">
        <w:rPr>
          <w:rFonts w:eastAsia="Times New Roman" w:cs="Times New Roman"/>
          <w:szCs w:val="20"/>
          <w:lang w:val="en-GB"/>
        </w:rPr>
        <w:t>otherwise</w:t>
      </w:r>
      <w:r w:rsidRPr="00A2171C">
        <w:rPr>
          <w:rFonts w:eastAsia="Times New Roman" w:cs="Times New Roman"/>
          <w:szCs w:val="20"/>
          <w:lang w:val="en-GB"/>
        </w:rPr>
        <w:t xml:space="preserve">. </w:t>
      </w:r>
      <w:r w:rsidR="00582404" w:rsidRPr="00A2171C">
        <w:rPr>
          <w:rFonts w:eastAsia="Times New Roman" w:cs="Times New Roman"/>
          <w:szCs w:val="20"/>
          <w:lang w:val="en-GB"/>
        </w:rPr>
        <w:t>In</w:t>
      </w:r>
      <w:r w:rsidRPr="00A2171C">
        <w:rPr>
          <w:rFonts w:eastAsia="Times New Roman" w:cs="Times New Roman"/>
          <w:szCs w:val="20"/>
          <w:lang w:val="en-GB"/>
        </w:rPr>
        <w:t xml:space="preserve"> the workplace, the number of fire extinguishers should </w:t>
      </w:r>
      <w:r w:rsidR="00582404" w:rsidRPr="00A2171C">
        <w:rPr>
          <w:rFonts w:eastAsia="Times New Roman" w:cs="Times New Roman"/>
          <w:szCs w:val="20"/>
          <w:lang w:val="en-GB"/>
        </w:rPr>
        <w:t>match</w:t>
      </w:r>
      <w:r w:rsidRPr="00A2171C">
        <w:rPr>
          <w:rFonts w:eastAsia="Times New Roman" w:cs="Times New Roman"/>
          <w:szCs w:val="20"/>
          <w:lang w:val="en-GB"/>
        </w:rPr>
        <w:t xml:space="preserve"> the requirements of </w:t>
      </w:r>
      <w:r w:rsidR="00582404" w:rsidRPr="00A2171C">
        <w:rPr>
          <w:rFonts w:eastAsia="Times New Roman" w:cs="Times New Roman"/>
          <w:szCs w:val="20"/>
          <w:lang w:val="en-GB"/>
        </w:rPr>
        <w:t xml:space="preserve">the </w:t>
      </w:r>
      <w:r w:rsidRPr="00A2171C">
        <w:rPr>
          <w:rFonts w:eastAsia="Times New Roman" w:cs="Times New Roman"/>
          <w:szCs w:val="20"/>
          <w:lang w:val="en-GB"/>
        </w:rPr>
        <w:t>Chilean Standard</w:t>
      </w:r>
      <w:r w:rsidR="00D97A16" w:rsidRPr="00A2171C">
        <w:rPr>
          <w:rFonts w:eastAsia="Times New Roman" w:cs="Times New Roman"/>
          <w:szCs w:val="20"/>
          <w:lang w:val="en-GB"/>
        </w:rPr>
        <w:t>.</w:t>
      </w:r>
      <w:r w:rsidR="006E628A" w:rsidRPr="00A2171C">
        <w:rPr>
          <w:rFonts w:eastAsia="Times New Roman" w:cs="Times New Roman"/>
          <w:szCs w:val="20"/>
          <w:lang w:val="en-GB"/>
        </w:rPr>
        <w:t xml:space="preserve"> </w:t>
      </w:r>
      <w:r w:rsidRPr="00A2171C">
        <w:rPr>
          <w:rFonts w:eastAsia="Times New Roman" w:cs="Times New Roman"/>
          <w:szCs w:val="20"/>
          <w:lang w:val="en-GB"/>
        </w:rPr>
        <w:t xml:space="preserve">The existence of </w:t>
      </w:r>
      <w:r w:rsidR="00582404" w:rsidRPr="00A2171C">
        <w:rPr>
          <w:rFonts w:eastAsia="Times New Roman" w:cs="Times New Roman"/>
          <w:szCs w:val="20"/>
          <w:lang w:val="en-GB"/>
        </w:rPr>
        <w:t>additional</w:t>
      </w:r>
      <w:r w:rsidRPr="00A2171C">
        <w:rPr>
          <w:rFonts w:eastAsia="Times New Roman" w:cs="Times New Roman"/>
          <w:szCs w:val="20"/>
          <w:lang w:val="en-GB"/>
        </w:rPr>
        <w:t xml:space="preserve"> fire protection systems, such as wet fire sprinkler systems, dry pipe systems and pre-action systems can be also considered by the adoption of subtraction coefficients equal to -0.25</w:t>
      </w:r>
      <w:r w:rsidR="00582404" w:rsidRPr="00A2171C">
        <w:rPr>
          <w:rFonts w:eastAsia="Times New Roman" w:cs="Times New Roman"/>
          <w:szCs w:val="20"/>
          <w:lang w:val="en-GB"/>
        </w:rPr>
        <w:t>and up to</w:t>
      </w:r>
      <w:r w:rsidRPr="00A2171C">
        <w:rPr>
          <w:rFonts w:eastAsia="Times New Roman" w:cs="Times New Roman"/>
          <w:szCs w:val="20"/>
          <w:lang w:val="en-GB"/>
        </w:rPr>
        <w:t xml:space="preserve"> </w:t>
      </w:r>
      <w:r w:rsidR="00582404" w:rsidRPr="00A2171C">
        <w:rPr>
          <w:rFonts w:eastAsia="Times New Roman" w:cs="Times New Roman"/>
          <w:szCs w:val="20"/>
          <w:lang w:val="en-GB"/>
        </w:rPr>
        <w:t>-</w:t>
      </w:r>
      <w:r w:rsidRPr="00A2171C">
        <w:rPr>
          <w:rFonts w:eastAsia="Times New Roman" w:cs="Times New Roman"/>
          <w:szCs w:val="20"/>
          <w:lang w:val="en-GB"/>
        </w:rPr>
        <w:t xml:space="preserve">0.75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{"citationItems":[{"id":"ITEM-1","itemData":{"author":[{"dropping-particle":"","family":"Vicente","given":"Romeu","non-dropping-particle":"","parse-names":false,"suffix":""},{"dropping-particle":"","family":"Silva","given":"J. Ant. R.","non-dropping-particle":"","parse-names":false,"suffix":""},{"dropping-particle":"","family":"Varum","given":"Humberto","non-dropping-particle":"","parse-names":false,"suffix":""},{"dropping-particle":"","family":"Costa","given":"Aníbal","non-dropping-particle":"","parse-names":false,"suffix":""},{"dropping-particle":"","family":"Subtil","given":"Ana","non-dropping-particle":"","parse-names":false,"suffix":""},{"dropping-particle":"","family":"Santos","given":"Cátia","non-dropping-particle":"","parse-names":false,"suffix":""},{"dropping-particle":"","family":"Santos","given":"Mário","non-dropping-particle":"","parse-names":false,"suffix":""},{"dropping-particle":"","family":"Ferreira","given":"Tiago","non-dropping-particle":"","parse-names":false,"suffix":""},{"dropping-particle":"","family":"Rodrigues","given":"Ana","non-dropping-particle":"","parse-names":false,"suffix":""}],"id":"ITEM-1","issued":{"date-parts":[["2010"]]},"title":"CADERNO DE APOIO À AVALIAÇÃO DO RISCO SÍSMICO E DE INCÊNDIO NOS NÚCLEOS URBANOS ANTIGOS DO SEIXAL","type":"book"},"uris":["http://www.mendeley.com/documents/?uuid=e74ef6e7-da85-4717-81a0-cd08f3561dcb"]}],"mendeley":{"formattedCitation":"(Vicente et al., 2010)","manualFormatting":"(Vicente et al., 2010, Granda &amp; Ferreira, 2019a, 2019b)","plainTextFormattedCitation":"(Vicente et al., 2010)","previouslyFormattedCitation":"(Vicente et al., 2010)"},"properties":{"noteIndex":0},"schema":"https://github.com/citation-style-language/schema/raw/master/csl-citation.json"}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(Vicente et al., 2010, Granda &amp; Ferreira, 2019a, 2019b)</w:t>
      </w:r>
      <w:r w:rsidRPr="00A2171C">
        <w:rPr>
          <w:rFonts w:eastAsia="Times New Roman" w:cs="Times New Roman"/>
          <w:szCs w:val="20"/>
          <w:lang w:val="en-GB"/>
        </w:rPr>
        <w:fldChar w:fldCharType="end"/>
      </w:r>
      <w:r w:rsidRPr="00A2171C">
        <w:rPr>
          <w:rFonts w:eastAsia="Times New Roman" w:cs="Times New Roman"/>
          <w:szCs w:val="20"/>
          <w:lang w:val="en-GB"/>
        </w:rPr>
        <w:t>.</w:t>
      </w:r>
    </w:p>
    <w:p w14:paraId="444528C8" w14:textId="62FA11E9" w:rsidR="005643EF" w:rsidRPr="00A2171C" w:rsidRDefault="005643EF" w:rsidP="005643EF">
      <w:pPr>
        <w:pStyle w:val="Caption"/>
        <w:spacing w:before="240"/>
        <w:jc w:val="center"/>
        <w:rPr>
          <w:color w:val="auto"/>
          <w:lang w:val="en-GB"/>
        </w:rPr>
      </w:pPr>
      <w:bookmarkStart w:id="20" w:name="_Ref121159280"/>
      <w:r w:rsidRPr="00A2171C">
        <w:rPr>
          <w:color w:val="auto"/>
          <w:lang w:val="en-US"/>
        </w:rPr>
        <w:t xml:space="preserve">Table </w:t>
      </w:r>
      <w:r w:rsidRPr="00A2171C">
        <w:rPr>
          <w:color w:val="auto"/>
        </w:rPr>
        <w:fldChar w:fldCharType="begin"/>
      </w:r>
      <w:r w:rsidRPr="00A2171C">
        <w:rPr>
          <w:color w:val="auto"/>
          <w:lang w:val="en-US"/>
        </w:rPr>
        <w:instrText xml:space="preserve"> SEQ Table \* ARABIC </w:instrText>
      </w:r>
      <w:r w:rsidRPr="00A2171C">
        <w:rPr>
          <w:color w:val="auto"/>
        </w:rPr>
        <w:fldChar w:fldCharType="separate"/>
      </w:r>
      <w:r w:rsidR="00C20049" w:rsidRPr="00A2171C">
        <w:rPr>
          <w:noProof/>
          <w:color w:val="auto"/>
          <w:lang w:val="en-US"/>
        </w:rPr>
        <w:t>4</w:t>
      </w:r>
      <w:r w:rsidRPr="00A2171C">
        <w:rPr>
          <w:color w:val="auto"/>
        </w:rPr>
        <w:fldChar w:fldCharType="end"/>
      </w:r>
      <w:bookmarkEnd w:id="20"/>
      <w:r w:rsidRPr="00A2171C">
        <w:rPr>
          <w:color w:val="auto"/>
          <w:lang w:val="en-US"/>
        </w:rPr>
        <w:t xml:space="preserve">: </w:t>
      </w:r>
      <w:r w:rsidRPr="00A2171C">
        <w:rPr>
          <w:color w:val="auto"/>
          <w:lang w:val="en-GB"/>
        </w:rPr>
        <w:t xml:space="preserve"> The minimum extinction potential per coverage surface and safety distance. Source: </w:t>
      </w:r>
      <w:r w:rsidRPr="00A2171C">
        <w:rPr>
          <w:color w:val="auto"/>
          <w:lang w:val="en-GB"/>
        </w:rPr>
        <w:fldChar w:fldCharType="begin" w:fldLock="1"/>
      </w:r>
      <w:r w:rsidRPr="00A2171C">
        <w:rPr>
          <w:color w:val="auto"/>
          <w:lang w:val="en-GB"/>
        </w:rPr>
        <w:instrText>ADDIN CSL_CITATION {"citationItems":[{"id":"ITEM-1","itemData":{"author":[{"dropping-particle":"","family":"Decree No. 594","given":"","non-dropping-particle":"","parse-names":false,"suffix":""}],"id":"ITEM-1","issued":{"date-parts":[["2000"]]},"title":"Reglamento sobre Condiciones Sanitarias y Ambientales Básicas en los Lugares de Trabajo. Ministerio de Salud","type":"article-journal"},"uris":["http://www.mendeley.com/documents/?uuid=5df6985e-4a74-4e95-bcd5-c38a78b48ddc"]}],"mendeley":{"formattedCitation":"(Decree No. 594, 2000)","plainTextFormattedCitation":"(Decree No. 594, 2000)","previouslyFormattedCitation":"(Decree No. 594, 2000)"},"properties":{"noteIndex":0},"schema":"https://github.com/citation-style-language/schema/raw/master/csl-citation.json"}</w:instrText>
      </w:r>
      <w:r w:rsidRPr="00A2171C">
        <w:rPr>
          <w:color w:val="auto"/>
          <w:lang w:val="en-GB"/>
        </w:rPr>
        <w:fldChar w:fldCharType="separate"/>
      </w:r>
      <w:r w:rsidRPr="00A2171C">
        <w:rPr>
          <w:noProof/>
          <w:color w:val="auto"/>
          <w:lang w:val="en-GB"/>
        </w:rPr>
        <w:t>(Decree No. 594, 2000)</w:t>
      </w:r>
      <w:r w:rsidRPr="00A2171C">
        <w:rPr>
          <w:color w:val="auto"/>
          <w:lang w:val="en-GB"/>
        </w:rPr>
        <w:fldChar w:fldCharType="end"/>
      </w:r>
    </w:p>
    <w:tbl>
      <w:tblPr>
        <w:tblW w:w="8505"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835"/>
        <w:gridCol w:w="2835"/>
      </w:tblGrid>
      <w:tr w:rsidR="00A2171C" w:rsidRPr="00A2171C" w14:paraId="3AAF5493" w14:textId="77777777" w:rsidTr="00CC0261">
        <w:trPr>
          <w:jc w:val="center"/>
        </w:trPr>
        <w:tc>
          <w:tcPr>
            <w:tcW w:w="2835" w:type="dxa"/>
            <w:tcBorders>
              <w:bottom w:val="single" w:sz="4" w:space="0" w:color="000000"/>
            </w:tcBorders>
            <w:vAlign w:val="center"/>
          </w:tcPr>
          <w:p w14:paraId="2C3A64E9" w14:textId="77777777" w:rsidR="005643EF" w:rsidRPr="00A2171C" w:rsidRDefault="005643EF" w:rsidP="00CC0261">
            <w:pPr>
              <w:pBdr>
                <w:top w:val="nil"/>
                <w:left w:val="nil"/>
                <w:bottom w:val="nil"/>
                <w:right w:val="nil"/>
                <w:between w:val="nil"/>
              </w:pBdr>
              <w:spacing w:after="0" w:line="240" w:lineRule="auto"/>
              <w:ind w:left="-107"/>
              <w:jc w:val="center"/>
              <w:rPr>
                <w:rFonts w:eastAsia="Times New Roman" w:cs="Times New Roman"/>
                <w:b/>
                <w:sz w:val="18"/>
                <w:szCs w:val="18"/>
                <w:lang w:val="en-GB"/>
              </w:rPr>
            </w:pPr>
            <w:r w:rsidRPr="00A2171C">
              <w:rPr>
                <w:rFonts w:eastAsia="Times New Roman" w:cs="Times New Roman"/>
                <w:b/>
                <w:sz w:val="18"/>
                <w:szCs w:val="18"/>
                <w:lang w:val="en-GB"/>
              </w:rPr>
              <w:t>Covering surface</w:t>
            </w:r>
          </w:p>
          <w:p w14:paraId="573E19D5" w14:textId="77777777" w:rsidR="005643EF" w:rsidRPr="00A2171C" w:rsidRDefault="005643EF" w:rsidP="00CC0261">
            <w:pPr>
              <w:pBdr>
                <w:top w:val="nil"/>
                <w:left w:val="nil"/>
                <w:bottom w:val="nil"/>
                <w:right w:val="nil"/>
                <w:between w:val="nil"/>
              </w:pBdr>
              <w:spacing w:after="0" w:line="240" w:lineRule="auto"/>
              <w:ind w:left="-107"/>
              <w:jc w:val="center"/>
              <w:rPr>
                <w:rFonts w:eastAsia="Times New Roman" w:cs="Times New Roman"/>
                <w:b/>
                <w:sz w:val="18"/>
                <w:szCs w:val="18"/>
                <w:lang w:val="en-GB"/>
              </w:rPr>
            </w:pPr>
            <w:r w:rsidRPr="00A2171C">
              <w:rPr>
                <w:rFonts w:eastAsia="Times New Roman" w:cs="Times New Roman"/>
                <w:b/>
                <w:sz w:val="18"/>
                <w:szCs w:val="18"/>
                <w:lang w:val="en-GB"/>
              </w:rPr>
              <w:t>maximum per extinguisher (m2)</w:t>
            </w:r>
          </w:p>
        </w:tc>
        <w:tc>
          <w:tcPr>
            <w:tcW w:w="2835" w:type="dxa"/>
            <w:tcBorders>
              <w:bottom w:val="single" w:sz="4" w:space="0" w:color="000000"/>
            </w:tcBorders>
            <w:vAlign w:val="center"/>
          </w:tcPr>
          <w:p w14:paraId="0471DC65" w14:textId="77777777" w:rsidR="005643EF" w:rsidRPr="00A2171C" w:rsidRDefault="005643EF" w:rsidP="00CC0261">
            <w:pPr>
              <w:pBdr>
                <w:top w:val="nil"/>
                <w:left w:val="nil"/>
                <w:bottom w:val="nil"/>
                <w:right w:val="nil"/>
                <w:between w:val="nil"/>
              </w:pBdr>
              <w:spacing w:after="0" w:line="240" w:lineRule="auto"/>
              <w:jc w:val="center"/>
              <w:rPr>
                <w:rFonts w:eastAsia="Times New Roman" w:cs="Times New Roman"/>
                <w:b/>
                <w:sz w:val="18"/>
                <w:szCs w:val="18"/>
                <w:lang w:val="en-GB"/>
              </w:rPr>
            </w:pPr>
            <w:r w:rsidRPr="00A2171C">
              <w:rPr>
                <w:rFonts w:eastAsia="Times New Roman" w:cs="Times New Roman"/>
                <w:b/>
                <w:sz w:val="18"/>
                <w:szCs w:val="18"/>
                <w:lang w:val="en-GB"/>
              </w:rPr>
              <w:t>Minimum extinction potential</w:t>
            </w:r>
          </w:p>
        </w:tc>
        <w:tc>
          <w:tcPr>
            <w:tcW w:w="2835" w:type="dxa"/>
            <w:tcBorders>
              <w:bottom w:val="single" w:sz="4" w:space="0" w:color="000000"/>
            </w:tcBorders>
            <w:vAlign w:val="center"/>
          </w:tcPr>
          <w:p w14:paraId="1F20C444" w14:textId="77777777" w:rsidR="005643EF" w:rsidRPr="00A2171C" w:rsidRDefault="005643EF" w:rsidP="00CC0261">
            <w:pPr>
              <w:pBdr>
                <w:top w:val="nil"/>
                <w:left w:val="nil"/>
                <w:bottom w:val="nil"/>
                <w:right w:val="nil"/>
                <w:between w:val="nil"/>
              </w:pBdr>
              <w:spacing w:after="0" w:line="240" w:lineRule="auto"/>
              <w:ind w:left="-32"/>
              <w:jc w:val="center"/>
              <w:rPr>
                <w:rFonts w:eastAsia="Times New Roman" w:cs="Times New Roman"/>
                <w:b/>
                <w:sz w:val="18"/>
                <w:szCs w:val="18"/>
                <w:lang w:val="en-GB"/>
              </w:rPr>
            </w:pPr>
            <w:r w:rsidRPr="00A2171C">
              <w:rPr>
                <w:rFonts w:eastAsia="Times New Roman" w:cs="Times New Roman"/>
                <w:b/>
                <w:sz w:val="18"/>
                <w:szCs w:val="18"/>
                <w:lang w:val="en-GB"/>
              </w:rPr>
              <w:t>Maximum distance from</w:t>
            </w:r>
          </w:p>
          <w:p w14:paraId="471639AC" w14:textId="77777777" w:rsidR="005643EF" w:rsidRPr="00A2171C" w:rsidRDefault="005643EF" w:rsidP="00CC0261">
            <w:pPr>
              <w:pBdr>
                <w:top w:val="nil"/>
                <w:left w:val="nil"/>
                <w:bottom w:val="nil"/>
                <w:right w:val="nil"/>
                <w:between w:val="nil"/>
              </w:pBdr>
              <w:spacing w:after="0" w:line="240" w:lineRule="auto"/>
              <w:ind w:left="-32"/>
              <w:jc w:val="center"/>
              <w:rPr>
                <w:rFonts w:eastAsia="Times New Roman" w:cs="Times New Roman"/>
                <w:b/>
                <w:sz w:val="18"/>
                <w:szCs w:val="18"/>
                <w:lang w:val="en-GB"/>
              </w:rPr>
            </w:pPr>
            <w:r w:rsidRPr="00A2171C">
              <w:rPr>
                <w:rFonts w:eastAsia="Times New Roman" w:cs="Times New Roman"/>
                <w:b/>
                <w:sz w:val="18"/>
                <w:szCs w:val="18"/>
                <w:lang w:val="en-GB"/>
              </w:rPr>
              <w:t>transfer of the extinguisher (m)</w:t>
            </w:r>
          </w:p>
        </w:tc>
      </w:tr>
      <w:tr w:rsidR="00A2171C" w:rsidRPr="00A2171C" w14:paraId="6E67D2A3" w14:textId="77777777" w:rsidTr="00CC0261">
        <w:trPr>
          <w:jc w:val="center"/>
        </w:trPr>
        <w:tc>
          <w:tcPr>
            <w:tcW w:w="2835" w:type="dxa"/>
            <w:tcBorders>
              <w:bottom w:val="nil"/>
            </w:tcBorders>
            <w:vAlign w:val="center"/>
          </w:tcPr>
          <w:p w14:paraId="734C641D" w14:textId="77777777" w:rsidR="005643EF" w:rsidRPr="00A2171C" w:rsidRDefault="005643EF" w:rsidP="00CC0261">
            <w:pPr>
              <w:pBdr>
                <w:top w:val="nil"/>
                <w:left w:val="nil"/>
                <w:bottom w:val="nil"/>
                <w:right w:val="nil"/>
                <w:between w:val="nil"/>
              </w:pBdr>
              <w:spacing w:after="0" w:line="240" w:lineRule="auto"/>
              <w:ind w:left="-107"/>
              <w:jc w:val="center"/>
              <w:rPr>
                <w:rFonts w:eastAsia="Times New Roman" w:cs="Times New Roman"/>
                <w:sz w:val="18"/>
                <w:szCs w:val="18"/>
                <w:lang w:val="en-GB"/>
              </w:rPr>
            </w:pPr>
            <w:r w:rsidRPr="00A2171C">
              <w:rPr>
                <w:rFonts w:eastAsia="Times New Roman" w:cs="Times New Roman"/>
                <w:sz w:val="18"/>
                <w:szCs w:val="18"/>
                <w:lang w:val="en-GB"/>
              </w:rPr>
              <w:t>150</w:t>
            </w:r>
          </w:p>
        </w:tc>
        <w:tc>
          <w:tcPr>
            <w:tcW w:w="2835" w:type="dxa"/>
            <w:tcBorders>
              <w:bottom w:val="nil"/>
            </w:tcBorders>
            <w:vAlign w:val="center"/>
          </w:tcPr>
          <w:p w14:paraId="54A9AF22" w14:textId="77777777" w:rsidR="005643EF" w:rsidRPr="00A2171C" w:rsidRDefault="005643EF" w:rsidP="00CC0261">
            <w:pPr>
              <w:pBdr>
                <w:top w:val="nil"/>
                <w:left w:val="nil"/>
                <w:bottom w:val="nil"/>
                <w:right w:val="nil"/>
                <w:between w:val="nil"/>
              </w:pBdr>
              <w:spacing w:after="0" w:line="240" w:lineRule="auto"/>
              <w:jc w:val="center"/>
              <w:rPr>
                <w:rFonts w:eastAsia="Times New Roman" w:cs="Times New Roman"/>
                <w:sz w:val="18"/>
                <w:szCs w:val="18"/>
                <w:lang w:val="en-GB"/>
              </w:rPr>
            </w:pPr>
            <w:r w:rsidRPr="00A2171C">
              <w:rPr>
                <w:rFonts w:eastAsia="Times New Roman" w:cs="Times New Roman"/>
                <w:sz w:val="18"/>
                <w:szCs w:val="18"/>
                <w:lang w:val="en-GB"/>
              </w:rPr>
              <w:t>4 A</w:t>
            </w:r>
          </w:p>
        </w:tc>
        <w:tc>
          <w:tcPr>
            <w:tcW w:w="2835" w:type="dxa"/>
            <w:tcBorders>
              <w:bottom w:val="nil"/>
            </w:tcBorders>
            <w:vAlign w:val="center"/>
          </w:tcPr>
          <w:p w14:paraId="0CB09C46" w14:textId="77777777" w:rsidR="005643EF" w:rsidRPr="00A2171C" w:rsidRDefault="005643EF" w:rsidP="00CC0261">
            <w:pPr>
              <w:pBdr>
                <w:top w:val="nil"/>
                <w:left w:val="nil"/>
                <w:bottom w:val="nil"/>
                <w:right w:val="nil"/>
                <w:between w:val="nil"/>
              </w:pBdr>
              <w:spacing w:after="0" w:line="240" w:lineRule="auto"/>
              <w:ind w:left="-32"/>
              <w:jc w:val="center"/>
              <w:rPr>
                <w:rFonts w:eastAsia="Times New Roman" w:cs="Times New Roman"/>
                <w:sz w:val="18"/>
                <w:szCs w:val="18"/>
                <w:lang w:val="en-GB"/>
              </w:rPr>
            </w:pPr>
            <w:r w:rsidRPr="00A2171C">
              <w:rPr>
                <w:rFonts w:eastAsia="Times New Roman" w:cs="Times New Roman"/>
                <w:sz w:val="18"/>
                <w:szCs w:val="18"/>
                <w:lang w:val="en-GB"/>
              </w:rPr>
              <w:t>9</w:t>
            </w:r>
          </w:p>
        </w:tc>
      </w:tr>
      <w:tr w:rsidR="00A2171C" w:rsidRPr="00A2171C" w14:paraId="40342871" w14:textId="77777777" w:rsidTr="00CC0261">
        <w:trPr>
          <w:jc w:val="center"/>
        </w:trPr>
        <w:tc>
          <w:tcPr>
            <w:tcW w:w="2835" w:type="dxa"/>
            <w:tcBorders>
              <w:top w:val="nil"/>
              <w:bottom w:val="nil"/>
            </w:tcBorders>
            <w:vAlign w:val="center"/>
          </w:tcPr>
          <w:p w14:paraId="2008B3AC" w14:textId="77777777" w:rsidR="005643EF" w:rsidRPr="00A2171C" w:rsidRDefault="005643EF" w:rsidP="00CC0261">
            <w:pPr>
              <w:pBdr>
                <w:top w:val="nil"/>
                <w:left w:val="nil"/>
                <w:bottom w:val="nil"/>
                <w:right w:val="nil"/>
                <w:between w:val="nil"/>
              </w:pBdr>
              <w:spacing w:after="0" w:line="240" w:lineRule="auto"/>
              <w:ind w:left="-107"/>
              <w:jc w:val="center"/>
              <w:rPr>
                <w:rFonts w:eastAsia="Times New Roman" w:cs="Times New Roman"/>
                <w:sz w:val="18"/>
                <w:szCs w:val="18"/>
                <w:lang w:val="en-GB"/>
              </w:rPr>
            </w:pPr>
            <w:r w:rsidRPr="00A2171C">
              <w:rPr>
                <w:rFonts w:eastAsia="Times New Roman" w:cs="Times New Roman"/>
                <w:sz w:val="18"/>
                <w:szCs w:val="18"/>
                <w:lang w:val="en-GB"/>
              </w:rPr>
              <w:t>225</w:t>
            </w:r>
          </w:p>
        </w:tc>
        <w:tc>
          <w:tcPr>
            <w:tcW w:w="2835" w:type="dxa"/>
            <w:tcBorders>
              <w:top w:val="nil"/>
              <w:bottom w:val="nil"/>
            </w:tcBorders>
            <w:vAlign w:val="center"/>
          </w:tcPr>
          <w:p w14:paraId="08E19C16" w14:textId="77777777" w:rsidR="005643EF" w:rsidRPr="00A2171C" w:rsidRDefault="005643EF" w:rsidP="00CC0261">
            <w:pPr>
              <w:pBdr>
                <w:top w:val="nil"/>
                <w:left w:val="nil"/>
                <w:bottom w:val="nil"/>
                <w:right w:val="nil"/>
                <w:between w:val="nil"/>
              </w:pBdr>
              <w:spacing w:after="0" w:line="240" w:lineRule="auto"/>
              <w:jc w:val="center"/>
              <w:rPr>
                <w:rFonts w:eastAsia="Times New Roman" w:cs="Times New Roman"/>
                <w:sz w:val="18"/>
                <w:szCs w:val="18"/>
                <w:lang w:val="en-GB"/>
              </w:rPr>
            </w:pPr>
            <w:r w:rsidRPr="00A2171C">
              <w:rPr>
                <w:rFonts w:eastAsia="Times New Roman" w:cs="Times New Roman"/>
                <w:sz w:val="18"/>
                <w:szCs w:val="18"/>
                <w:lang w:val="en-GB"/>
              </w:rPr>
              <w:t>6 A</w:t>
            </w:r>
          </w:p>
        </w:tc>
        <w:tc>
          <w:tcPr>
            <w:tcW w:w="2835" w:type="dxa"/>
            <w:tcBorders>
              <w:top w:val="nil"/>
              <w:bottom w:val="nil"/>
            </w:tcBorders>
            <w:vAlign w:val="center"/>
          </w:tcPr>
          <w:p w14:paraId="522DC039" w14:textId="77777777" w:rsidR="005643EF" w:rsidRPr="00A2171C" w:rsidRDefault="005643EF" w:rsidP="00CC0261">
            <w:pPr>
              <w:pBdr>
                <w:top w:val="nil"/>
                <w:left w:val="nil"/>
                <w:bottom w:val="nil"/>
                <w:right w:val="nil"/>
                <w:between w:val="nil"/>
              </w:pBdr>
              <w:spacing w:after="0" w:line="240" w:lineRule="auto"/>
              <w:ind w:left="-32"/>
              <w:jc w:val="center"/>
              <w:rPr>
                <w:rFonts w:eastAsia="Times New Roman" w:cs="Times New Roman"/>
                <w:sz w:val="18"/>
                <w:szCs w:val="18"/>
                <w:lang w:val="en-GB"/>
              </w:rPr>
            </w:pPr>
            <w:r w:rsidRPr="00A2171C">
              <w:rPr>
                <w:rFonts w:eastAsia="Times New Roman" w:cs="Times New Roman"/>
                <w:sz w:val="18"/>
                <w:szCs w:val="18"/>
                <w:lang w:val="en-GB"/>
              </w:rPr>
              <w:t>11</w:t>
            </w:r>
          </w:p>
        </w:tc>
      </w:tr>
      <w:tr w:rsidR="00A2171C" w:rsidRPr="00A2171C" w14:paraId="55C6382E" w14:textId="77777777" w:rsidTr="00CC0261">
        <w:trPr>
          <w:jc w:val="center"/>
        </w:trPr>
        <w:tc>
          <w:tcPr>
            <w:tcW w:w="2835" w:type="dxa"/>
            <w:tcBorders>
              <w:top w:val="nil"/>
              <w:bottom w:val="nil"/>
            </w:tcBorders>
            <w:vAlign w:val="center"/>
          </w:tcPr>
          <w:p w14:paraId="2C0059CF" w14:textId="77777777" w:rsidR="005643EF" w:rsidRPr="00A2171C" w:rsidRDefault="005643EF" w:rsidP="00CC0261">
            <w:pPr>
              <w:pBdr>
                <w:top w:val="nil"/>
                <w:left w:val="nil"/>
                <w:bottom w:val="nil"/>
                <w:right w:val="nil"/>
                <w:between w:val="nil"/>
              </w:pBdr>
              <w:spacing w:after="0" w:line="240" w:lineRule="auto"/>
              <w:ind w:left="-107"/>
              <w:jc w:val="center"/>
              <w:rPr>
                <w:rFonts w:eastAsia="Times New Roman" w:cs="Times New Roman"/>
                <w:sz w:val="18"/>
                <w:szCs w:val="18"/>
                <w:lang w:val="en-GB"/>
              </w:rPr>
            </w:pPr>
            <w:r w:rsidRPr="00A2171C">
              <w:rPr>
                <w:rFonts w:eastAsia="Times New Roman" w:cs="Times New Roman"/>
                <w:sz w:val="18"/>
                <w:szCs w:val="18"/>
                <w:lang w:val="en-GB"/>
              </w:rPr>
              <w:t>375</w:t>
            </w:r>
          </w:p>
        </w:tc>
        <w:tc>
          <w:tcPr>
            <w:tcW w:w="2835" w:type="dxa"/>
            <w:tcBorders>
              <w:top w:val="nil"/>
              <w:bottom w:val="nil"/>
            </w:tcBorders>
            <w:vAlign w:val="center"/>
          </w:tcPr>
          <w:p w14:paraId="24821D1D" w14:textId="77777777" w:rsidR="005643EF" w:rsidRPr="00A2171C" w:rsidRDefault="005643EF" w:rsidP="00CC0261">
            <w:pPr>
              <w:pBdr>
                <w:top w:val="nil"/>
                <w:left w:val="nil"/>
                <w:bottom w:val="nil"/>
                <w:right w:val="nil"/>
                <w:between w:val="nil"/>
              </w:pBdr>
              <w:spacing w:after="0" w:line="240" w:lineRule="auto"/>
              <w:jc w:val="center"/>
              <w:rPr>
                <w:rFonts w:eastAsia="Times New Roman" w:cs="Times New Roman"/>
                <w:sz w:val="18"/>
                <w:szCs w:val="18"/>
                <w:lang w:val="en-GB"/>
              </w:rPr>
            </w:pPr>
            <w:r w:rsidRPr="00A2171C">
              <w:rPr>
                <w:rFonts w:eastAsia="Times New Roman" w:cs="Times New Roman"/>
                <w:sz w:val="18"/>
                <w:szCs w:val="18"/>
                <w:lang w:val="en-GB"/>
              </w:rPr>
              <w:t>10 A</w:t>
            </w:r>
          </w:p>
        </w:tc>
        <w:tc>
          <w:tcPr>
            <w:tcW w:w="2835" w:type="dxa"/>
            <w:tcBorders>
              <w:top w:val="nil"/>
              <w:bottom w:val="nil"/>
            </w:tcBorders>
            <w:vAlign w:val="center"/>
          </w:tcPr>
          <w:p w14:paraId="2EA39CE1" w14:textId="77777777" w:rsidR="005643EF" w:rsidRPr="00A2171C" w:rsidRDefault="005643EF" w:rsidP="00CC0261">
            <w:pPr>
              <w:pBdr>
                <w:top w:val="nil"/>
                <w:left w:val="nil"/>
                <w:bottom w:val="nil"/>
                <w:right w:val="nil"/>
                <w:between w:val="nil"/>
              </w:pBdr>
              <w:spacing w:after="0" w:line="240" w:lineRule="auto"/>
              <w:ind w:left="-32"/>
              <w:jc w:val="center"/>
              <w:rPr>
                <w:rFonts w:eastAsia="Times New Roman" w:cs="Times New Roman"/>
                <w:sz w:val="18"/>
                <w:szCs w:val="18"/>
                <w:lang w:val="en-GB"/>
              </w:rPr>
            </w:pPr>
            <w:r w:rsidRPr="00A2171C">
              <w:rPr>
                <w:rFonts w:eastAsia="Times New Roman" w:cs="Times New Roman"/>
                <w:sz w:val="18"/>
                <w:szCs w:val="18"/>
                <w:lang w:val="en-GB"/>
              </w:rPr>
              <w:t>13</w:t>
            </w:r>
          </w:p>
        </w:tc>
      </w:tr>
      <w:tr w:rsidR="005643EF" w:rsidRPr="00A2171C" w14:paraId="69368DF5" w14:textId="77777777" w:rsidTr="00CC0261">
        <w:trPr>
          <w:jc w:val="center"/>
        </w:trPr>
        <w:tc>
          <w:tcPr>
            <w:tcW w:w="2835" w:type="dxa"/>
            <w:tcBorders>
              <w:top w:val="nil"/>
            </w:tcBorders>
            <w:vAlign w:val="center"/>
          </w:tcPr>
          <w:p w14:paraId="306631C0" w14:textId="77777777" w:rsidR="005643EF" w:rsidRPr="00A2171C" w:rsidRDefault="005643EF" w:rsidP="00CC0261">
            <w:pPr>
              <w:pBdr>
                <w:top w:val="nil"/>
                <w:left w:val="nil"/>
                <w:bottom w:val="nil"/>
                <w:right w:val="nil"/>
                <w:between w:val="nil"/>
              </w:pBdr>
              <w:spacing w:after="0" w:line="240" w:lineRule="auto"/>
              <w:ind w:left="-107"/>
              <w:jc w:val="center"/>
              <w:rPr>
                <w:rFonts w:eastAsia="Times New Roman" w:cs="Times New Roman"/>
                <w:sz w:val="18"/>
                <w:szCs w:val="18"/>
                <w:lang w:val="en-GB"/>
              </w:rPr>
            </w:pPr>
            <w:r w:rsidRPr="00A2171C">
              <w:rPr>
                <w:rFonts w:eastAsia="Times New Roman" w:cs="Times New Roman"/>
                <w:sz w:val="18"/>
                <w:szCs w:val="18"/>
                <w:lang w:val="en-GB"/>
              </w:rPr>
              <w:t>420</w:t>
            </w:r>
          </w:p>
        </w:tc>
        <w:tc>
          <w:tcPr>
            <w:tcW w:w="2835" w:type="dxa"/>
            <w:tcBorders>
              <w:top w:val="nil"/>
            </w:tcBorders>
            <w:vAlign w:val="center"/>
          </w:tcPr>
          <w:p w14:paraId="5B8F61F3" w14:textId="77777777" w:rsidR="005643EF" w:rsidRPr="00A2171C" w:rsidRDefault="005643EF" w:rsidP="00CC0261">
            <w:pPr>
              <w:pBdr>
                <w:top w:val="nil"/>
                <w:left w:val="nil"/>
                <w:bottom w:val="nil"/>
                <w:right w:val="nil"/>
                <w:between w:val="nil"/>
              </w:pBdr>
              <w:spacing w:after="0" w:line="240" w:lineRule="auto"/>
              <w:jc w:val="center"/>
              <w:rPr>
                <w:rFonts w:eastAsia="Times New Roman" w:cs="Times New Roman"/>
                <w:sz w:val="18"/>
                <w:szCs w:val="18"/>
                <w:lang w:val="en-GB"/>
              </w:rPr>
            </w:pPr>
            <w:r w:rsidRPr="00A2171C">
              <w:rPr>
                <w:rFonts w:eastAsia="Times New Roman" w:cs="Times New Roman"/>
                <w:sz w:val="18"/>
                <w:szCs w:val="18"/>
                <w:lang w:val="en-GB"/>
              </w:rPr>
              <w:t>20 A</w:t>
            </w:r>
          </w:p>
        </w:tc>
        <w:tc>
          <w:tcPr>
            <w:tcW w:w="2835" w:type="dxa"/>
            <w:tcBorders>
              <w:top w:val="nil"/>
            </w:tcBorders>
            <w:vAlign w:val="center"/>
          </w:tcPr>
          <w:p w14:paraId="26AD80E5" w14:textId="77777777" w:rsidR="005643EF" w:rsidRPr="00A2171C" w:rsidRDefault="005643EF" w:rsidP="00CC0261">
            <w:pPr>
              <w:pBdr>
                <w:top w:val="nil"/>
                <w:left w:val="nil"/>
                <w:bottom w:val="nil"/>
                <w:right w:val="nil"/>
                <w:between w:val="nil"/>
              </w:pBdr>
              <w:spacing w:after="0" w:line="240" w:lineRule="auto"/>
              <w:ind w:left="-32"/>
              <w:jc w:val="center"/>
              <w:rPr>
                <w:rFonts w:eastAsia="Times New Roman" w:cs="Times New Roman"/>
                <w:sz w:val="18"/>
                <w:szCs w:val="18"/>
                <w:lang w:val="en-GB"/>
              </w:rPr>
            </w:pPr>
            <w:r w:rsidRPr="00A2171C">
              <w:rPr>
                <w:rFonts w:eastAsia="Times New Roman" w:cs="Times New Roman"/>
                <w:sz w:val="18"/>
                <w:szCs w:val="18"/>
                <w:lang w:val="en-GB"/>
              </w:rPr>
              <w:t>15</w:t>
            </w:r>
          </w:p>
        </w:tc>
      </w:tr>
    </w:tbl>
    <w:p w14:paraId="6CF0D5C1" w14:textId="77777777" w:rsidR="005643EF" w:rsidRPr="00A2171C" w:rsidRDefault="005643EF" w:rsidP="005643EF">
      <w:pPr>
        <w:spacing w:after="0"/>
        <w:rPr>
          <w:rFonts w:eastAsia="Times New Roman" w:cs="Times New Roman"/>
          <w:szCs w:val="20"/>
          <w:lang w:val="en-GB"/>
        </w:rPr>
      </w:pPr>
    </w:p>
    <w:p w14:paraId="106FFA76" w14:textId="43E32B55" w:rsidR="00A46867" w:rsidRPr="00A2171C" w:rsidRDefault="00582404" w:rsidP="005446E0">
      <w:pPr>
        <w:pStyle w:val="ListParagraph"/>
        <w:pBdr>
          <w:top w:val="nil"/>
          <w:left w:val="nil"/>
          <w:bottom w:val="nil"/>
          <w:right w:val="nil"/>
          <w:between w:val="nil"/>
        </w:pBdr>
        <w:spacing w:after="0"/>
        <w:ind w:left="0"/>
        <w:rPr>
          <w:rFonts w:eastAsia="Times New Roman" w:cs="Times New Roman"/>
          <w:szCs w:val="20"/>
          <w:lang w:val="en-US"/>
        </w:rPr>
      </w:pPr>
      <w:r w:rsidRPr="00A2171C">
        <w:rPr>
          <w:rFonts w:eastAsia="Times New Roman" w:cs="Times New Roman"/>
          <w:szCs w:val="20"/>
          <w:lang w:val="en-GB"/>
        </w:rPr>
        <w:t>As</w:t>
      </w:r>
      <w:r w:rsidR="00A46867" w:rsidRPr="00A2171C">
        <w:rPr>
          <w:rFonts w:eastAsia="Times New Roman" w:cs="Times New Roman"/>
          <w:szCs w:val="20"/>
          <w:lang w:val="en-GB"/>
        </w:rPr>
        <w:t xml:space="preserve"> for evacuation risk assessment </w:t>
      </w:r>
      <w:r w:rsidRPr="00A2171C">
        <w:rPr>
          <w:rFonts w:eastAsia="Times New Roman" w:cs="Times New Roman"/>
          <w:szCs w:val="20"/>
          <w:lang w:val="en-GB"/>
        </w:rPr>
        <w:t>and</w:t>
      </w:r>
      <w:r w:rsidR="00A46867" w:rsidRPr="00A2171C">
        <w:rPr>
          <w:rFonts w:eastAsia="Times New Roman" w:cs="Times New Roman"/>
          <w:szCs w:val="20"/>
          <w:lang w:val="en-GB"/>
        </w:rPr>
        <w:t xml:space="preserve"> combat risk, the existence of a </w:t>
      </w:r>
      <w:r w:rsidR="00A46867" w:rsidRPr="00A2171C">
        <w:rPr>
          <w:szCs w:val="20"/>
          <w:lang w:val="en-US"/>
        </w:rPr>
        <w:t xml:space="preserve">“Safety and security teams” </w:t>
      </w:r>
      <w:r w:rsidR="00A46867" w:rsidRPr="00A2171C">
        <w:rPr>
          <w:rFonts w:eastAsia="Times New Roman" w:cs="Times New Roman"/>
          <w:szCs w:val="20"/>
          <w:lang w:val="en-GB"/>
        </w:rPr>
        <w:t xml:space="preserve">is </w:t>
      </w:r>
      <w:r w:rsidRPr="00A2171C">
        <w:rPr>
          <w:rFonts w:eastAsia="Times New Roman" w:cs="Times New Roman"/>
          <w:szCs w:val="20"/>
          <w:lang w:val="en-GB"/>
        </w:rPr>
        <w:t>associated with</w:t>
      </w:r>
      <w:r w:rsidR="00A46867" w:rsidRPr="00A2171C">
        <w:rPr>
          <w:rFonts w:eastAsia="Times New Roman" w:cs="Times New Roman"/>
          <w:szCs w:val="20"/>
          <w:lang w:val="en-GB"/>
        </w:rPr>
        <w:t xml:space="preserve"> </w:t>
      </w:r>
      <w:r w:rsidRPr="00A2171C">
        <w:rPr>
          <w:rFonts w:eastAsia="Times New Roman" w:cs="Times New Roman"/>
          <w:szCs w:val="20"/>
          <w:lang w:val="en-GB"/>
        </w:rPr>
        <w:t xml:space="preserve">the </w:t>
      </w:r>
      <w:r w:rsidR="00A46867" w:rsidRPr="00A2171C">
        <w:rPr>
          <w:rFonts w:eastAsia="Times New Roman" w:cs="Times New Roman"/>
          <w:szCs w:val="20"/>
          <w:lang w:val="en-GB"/>
        </w:rPr>
        <w:t xml:space="preserve">partial factors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C,3</m:t>
            </m:r>
          </m:sub>
        </m:sSub>
      </m:oMath>
      <w:r w:rsidR="00A46867" w:rsidRPr="00A2171C">
        <w:rPr>
          <w:rFonts w:eastAsia="Times New Roman" w:cs="Times New Roman"/>
          <w:szCs w:val="20"/>
          <w:vertAlign w:val="subscript"/>
          <w:lang w:val="en-GB"/>
        </w:rPr>
        <w:t xml:space="preserve"> </w:t>
      </w:r>
      <w:r w:rsidR="00A46867" w:rsidRPr="00A2171C">
        <w:rPr>
          <w:szCs w:val="20"/>
          <w:lang w:val="en-US"/>
        </w:rPr>
        <w:t>and</w:t>
      </w:r>
      <w:r w:rsidR="00A46867" w:rsidRPr="00A2171C">
        <w:rPr>
          <w:rFonts w:eastAsia="Times New Roman" w:cs="Times New Roman"/>
          <w:szCs w:val="20"/>
          <w:lang w:val="en-GB"/>
        </w:rPr>
        <w:t xml:space="preserve">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P,2</m:t>
            </m:r>
          </m:sub>
        </m:sSub>
      </m:oMath>
      <w:r w:rsidR="00A46867" w:rsidRPr="00A2171C">
        <w:rPr>
          <w:szCs w:val="20"/>
          <w:lang w:val="en-US"/>
        </w:rPr>
        <w:t xml:space="preserve">, respectively. </w:t>
      </w:r>
      <w:r w:rsidR="00513772" w:rsidRPr="00A2171C">
        <w:rPr>
          <w:szCs w:val="20"/>
          <w:lang w:val="en-US"/>
        </w:rPr>
        <w:t>Indeed</w:t>
      </w:r>
      <w:r w:rsidR="00A46867" w:rsidRPr="00A2171C">
        <w:rPr>
          <w:szCs w:val="20"/>
          <w:lang w:val="en-US"/>
        </w:rPr>
        <w:t>,</w:t>
      </w:r>
      <w:r w:rsidR="00A46867" w:rsidRPr="00A2171C">
        <w:rPr>
          <w:rFonts w:eastAsia="Times New Roman" w:cs="Times New Roman"/>
          <w:szCs w:val="20"/>
          <w:lang w:val="en-GB"/>
        </w:rPr>
        <w:t xml:space="preserve">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C,3</m:t>
            </m:r>
          </m:sub>
        </m:sSub>
      </m:oMath>
      <w:r w:rsidR="00A46867" w:rsidRPr="00A2171C">
        <w:rPr>
          <w:rFonts w:eastAsia="Times New Roman" w:cs="Times New Roman"/>
          <w:szCs w:val="20"/>
          <w:lang w:val="en-GB"/>
        </w:rPr>
        <w:t xml:space="preserve"> should assume the same value </w:t>
      </w:r>
      <w:r w:rsidR="00513772" w:rsidRPr="00A2171C">
        <w:rPr>
          <w:rFonts w:eastAsia="Times New Roman" w:cs="Times New Roman"/>
          <w:szCs w:val="20"/>
          <w:lang w:val="en-GB"/>
        </w:rPr>
        <w:t xml:space="preserve">as </w:t>
      </w:r>
      <w:r w:rsidR="00A46867" w:rsidRPr="00A2171C">
        <w:rPr>
          <w:rFonts w:eastAsia="Times New Roman" w:cs="Times New Roman"/>
          <w:szCs w:val="20"/>
          <w:lang w:val="en-GB"/>
        </w:rPr>
        <w:t xml:space="preserve">considered for partial factor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P,2</m:t>
            </m:r>
          </m:sub>
        </m:sSub>
      </m:oMath>
      <w:r w:rsidR="00A46867" w:rsidRPr="00A2171C">
        <w:rPr>
          <w:rFonts w:eastAsia="Times New Roman" w:cs="Times New Roman"/>
          <w:szCs w:val="20"/>
          <w:vertAlign w:val="subscript"/>
          <w:lang w:val="en-GB"/>
        </w:rPr>
        <w:t xml:space="preserve"> </w:t>
      </w:r>
      <w:r w:rsidR="00A46867" w:rsidRPr="00A2171C">
        <w:rPr>
          <w:rFonts w:eastAsia="Times New Roman" w:cs="Times New Roman"/>
          <w:szCs w:val="20"/>
          <w:lang w:val="en-GB"/>
        </w:rPr>
        <w:t>(</w:t>
      </w:r>
      <w:r w:rsidR="00303B79" w:rsidRPr="00A2171C">
        <w:fldChar w:fldCharType="begin"/>
      </w:r>
      <w:r w:rsidR="00303B79" w:rsidRPr="00A2171C">
        <w:rPr>
          <w:lang w:val="en-US"/>
        </w:rPr>
        <w:instrText xml:space="preserve"> REF _Ref121156773 \h </w:instrText>
      </w:r>
      <w:r w:rsidR="00303B79" w:rsidRPr="00A2171C">
        <w:fldChar w:fldCharType="separate"/>
      </w:r>
      <w:r w:rsidR="00C20049" w:rsidRPr="00A2171C">
        <w:rPr>
          <w:lang w:val="en-US"/>
        </w:rPr>
        <w:t xml:space="preserve">Table A </w:t>
      </w:r>
      <w:r w:rsidR="00C20049" w:rsidRPr="00A2171C">
        <w:rPr>
          <w:noProof/>
          <w:lang w:val="en-US"/>
        </w:rPr>
        <w:t>2</w:t>
      </w:r>
      <w:r w:rsidR="00303B79" w:rsidRPr="00A2171C">
        <w:fldChar w:fldCharType="end"/>
      </w:r>
      <w:r w:rsidR="00A46867" w:rsidRPr="00A2171C">
        <w:rPr>
          <w:rFonts w:eastAsia="Times New Roman" w:cs="Times New Roman"/>
          <w:szCs w:val="20"/>
          <w:lang w:val="en-GB"/>
        </w:rPr>
        <w:t xml:space="preserve">). </w:t>
      </w:r>
    </w:p>
    <w:p w14:paraId="32E82E46" w14:textId="77777777" w:rsidR="00A46867" w:rsidRPr="00A2171C" w:rsidRDefault="00A46867" w:rsidP="00A46867">
      <w:pPr>
        <w:pStyle w:val="Heading1"/>
        <w:numPr>
          <w:ilvl w:val="0"/>
          <w:numId w:val="1"/>
        </w:numPr>
        <w:rPr>
          <w:lang w:val="en-US"/>
        </w:rPr>
      </w:pPr>
      <w:r w:rsidRPr="00A2171C">
        <w:rPr>
          <w:lang w:val="en-US"/>
        </w:rPr>
        <w:t xml:space="preserve">Application and discussion of results </w:t>
      </w:r>
    </w:p>
    <w:p w14:paraId="3EC207FD" w14:textId="3EC6BA20" w:rsidR="00A85F43" w:rsidRPr="00A2171C" w:rsidRDefault="00A85F43" w:rsidP="00A85F43">
      <w:pPr>
        <w:spacing w:after="0"/>
        <w:ind w:left="66"/>
        <w:rPr>
          <w:rFonts w:cs="Times New Roman"/>
          <w:lang w:val="en-US"/>
        </w:rPr>
      </w:pPr>
      <w:r w:rsidRPr="00A2171C">
        <w:rPr>
          <w:rFonts w:eastAsia="Times New Roman" w:cs="Times New Roman"/>
          <w:lang w:val="en-US"/>
        </w:rPr>
        <w:t>The Fire Risk Index results are mapped in</w:t>
      </w:r>
      <w:r w:rsidR="00947D04" w:rsidRPr="00A2171C">
        <w:rPr>
          <w:rFonts w:eastAsia="Times New Roman" w:cs="Times New Roman"/>
          <w:lang w:val="en-US"/>
        </w:rPr>
        <w:t xml:space="preserve"> </w:t>
      </w:r>
      <w:r w:rsidR="00227B34" w:rsidRPr="00A2171C">
        <w:rPr>
          <w:lang w:val="en-US"/>
        </w:rPr>
        <w:t xml:space="preserve">Figures 6, 7, 8, 9, 10 and 11, and </w:t>
      </w:r>
      <w:r w:rsidR="00947D04" w:rsidRPr="00A2171C">
        <w:rPr>
          <w:lang w:val="en-US"/>
        </w:rPr>
        <w:t xml:space="preserve">the values summarized in </w:t>
      </w:r>
      <w:r w:rsidR="00783583" w:rsidRPr="00A2171C">
        <w:rPr>
          <w:lang w:val="en-US"/>
        </w:rPr>
        <w:fldChar w:fldCharType="begin"/>
      </w:r>
      <w:r w:rsidR="00783583" w:rsidRPr="00A2171C">
        <w:rPr>
          <w:lang w:val="en-US"/>
        </w:rPr>
        <w:instrText xml:space="preserve"> REF _Ref121160234 \h </w:instrText>
      </w:r>
      <w:r w:rsidR="00783583" w:rsidRPr="00A2171C">
        <w:rPr>
          <w:lang w:val="en-US"/>
        </w:rPr>
      </w:r>
      <w:r w:rsidR="00783583" w:rsidRPr="00A2171C">
        <w:rPr>
          <w:lang w:val="en-US"/>
        </w:rPr>
        <w:fldChar w:fldCharType="separate"/>
      </w:r>
      <w:r w:rsidR="00C20049" w:rsidRPr="00A2171C">
        <w:rPr>
          <w:lang w:val="en-US"/>
        </w:rPr>
        <w:t xml:space="preserve">Table </w:t>
      </w:r>
      <w:r w:rsidR="00C20049" w:rsidRPr="00A2171C">
        <w:rPr>
          <w:noProof/>
          <w:lang w:val="en-US"/>
        </w:rPr>
        <w:t>5</w:t>
      </w:r>
      <w:r w:rsidR="00783583" w:rsidRPr="00A2171C">
        <w:rPr>
          <w:lang w:val="en-US"/>
        </w:rPr>
        <w:fldChar w:fldCharType="end"/>
      </w:r>
      <w:r w:rsidR="00783583" w:rsidRPr="00A2171C">
        <w:rPr>
          <w:lang w:val="en-US"/>
        </w:rPr>
        <w:t xml:space="preserve"> and </w:t>
      </w:r>
      <w:r w:rsidR="00783583" w:rsidRPr="00A2171C">
        <w:rPr>
          <w:lang w:val="en-US"/>
        </w:rPr>
        <w:fldChar w:fldCharType="begin"/>
      </w:r>
      <w:r w:rsidR="00783583" w:rsidRPr="00A2171C">
        <w:rPr>
          <w:lang w:val="en-US"/>
        </w:rPr>
        <w:instrText xml:space="preserve"> REF _Ref121160257 \h </w:instrText>
      </w:r>
      <w:r w:rsidR="00783583" w:rsidRPr="00A2171C">
        <w:rPr>
          <w:lang w:val="en-US"/>
        </w:rPr>
      </w:r>
      <w:r w:rsidR="00783583" w:rsidRPr="00A2171C">
        <w:rPr>
          <w:lang w:val="en-US"/>
        </w:rPr>
        <w:fldChar w:fldCharType="separate"/>
      </w:r>
      <w:r w:rsidR="00C20049" w:rsidRPr="00A2171C">
        <w:rPr>
          <w:lang w:val="en-US"/>
        </w:rPr>
        <w:t xml:space="preserve">Table </w:t>
      </w:r>
      <w:r w:rsidR="00C20049" w:rsidRPr="00A2171C">
        <w:rPr>
          <w:noProof/>
          <w:lang w:val="en-US"/>
        </w:rPr>
        <w:t>6</w:t>
      </w:r>
      <w:r w:rsidR="00783583" w:rsidRPr="00A2171C">
        <w:rPr>
          <w:lang w:val="en-US"/>
        </w:rPr>
        <w:fldChar w:fldCharType="end"/>
      </w:r>
      <w:r w:rsidRPr="00A2171C">
        <w:rPr>
          <w:lang w:val="en-US"/>
        </w:rPr>
        <w:t>.</w:t>
      </w:r>
      <w:r w:rsidRPr="00A2171C">
        <w:rPr>
          <w:rFonts w:eastAsia="Times New Roman" w:cs="Times New Roman"/>
          <w:lang w:val="en-GB"/>
        </w:rPr>
        <w:t xml:space="preserve"> It shows the overall level of fire risk associated with each historical SU of the study area, and </w:t>
      </w:r>
      <w:r w:rsidRPr="00A2171C">
        <w:rPr>
          <w:rFonts w:eastAsia="Times New Roman" w:cs="Times New Roman"/>
          <w:lang w:val="en-GB"/>
        </w:rPr>
        <w:lastRenderedPageBreak/>
        <w:t xml:space="preserve">identifies unsafe and more critical buildings, considering four levels of risk as defined earlier by </w:t>
      </w:r>
      <w:r w:rsidRPr="00A2171C">
        <w:rPr>
          <w:rFonts w:eastAsia="Times New Roman" w:cs="Times New Roman"/>
          <w:noProof/>
          <w:lang w:val="en-GB"/>
        </w:rPr>
        <w:t xml:space="preserve">Granda &amp; Ferreira (2019a, 2019b) according to the work of </w:t>
      </w:r>
      <w:r w:rsidRPr="00A2171C">
        <w:rPr>
          <w:rFonts w:cs="Times New Roman"/>
          <w:lang w:val="en-US"/>
        </w:rPr>
        <w:t>Renfroe &amp; Smith (2016):</w:t>
      </w:r>
    </w:p>
    <w:p w14:paraId="34B95BA3" w14:textId="77777777" w:rsidR="00A85F43" w:rsidRPr="00A2171C" w:rsidRDefault="00A85F43" w:rsidP="00A85F43">
      <w:pPr>
        <w:pStyle w:val="ListParagraph"/>
        <w:numPr>
          <w:ilvl w:val="0"/>
          <w:numId w:val="20"/>
        </w:numPr>
        <w:spacing w:after="0"/>
        <w:ind w:left="492"/>
        <w:rPr>
          <w:rFonts w:eastAsia="Times New Roman" w:cs="Times New Roman"/>
          <w:lang w:val="en-US"/>
        </w:rPr>
      </w:pPr>
      <w:r w:rsidRPr="00A2171C">
        <w:rPr>
          <w:rFonts w:cs="Times New Roman"/>
          <w:lang w:val="en-US"/>
        </w:rPr>
        <w:t>Low risk level, or acceptable risk, implies 0.60 ≤ FRI ≤ 1.00. The implications are to incorporate measures to further reduce or mitigate fire hazard by implementing security and mitigation upgrades in the structure (green color);</w:t>
      </w:r>
    </w:p>
    <w:p w14:paraId="45FD572E" w14:textId="77777777" w:rsidR="00A85F43" w:rsidRPr="00A2171C" w:rsidRDefault="00A85F43" w:rsidP="00A85F43">
      <w:pPr>
        <w:pStyle w:val="ListParagraph"/>
        <w:numPr>
          <w:ilvl w:val="0"/>
          <w:numId w:val="20"/>
        </w:numPr>
        <w:spacing w:after="0"/>
        <w:ind w:left="492"/>
        <w:rPr>
          <w:rFonts w:eastAsia="Times New Roman" w:cs="Times New Roman"/>
          <w:lang w:val="en-US"/>
        </w:rPr>
      </w:pPr>
      <w:r w:rsidRPr="00A2171C">
        <w:rPr>
          <w:rFonts w:eastAsia="Times New Roman" w:cs="Times New Roman"/>
          <w:lang w:val="en-US"/>
        </w:rPr>
        <w:t>M</w:t>
      </w:r>
      <w:r w:rsidRPr="00A2171C">
        <w:rPr>
          <w:rFonts w:eastAsia="Times New Roman" w:cs="Times New Roman"/>
          <w:lang w:val="en-GB"/>
        </w:rPr>
        <w:t xml:space="preserve">oderate risk level, or </w:t>
      </w:r>
      <w:r w:rsidRPr="00A2171C">
        <w:rPr>
          <w:rFonts w:cs="Times New Roman"/>
          <w:lang w:val="en-US"/>
        </w:rPr>
        <w:t xml:space="preserve">acceptable risk over the short term, implies </w:t>
      </w:r>
      <w:r w:rsidRPr="00A2171C">
        <w:rPr>
          <w:rFonts w:eastAsia="Times New Roman" w:cs="Times New Roman"/>
          <w:lang w:val="en-GB"/>
        </w:rPr>
        <w:t xml:space="preserve">1.00 &lt; FRI </w:t>
      </w:r>
      <w:r w:rsidRPr="00A2171C">
        <w:rPr>
          <w:rFonts w:cs="Times New Roman"/>
          <w:lang w:val="en-US"/>
        </w:rPr>
        <w:t>≤</w:t>
      </w:r>
      <w:r w:rsidRPr="00A2171C">
        <w:rPr>
          <w:rFonts w:eastAsia="Times New Roman" w:cs="Times New Roman"/>
          <w:lang w:val="en-GB"/>
        </w:rPr>
        <w:t xml:space="preserve"> 1.30</w:t>
      </w:r>
      <w:r w:rsidRPr="00A2171C">
        <w:rPr>
          <w:rFonts w:cs="Times New Roman"/>
          <w:lang w:val="en-GB"/>
        </w:rPr>
        <w:t>.</w:t>
      </w:r>
      <w:r w:rsidRPr="00A2171C">
        <w:rPr>
          <w:rFonts w:cs="Times New Roman"/>
          <w:lang w:val="en-US"/>
        </w:rPr>
        <w:t xml:space="preserve"> In that case, one has to reduce and mitigate fire hazards by including actions in future plans and budgets</w:t>
      </w:r>
      <w:r w:rsidRPr="00A2171C">
        <w:rPr>
          <w:rFonts w:eastAsia="Times New Roman" w:cs="Times New Roman"/>
          <w:lang w:val="en-GB"/>
        </w:rPr>
        <w:t xml:space="preserve"> (orange color); </w:t>
      </w:r>
    </w:p>
    <w:p w14:paraId="230646D2" w14:textId="77777777" w:rsidR="00A85F43" w:rsidRPr="00A2171C" w:rsidRDefault="00A85F43" w:rsidP="00A85F43">
      <w:pPr>
        <w:pStyle w:val="ListParagraph"/>
        <w:numPr>
          <w:ilvl w:val="0"/>
          <w:numId w:val="20"/>
        </w:numPr>
        <w:spacing w:after="0"/>
        <w:ind w:left="492"/>
        <w:rPr>
          <w:rFonts w:eastAsia="Times New Roman" w:cs="Times New Roman"/>
          <w:lang w:val="en-US"/>
        </w:rPr>
      </w:pPr>
      <w:r w:rsidRPr="00A2171C">
        <w:rPr>
          <w:rFonts w:eastAsia="Times New Roman" w:cs="Times New Roman"/>
          <w:lang w:val="en-GB"/>
        </w:rPr>
        <w:t xml:space="preserve">High risk level, </w:t>
      </w:r>
      <w:r w:rsidRPr="00A2171C">
        <w:rPr>
          <w:rFonts w:cs="Times New Roman"/>
          <w:lang w:val="en-US"/>
        </w:rPr>
        <w:t xml:space="preserve">or unacceptable risk, implies </w:t>
      </w:r>
      <w:r w:rsidRPr="00A2171C">
        <w:rPr>
          <w:rFonts w:eastAsia="Times New Roman" w:cs="Times New Roman"/>
          <w:lang w:val="en-GB"/>
        </w:rPr>
        <w:t xml:space="preserve">1.30 &lt; FRI </w:t>
      </w:r>
      <w:r w:rsidRPr="00A2171C">
        <w:rPr>
          <w:rFonts w:cs="Times New Roman"/>
          <w:lang w:val="en-US"/>
        </w:rPr>
        <w:t>≤</w:t>
      </w:r>
      <w:r w:rsidRPr="00A2171C">
        <w:rPr>
          <w:rFonts w:eastAsia="Times New Roman" w:cs="Times New Roman"/>
          <w:lang w:val="en-GB"/>
        </w:rPr>
        <w:t xml:space="preserve"> 1.65, which requires the implementation of m</w:t>
      </w:r>
      <w:r w:rsidRPr="00A2171C">
        <w:rPr>
          <w:rFonts w:cs="Times New Roman"/>
          <w:lang w:val="en-US"/>
        </w:rPr>
        <w:t>easures to reduce and mitigate fire hazard as soon as possible</w:t>
      </w:r>
      <w:r w:rsidRPr="00A2171C">
        <w:rPr>
          <w:rFonts w:eastAsia="Times New Roman" w:cs="Times New Roman"/>
          <w:lang w:val="en-GB"/>
        </w:rPr>
        <w:t xml:space="preserve"> (red color); and </w:t>
      </w:r>
    </w:p>
    <w:p w14:paraId="42D7A83A" w14:textId="2BA56024" w:rsidR="00A85F43" w:rsidRPr="00A2171C" w:rsidRDefault="00A85F43" w:rsidP="00A85F43">
      <w:pPr>
        <w:pStyle w:val="ListParagraph"/>
        <w:numPr>
          <w:ilvl w:val="0"/>
          <w:numId w:val="20"/>
        </w:numPr>
        <w:spacing w:after="0"/>
        <w:ind w:left="492"/>
        <w:rPr>
          <w:rFonts w:eastAsia="Times New Roman" w:cs="Times New Roman"/>
          <w:lang w:val="en-US"/>
        </w:rPr>
      </w:pPr>
      <w:r w:rsidRPr="00A2171C">
        <w:rPr>
          <w:rFonts w:eastAsia="Times New Roman" w:cs="Times New Roman"/>
          <w:lang w:val="en-GB"/>
        </w:rPr>
        <w:t xml:space="preserve">Extreme risk level, </w:t>
      </w:r>
      <w:r w:rsidRPr="00A2171C">
        <w:rPr>
          <w:rFonts w:cs="Times New Roman"/>
          <w:lang w:val="en-US"/>
        </w:rPr>
        <w:t xml:space="preserve">or totally unacceptable risk, implies </w:t>
      </w:r>
      <w:r w:rsidRPr="00A2171C">
        <w:rPr>
          <w:rFonts w:eastAsia="Times New Roman" w:cs="Times New Roman"/>
          <w:lang w:val="en-GB"/>
        </w:rPr>
        <w:t xml:space="preserve">1.65 &lt; FRI </w:t>
      </w:r>
      <w:r w:rsidRPr="00A2171C">
        <w:rPr>
          <w:rFonts w:cs="Times New Roman"/>
          <w:lang w:val="en-US"/>
        </w:rPr>
        <w:t>≤</w:t>
      </w:r>
      <w:r w:rsidRPr="00A2171C">
        <w:rPr>
          <w:rFonts w:eastAsia="Times New Roman" w:cs="Times New Roman"/>
          <w:lang w:val="en-GB"/>
        </w:rPr>
        <w:t xml:space="preserve"> 2.0. The implication is to enforce </w:t>
      </w:r>
      <w:r w:rsidRPr="00A2171C">
        <w:rPr>
          <w:rFonts w:cs="Times New Roman"/>
          <w:lang w:val="en-US"/>
        </w:rPr>
        <w:t xml:space="preserve">immediate measures to reduce and mitigate fire hazards </w:t>
      </w:r>
      <w:r w:rsidRPr="00A2171C">
        <w:rPr>
          <w:rFonts w:eastAsia="Times New Roman" w:cs="Times New Roman"/>
          <w:lang w:val="en-GB"/>
        </w:rPr>
        <w:t>(purple color).</w:t>
      </w:r>
    </w:p>
    <w:p w14:paraId="723DF3DA" w14:textId="77777777" w:rsidR="00F91B5D" w:rsidRPr="00A2171C" w:rsidRDefault="00A46867" w:rsidP="00F91B5D">
      <w:pPr>
        <w:spacing w:after="0"/>
        <w:rPr>
          <w:rFonts w:eastAsia="Times New Roman" w:cs="Times New Roman"/>
          <w:szCs w:val="20"/>
          <w:lang w:val="en-GB"/>
        </w:rPr>
      </w:pPr>
      <w:r w:rsidRPr="00A2171C">
        <w:rPr>
          <w:rFonts w:eastAsia="Times New Roman" w:cs="Times New Roman"/>
          <w:szCs w:val="20"/>
          <w:lang w:val="en-GB"/>
        </w:rPr>
        <w:t xml:space="preserve">As discussed in detail below, buildings classified as being </w:t>
      </w:r>
      <w:r w:rsidR="00513772" w:rsidRPr="00A2171C">
        <w:rPr>
          <w:rFonts w:eastAsia="Times New Roman" w:cs="Times New Roman"/>
          <w:szCs w:val="20"/>
          <w:lang w:val="en-GB"/>
        </w:rPr>
        <w:t xml:space="preserve">classified into </w:t>
      </w:r>
      <w:r w:rsidRPr="00A2171C">
        <w:rPr>
          <w:rFonts w:eastAsia="Times New Roman" w:cs="Times New Roman"/>
          <w:szCs w:val="20"/>
          <w:lang w:val="en-GB"/>
        </w:rPr>
        <w:t xml:space="preserve">high </w:t>
      </w:r>
      <w:r w:rsidR="00513772" w:rsidRPr="00A2171C">
        <w:rPr>
          <w:rFonts w:eastAsia="Times New Roman" w:cs="Times New Roman"/>
          <w:szCs w:val="20"/>
          <w:lang w:val="en-GB"/>
        </w:rPr>
        <w:t xml:space="preserve">or </w:t>
      </w:r>
      <w:r w:rsidRPr="00A2171C">
        <w:rPr>
          <w:rFonts w:eastAsia="Times New Roman" w:cs="Times New Roman"/>
          <w:szCs w:val="20"/>
          <w:lang w:val="en-GB"/>
        </w:rPr>
        <w:t xml:space="preserve">extreme risk </w:t>
      </w:r>
      <w:r w:rsidR="00513772" w:rsidRPr="00A2171C">
        <w:rPr>
          <w:rFonts w:eastAsia="Times New Roman" w:cs="Times New Roman"/>
          <w:szCs w:val="20"/>
          <w:lang w:val="en-GB"/>
        </w:rPr>
        <w:t xml:space="preserve">present </w:t>
      </w:r>
      <w:r w:rsidR="009E7744" w:rsidRPr="00A2171C">
        <w:rPr>
          <w:rFonts w:eastAsia="Times New Roman" w:cs="Times New Roman"/>
          <w:szCs w:val="20"/>
          <w:lang w:val="en-GB"/>
        </w:rPr>
        <w:t xml:space="preserve">one or more than </w:t>
      </w:r>
      <w:r w:rsidRPr="00A2171C">
        <w:rPr>
          <w:rFonts w:eastAsia="Times New Roman" w:cs="Times New Roman"/>
          <w:szCs w:val="20"/>
          <w:lang w:val="en-GB"/>
        </w:rPr>
        <w:t xml:space="preserve">the following </w:t>
      </w:r>
      <w:r w:rsidR="00513772" w:rsidRPr="00A2171C">
        <w:rPr>
          <w:rFonts w:eastAsia="Times New Roman" w:cs="Times New Roman"/>
          <w:szCs w:val="20"/>
          <w:lang w:val="en-GB"/>
        </w:rPr>
        <w:t>characteristics</w:t>
      </w:r>
      <w:r w:rsidRPr="00A2171C">
        <w:rPr>
          <w:rFonts w:eastAsia="Times New Roman" w:cs="Times New Roman"/>
          <w:szCs w:val="20"/>
          <w:lang w:val="en-GB"/>
        </w:rPr>
        <w:t>: (i) obsolete and overloaded electrical installations</w:t>
      </w:r>
      <w:r w:rsidR="00513772" w:rsidRPr="00A2171C">
        <w:rPr>
          <w:rFonts w:eastAsia="Times New Roman" w:cs="Times New Roman"/>
          <w:szCs w:val="20"/>
          <w:lang w:val="en-GB"/>
        </w:rPr>
        <w:t>;</w:t>
      </w:r>
      <w:r w:rsidRPr="00A2171C">
        <w:rPr>
          <w:rFonts w:eastAsia="Times New Roman" w:cs="Times New Roman"/>
          <w:szCs w:val="20"/>
          <w:lang w:val="en-GB"/>
        </w:rPr>
        <w:t xml:space="preserve"> (ii) significant fire loads </w:t>
      </w:r>
      <w:r w:rsidR="00513772" w:rsidRPr="00A2171C">
        <w:rPr>
          <w:rFonts w:eastAsia="Times New Roman" w:cs="Times New Roman"/>
          <w:szCs w:val="20"/>
          <w:lang w:val="en-GB"/>
        </w:rPr>
        <w:t xml:space="preserve">and adjoint </w:t>
      </w:r>
      <w:r w:rsidRPr="00A2171C">
        <w:rPr>
          <w:rFonts w:eastAsia="Times New Roman" w:cs="Times New Roman"/>
          <w:szCs w:val="20"/>
          <w:lang w:val="en-GB"/>
        </w:rPr>
        <w:t xml:space="preserve">roof and </w:t>
      </w:r>
      <w:r w:rsidRPr="00A2171C">
        <w:rPr>
          <w:rFonts w:eastAsia="Times New Roman" w:cs="Times New Roman"/>
          <w:i/>
          <w:szCs w:val="20"/>
          <w:lang w:val="en-GB"/>
        </w:rPr>
        <w:t xml:space="preserve">tabique </w:t>
      </w:r>
      <w:r w:rsidRPr="00A2171C">
        <w:rPr>
          <w:rFonts w:eastAsia="Times New Roman" w:cs="Times New Roman"/>
          <w:szCs w:val="20"/>
          <w:lang w:val="en-GB"/>
        </w:rPr>
        <w:t>structures</w:t>
      </w:r>
      <w:r w:rsidR="00513772" w:rsidRPr="00A2171C">
        <w:rPr>
          <w:rFonts w:eastAsia="Times New Roman" w:cs="Times New Roman"/>
          <w:szCs w:val="20"/>
          <w:lang w:val="en-GB"/>
        </w:rPr>
        <w:t>;</w:t>
      </w:r>
      <w:r w:rsidRPr="00A2171C">
        <w:rPr>
          <w:rFonts w:eastAsia="Times New Roman" w:cs="Times New Roman"/>
          <w:szCs w:val="20"/>
          <w:lang w:val="en-GB"/>
        </w:rPr>
        <w:t xml:space="preserve"> (iii) absence of firewalls and </w:t>
      </w:r>
      <w:r w:rsidR="009E7744" w:rsidRPr="00A2171C">
        <w:rPr>
          <w:rFonts w:eastAsia="Times New Roman" w:cs="Times New Roman"/>
          <w:szCs w:val="20"/>
          <w:lang w:val="en-GB"/>
        </w:rPr>
        <w:t>compartmentalisations;</w:t>
      </w:r>
      <w:r w:rsidRPr="00A2171C">
        <w:rPr>
          <w:rFonts w:eastAsia="Times New Roman" w:cs="Times New Roman"/>
          <w:szCs w:val="20"/>
          <w:lang w:val="en-GB"/>
        </w:rPr>
        <w:t xml:space="preserve"> (iv) lack of alert and alarm systems</w:t>
      </w:r>
      <w:r w:rsidR="009E7744" w:rsidRPr="00A2171C">
        <w:rPr>
          <w:rFonts w:eastAsia="Times New Roman" w:cs="Times New Roman"/>
          <w:szCs w:val="20"/>
          <w:lang w:val="en-GB"/>
        </w:rPr>
        <w:t>;</w:t>
      </w:r>
      <w:r w:rsidRPr="00A2171C">
        <w:rPr>
          <w:rFonts w:eastAsia="Times New Roman" w:cs="Times New Roman"/>
          <w:szCs w:val="20"/>
          <w:lang w:val="en-GB"/>
        </w:rPr>
        <w:t xml:space="preserve"> (v) inefficient hydrant systems in terms of volume, pressure and maximum distance</w:t>
      </w:r>
      <w:r w:rsidR="009E7744" w:rsidRPr="00A2171C">
        <w:rPr>
          <w:rFonts w:eastAsia="Times New Roman" w:cs="Times New Roman"/>
          <w:szCs w:val="20"/>
          <w:lang w:val="en-GB"/>
        </w:rPr>
        <w:t>;</w:t>
      </w:r>
      <w:r w:rsidRPr="00A2171C">
        <w:rPr>
          <w:rFonts w:eastAsia="Times New Roman" w:cs="Times New Roman"/>
          <w:szCs w:val="20"/>
          <w:lang w:val="en-GB"/>
        </w:rPr>
        <w:t xml:space="preserve"> and (vi) </w:t>
      </w:r>
      <w:r w:rsidR="009E7744" w:rsidRPr="00A2171C">
        <w:rPr>
          <w:rFonts w:eastAsia="Times New Roman" w:cs="Times New Roman"/>
          <w:szCs w:val="20"/>
          <w:lang w:val="en-GB"/>
        </w:rPr>
        <w:t xml:space="preserve">restricted </w:t>
      </w:r>
      <w:r w:rsidRPr="00A2171C">
        <w:rPr>
          <w:rFonts w:eastAsia="Times New Roman" w:cs="Times New Roman"/>
          <w:szCs w:val="20"/>
          <w:lang w:val="en-GB"/>
        </w:rPr>
        <w:t>or even inaccessible evacuation routes.</w:t>
      </w:r>
      <w:bookmarkStart w:id="21" w:name="_Ref90027025"/>
    </w:p>
    <w:bookmarkEnd w:id="21"/>
    <w:p w14:paraId="375116AB" w14:textId="36A0F538" w:rsidR="00A46867" w:rsidRPr="00A2171C" w:rsidRDefault="009E7744" w:rsidP="00A46867">
      <w:pPr>
        <w:spacing w:after="0"/>
        <w:rPr>
          <w:rFonts w:eastAsia="Times New Roman" w:cs="Times New Roman"/>
          <w:szCs w:val="20"/>
          <w:lang w:val="en-GB"/>
        </w:rPr>
      </w:pPr>
      <w:r w:rsidRPr="00A2171C">
        <w:rPr>
          <w:rFonts w:eastAsia="Times New Roman" w:cs="Times New Roman"/>
          <w:szCs w:val="20"/>
          <w:lang w:val="en-GB"/>
        </w:rPr>
        <w:t>T</w:t>
      </w:r>
      <w:r w:rsidR="00A46867" w:rsidRPr="00A2171C">
        <w:rPr>
          <w:rFonts w:eastAsia="Times New Roman" w:cs="Times New Roman"/>
          <w:szCs w:val="20"/>
          <w:lang w:val="en-GB"/>
        </w:rPr>
        <w:t xml:space="preserve">he </w:t>
      </w:r>
      <w:r w:rsidRPr="00A2171C">
        <w:rPr>
          <w:rFonts w:eastAsia="Times New Roman" w:cs="Times New Roman"/>
          <w:szCs w:val="20"/>
          <w:lang w:val="en-GB"/>
        </w:rPr>
        <w:t xml:space="preserve">analysis of </w:t>
      </w:r>
      <w:r w:rsidR="00A46867" w:rsidRPr="00A2171C">
        <w:rPr>
          <w:rFonts w:eastAsia="Times New Roman" w:cs="Times New Roman"/>
          <w:szCs w:val="20"/>
          <w:lang w:val="en-GB"/>
        </w:rPr>
        <w:t>result</w:t>
      </w:r>
      <w:r w:rsidRPr="00A2171C">
        <w:rPr>
          <w:rFonts w:eastAsia="Times New Roman" w:cs="Times New Roman"/>
          <w:szCs w:val="20"/>
          <w:lang w:val="en-GB"/>
        </w:rPr>
        <w:t>s</w:t>
      </w:r>
      <w:r w:rsidR="00A46867" w:rsidRPr="00A2171C">
        <w:rPr>
          <w:rFonts w:eastAsia="Times New Roman" w:cs="Times New Roman"/>
          <w:szCs w:val="20"/>
          <w:lang w:val="en-GB"/>
        </w:rPr>
        <w:t xml:space="preserve"> </w:t>
      </w:r>
      <w:r w:rsidRPr="00A2171C">
        <w:rPr>
          <w:rFonts w:eastAsia="Times New Roman" w:cs="Times New Roman"/>
          <w:szCs w:val="20"/>
          <w:lang w:val="en-GB"/>
        </w:rPr>
        <w:t>shows that</w:t>
      </w:r>
      <w:r w:rsidR="00A46867" w:rsidRPr="00A2171C">
        <w:rPr>
          <w:rFonts w:eastAsia="Times New Roman" w:cs="Times New Roman"/>
          <w:szCs w:val="20"/>
          <w:lang w:val="en-GB"/>
        </w:rPr>
        <w:t xml:space="preserve"> 39% of the building stock (173</w:t>
      </w:r>
      <w:r w:rsidRPr="00A2171C">
        <w:rPr>
          <w:rFonts w:eastAsia="Times New Roman" w:cs="Times New Roman"/>
          <w:szCs w:val="20"/>
          <w:lang w:val="en-GB"/>
        </w:rPr>
        <w:t xml:space="preserve"> buildings</w:t>
      </w:r>
      <w:r w:rsidR="00A46867" w:rsidRPr="00A2171C">
        <w:rPr>
          <w:rFonts w:eastAsia="Times New Roman" w:cs="Times New Roman"/>
          <w:szCs w:val="20"/>
          <w:lang w:val="en-GB"/>
        </w:rPr>
        <w:t>) present</w:t>
      </w:r>
      <w:r w:rsidRPr="00A2171C">
        <w:rPr>
          <w:rFonts w:eastAsia="Times New Roman" w:cs="Times New Roman"/>
          <w:szCs w:val="20"/>
          <w:lang w:val="en-GB"/>
        </w:rPr>
        <w:t>s</w:t>
      </w:r>
      <w:r w:rsidR="00A46867" w:rsidRPr="00A2171C">
        <w:rPr>
          <w:rFonts w:eastAsia="Times New Roman" w:cs="Times New Roman"/>
          <w:szCs w:val="20"/>
          <w:lang w:val="en-GB"/>
        </w:rPr>
        <w:t xml:space="preserve"> moderate fire risk, while about 61% (270</w:t>
      </w:r>
      <w:r w:rsidRPr="00A2171C">
        <w:rPr>
          <w:rFonts w:eastAsia="Times New Roman" w:cs="Times New Roman"/>
          <w:szCs w:val="20"/>
          <w:lang w:val="en-GB"/>
        </w:rPr>
        <w:t xml:space="preserve"> buildings</w:t>
      </w:r>
      <w:r w:rsidR="00A46867" w:rsidRPr="00A2171C">
        <w:rPr>
          <w:rFonts w:eastAsia="Times New Roman" w:cs="Times New Roman"/>
          <w:szCs w:val="20"/>
          <w:lang w:val="en-GB"/>
        </w:rPr>
        <w:t>) has high levels of risk</w:t>
      </w:r>
      <w:r w:rsidRPr="00A2171C">
        <w:rPr>
          <w:rFonts w:eastAsia="Times New Roman" w:cs="Times New Roman"/>
          <w:szCs w:val="20"/>
          <w:lang w:val="en-GB"/>
        </w:rPr>
        <w:t>.</w:t>
      </w:r>
      <w:r w:rsidR="00A46867" w:rsidRPr="00A2171C">
        <w:rPr>
          <w:rFonts w:eastAsia="Times New Roman" w:cs="Times New Roman"/>
          <w:szCs w:val="20"/>
          <w:lang w:val="en-GB"/>
        </w:rPr>
        <w:t xml:space="preserve"> </w:t>
      </w:r>
      <w:r w:rsidRPr="00A2171C">
        <w:rPr>
          <w:rFonts w:eastAsia="Times New Roman" w:cs="Times New Roman"/>
          <w:szCs w:val="20"/>
          <w:lang w:val="en-GB"/>
        </w:rPr>
        <w:t>No</w:t>
      </w:r>
      <w:r w:rsidR="00A46867" w:rsidRPr="00A2171C">
        <w:rPr>
          <w:rFonts w:eastAsia="Times New Roman" w:cs="Times New Roman"/>
          <w:szCs w:val="20"/>
          <w:lang w:val="en-GB"/>
        </w:rPr>
        <w:t xml:space="preserve"> buildings resulted </w:t>
      </w:r>
      <w:r w:rsidRPr="00A2171C">
        <w:rPr>
          <w:rFonts w:eastAsia="Times New Roman" w:cs="Times New Roman"/>
          <w:szCs w:val="20"/>
          <w:lang w:val="en-GB"/>
        </w:rPr>
        <w:t xml:space="preserve">on </w:t>
      </w:r>
      <w:r w:rsidR="00A46867" w:rsidRPr="00A2171C">
        <w:rPr>
          <w:rFonts w:eastAsia="Times New Roman" w:cs="Times New Roman"/>
          <w:szCs w:val="20"/>
          <w:lang w:val="en-GB"/>
        </w:rPr>
        <w:t>a low</w:t>
      </w:r>
      <w:r w:rsidRPr="00A2171C">
        <w:rPr>
          <w:rFonts w:eastAsia="Times New Roman" w:cs="Times New Roman"/>
          <w:szCs w:val="20"/>
          <w:lang w:val="en-GB"/>
        </w:rPr>
        <w:t>er</w:t>
      </w:r>
      <w:r w:rsidR="00A46867" w:rsidRPr="00A2171C">
        <w:rPr>
          <w:rFonts w:eastAsia="Times New Roman" w:cs="Times New Roman"/>
          <w:szCs w:val="20"/>
          <w:lang w:val="en-GB"/>
        </w:rPr>
        <w:t xml:space="preserve"> level of risk. In </w:t>
      </w:r>
      <w:r w:rsidRPr="00A2171C">
        <w:rPr>
          <w:rFonts w:eastAsia="Times New Roman" w:cs="Times New Roman"/>
          <w:szCs w:val="20"/>
          <w:lang w:val="en-GB"/>
        </w:rPr>
        <w:t>summary</w:t>
      </w:r>
      <w:r w:rsidR="00A46867" w:rsidRPr="00A2171C">
        <w:rPr>
          <w:rFonts w:eastAsia="Times New Roman" w:cs="Times New Roman"/>
          <w:szCs w:val="20"/>
          <w:lang w:val="en-GB"/>
        </w:rPr>
        <w:t xml:space="preserve">, there are no buildings that comply with the requirements of the Chilean fire safety regulations </w:t>
      </w:r>
      <w:r w:rsidRPr="00A2171C">
        <w:rPr>
          <w:rFonts w:eastAsia="Times New Roman" w:cs="Times New Roman"/>
          <w:szCs w:val="20"/>
          <w:lang w:val="en-GB"/>
        </w:rPr>
        <w:t xml:space="preserve">currently </w:t>
      </w:r>
      <w:r w:rsidR="00A46867" w:rsidRPr="00A2171C">
        <w:rPr>
          <w:rFonts w:eastAsia="Times New Roman" w:cs="Times New Roman"/>
          <w:szCs w:val="20"/>
          <w:lang w:val="en-GB"/>
        </w:rPr>
        <w:t xml:space="preserve">in force, which means that the study area is currently in an ‘‘unsafe’’ situation. </w:t>
      </w:r>
    </w:p>
    <w:p w14:paraId="57EC2E9F" w14:textId="56401360" w:rsidR="001574CF" w:rsidRPr="00A2171C" w:rsidRDefault="001574CF" w:rsidP="00833B0B">
      <w:pPr>
        <w:rPr>
          <w:lang w:val="en-US"/>
        </w:rPr>
      </w:pPr>
      <w:r w:rsidRPr="00A2171C">
        <w:rPr>
          <w:lang w:val="en-US"/>
        </w:rPr>
        <w:t>A statistical summary of the partial factors (</w:t>
      </w:r>
      <w:r w:rsidRPr="00A2171C">
        <w:rPr>
          <w:i/>
          <w:iCs/>
          <w:lang w:val="en-US"/>
        </w:rPr>
        <w:t>PF</w:t>
      </w:r>
      <w:r w:rsidRPr="00A2171C">
        <w:rPr>
          <w:i/>
          <w:iCs/>
          <w:vertAlign w:val="subscript"/>
          <w:lang w:val="en-US"/>
        </w:rPr>
        <w:t>I</w:t>
      </w:r>
      <w:r w:rsidRPr="00A2171C">
        <w:rPr>
          <w:i/>
          <w:iCs/>
          <w:lang w:val="en-US"/>
        </w:rPr>
        <w:t>, PF</w:t>
      </w:r>
      <w:r w:rsidRPr="00A2171C">
        <w:rPr>
          <w:i/>
          <w:iCs/>
          <w:vertAlign w:val="subscript"/>
          <w:lang w:val="en-US"/>
        </w:rPr>
        <w:t>P</w:t>
      </w:r>
      <w:r w:rsidRPr="00A2171C">
        <w:rPr>
          <w:i/>
          <w:iCs/>
          <w:lang w:val="en-US"/>
        </w:rPr>
        <w:t>, PF</w:t>
      </w:r>
      <w:r w:rsidRPr="00A2171C">
        <w:rPr>
          <w:i/>
          <w:iCs/>
          <w:vertAlign w:val="subscript"/>
          <w:lang w:val="en-US"/>
        </w:rPr>
        <w:t>E</w:t>
      </w:r>
      <w:r w:rsidRPr="00A2171C">
        <w:rPr>
          <w:i/>
          <w:iCs/>
          <w:lang w:val="en-US"/>
        </w:rPr>
        <w:t>, PF</w:t>
      </w:r>
      <w:r w:rsidRPr="00A2171C">
        <w:rPr>
          <w:i/>
          <w:iCs/>
          <w:vertAlign w:val="subscript"/>
          <w:lang w:val="en-US"/>
        </w:rPr>
        <w:t>C</w:t>
      </w:r>
      <w:r w:rsidRPr="00A2171C">
        <w:rPr>
          <w:lang w:val="en-US"/>
        </w:rPr>
        <w:t xml:space="preserve">) </w:t>
      </w:r>
      <w:r w:rsidR="00A418D2" w:rsidRPr="00A2171C">
        <w:rPr>
          <w:lang w:val="en-US"/>
        </w:rPr>
        <w:t xml:space="preserve">and the value of the Fire Risk Index </w:t>
      </w:r>
      <w:r w:rsidRPr="00A2171C">
        <w:rPr>
          <w:lang w:val="en-US"/>
        </w:rPr>
        <w:t>(</w:t>
      </w:r>
      <w:r w:rsidRPr="00A2171C">
        <w:rPr>
          <w:i/>
          <w:iCs/>
          <w:lang w:val="en-US"/>
        </w:rPr>
        <w:t>FRI</w:t>
      </w:r>
      <w:r w:rsidRPr="00A2171C">
        <w:rPr>
          <w:lang w:val="en-US"/>
        </w:rPr>
        <w:t xml:space="preserve">), including their associations can be found in </w:t>
      </w:r>
      <w:r w:rsidR="00251633" w:rsidRPr="00A2171C">
        <w:rPr>
          <w:lang w:val="en-US"/>
        </w:rPr>
        <w:fldChar w:fldCharType="begin"/>
      </w:r>
      <w:r w:rsidR="00251633" w:rsidRPr="00A2171C">
        <w:rPr>
          <w:lang w:val="en-US"/>
        </w:rPr>
        <w:instrText xml:space="preserve"> REF _Ref121160234 \h </w:instrText>
      </w:r>
      <w:r w:rsidR="00251633" w:rsidRPr="00A2171C">
        <w:rPr>
          <w:lang w:val="en-US"/>
        </w:rPr>
      </w:r>
      <w:r w:rsidR="00251633" w:rsidRPr="00A2171C">
        <w:rPr>
          <w:lang w:val="en-US"/>
        </w:rPr>
        <w:fldChar w:fldCharType="separate"/>
      </w:r>
      <w:r w:rsidR="00C20049" w:rsidRPr="00A2171C">
        <w:rPr>
          <w:lang w:val="en-US"/>
        </w:rPr>
        <w:t xml:space="preserve">Table </w:t>
      </w:r>
      <w:r w:rsidR="00C20049" w:rsidRPr="00A2171C">
        <w:rPr>
          <w:noProof/>
          <w:lang w:val="en-US"/>
        </w:rPr>
        <w:t>5</w:t>
      </w:r>
      <w:r w:rsidR="00251633" w:rsidRPr="00A2171C">
        <w:rPr>
          <w:lang w:val="en-US"/>
        </w:rPr>
        <w:fldChar w:fldCharType="end"/>
      </w:r>
      <w:r w:rsidR="00ED10F3" w:rsidRPr="00A2171C">
        <w:rPr>
          <w:lang w:val="en-US"/>
        </w:rPr>
        <w:t xml:space="preserve"> </w:t>
      </w:r>
      <w:r w:rsidRPr="00A2171C">
        <w:rPr>
          <w:lang w:val="en-US"/>
        </w:rPr>
        <w:t>and</w:t>
      </w:r>
      <w:r w:rsidR="00A418D2" w:rsidRPr="00A2171C">
        <w:rPr>
          <w:lang w:val="en-US"/>
        </w:rPr>
        <w:t xml:space="preserve"> </w:t>
      </w:r>
      <w:r w:rsidR="00251633" w:rsidRPr="00A2171C">
        <w:rPr>
          <w:lang w:val="en-US"/>
        </w:rPr>
        <w:fldChar w:fldCharType="begin"/>
      </w:r>
      <w:r w:rsidR="00251633" w:rsidRPr="00A2171C">
        <w:rPr>
          <w:lang w:val="en-US"/>
        </w:rPr>
        <w:instrText xml:space="preserve"> REF _Ref121163357 \h </w:instrText>
      </w:r>
      <w:r w:rsidR="00251633" w:rsidRPr="00A2171C">
        <w:rPr>
          <w:lang w:val="en-US"/>
        </w:rPr>
      </w:r>
      <w:r w:rsidR="00251633" w:rsidRPr="00A2171C">
        <w:rPr>
          <w:lang w:val="en-US"/>
        </w:rPr>
        <w:fldChar w:fldCharType="separate"/>
      </w:r>
      <w:r w:rsidR="00C20049" w:rsidRPr="00A2171C">
        <w:rPr>
          <w:lang w:val="en-US"/>
        </w:rPr>
        <w:t xml:space="preserve">Figure </w:t>
      </w:r>
      <w:r w:rsidR="00C20049" w:rsidRPr="00A2171C">
        <w:rPr>
          <w:noProof/>
          <w:lang w:val="en-US"/>
        </w:rPr>
        <w:t>6</w:t>
      </w:r>
      <w:r w:rsidR="00251633" w:rsidRPr="00A2171C">
        <w:rPr>
          <w:lang w:val="en-US"/>
        </w:rPr>
        <w:fldChar w:fldCharType="end"/>
      </w:r>
      <w:r w:rsidRPr="00A2171C">
        <w:rPr>
          <w:lang w:val="en-US"/>
        </w:rPr>
        <w:t xml:space="preserve">. </w:t>
      </w:r>
      <w:r w:rsidR="00A418D2" w:rsidRPr="00A2171C">
        <w:rPr>
          <w:lang w:val="en-US"/>
        </w:rPr>
        <w:t xml:space="preserve">These variables exhibit low variability, generally centered around intermediate and high risk, which </w:t>
      </w:r>
      <w:r w:rsidR="00A418D2" w:rsidRPr="00A2171C">
        <w:rPr>
          <w:i/>
          <w:iCs/>
          <w:lang w:val="en-US"/>
        </w:rPr>
        <w:t>PF</w:t>
      </w:r>
      <w:r w:rsidR="00A418D2" w:rsidRPr="00A2171C">
        <w:rPr>
          <w:i/>
          <w:iCs/>
          <w:vertAlign w:val="subscript"/>
          <w:lang w:val="en-US"/>
        </w:rPr>
        <w:t>I</w:t>
      </w:r>
      <w:r w:rsidR="00A418D2" w:rsidRPr="00A2171C">
        <w:rPr>
          <w:lang w:val="en-US"/>
        </w:rPr>
        <w:t xml:space="preserve"> (ignition risk) being the only variable spanning low risk levels. Regarding correlations, all variables are positively correlated, meaning that the greater the value of a variable, the greater the value of other correlated variables. The correlations among the partial factors, however, are not large (&lt;0.54), which show that they probably capture different phenomena. With regards to the Fire Risk Index (</w:t>
      </w:r>
      <w:r w:rsidR="00A418D2" w:rsidRPr="00A2171C">
        <w:rPr>
          <w:i/>
          <w:iCs/>
          <w:lang w:val="en-US"/>
        </w:rPr>
        <w:t>FRI</w:t>
      </w:r>
      <w:r w:rsidR="00A418D2" w:rsidRPr="00A2171C">
        <w:rPr>
          <w:lang w:val="en-US"/>
        </w:rPr>
        <w:t>), the correlations it has with the other variables are not surprising, because its functional dependency is practically a linear combination of them</w:t>
      </w:r>
      <w:r w:rsidR="00833B0B" w:rsidRPr="00A2171C">
        <w:rPr>
          <w:lang w:val="en-US"/>
        </w:rPr>
        <w:t>.</w:t>
      </w:r>
    </w:p>
    <w:p w14:paraId="3057F412" w14:textId="076781BF" w:rsidR="0003318E" w:rsidRPr="00A2171C" w:rsidRDefault="0003318E" w:rsidP="0003318E">
      <w:pPr>
        <w:pStyle w:val="Caption"/>
        <w:keepNext/>
        <w:rPr>
          <w:color w:val="auto"/>
          <w:lang w:val="en-US"/>
        </w:rPr>
      </w:pPr>
      <w:bookmarkStart w:id="22" w:name="_Ref121160234"/>
      <w:r w:rsidRPr="00A2171C">
        <w:rPr>
          <w:color w:val="auto"/>
          <w:lang w:val="en-US"/>
        </w:rPr>
        <w:t xml:space="preserve">Table </w:t>
      </w:r>
      <w:r w:rsidRPr="00A2171C">
        <w:rPr>
          <w:color w:val="auto"/>
        </w:rPr>
        <w:fldChar w:fldCharType="begin"/>
      </w:r>
      <w:r w:rsidRPr="00A2171C">
        <w:rPr>
          <w:color w:val="auto"/>
          <w:lang w:val="en-US"/>
        </w:rPr>
        <w:instrText xml:space="preserve"> SEQ Table \* ARABIC </w:instrText>
      </w:r>
      <w:r w:rsidRPr="00A2171C">
        <w:rPr>
          <w:color w:val="auto"/>
        </w:rPr>
        <w:fldChar w:fldCharType="separate"/>
      </w:r>
      <w:r w:rsidR="00C20049" w:rsidRPr="00A2171C">
        <w:rPr>
          <w:noProof/>
          <w:color w:val="auto"/>
          <w:lang w:val="en-US"/>
        </w:rPr>
        <w:t>5</w:t>
      </w:r>
      <w:r w:rsidRPr="00A2171C">
        <w:rPr>
          <w:color w:val="auto"/>
        </w:rPr>
        <w:fldChar w:fldCharType="end"/>
      </w:r>
      <w:bookmarkEnd w:id="22"/>
      <w:r w:rsidRPr="00A2171C">
        <w:rPr>
          <w:color w:val="auto"/>
          <w:lang w:val="en-US"/>
        </w:rPr>
        <w:t xml:space="preserve">: </w:t>
      </w:r>
      <w:r w:rsidRPr="00A2171C">
        <w:rPr>
          <w:i w:val="0"/>
          <w:iCs w:val="0"/>
          <w:color w:val="auto"/>
          <w:lang w:val="en-US"/>
        </w:rPr>
        <w:t>(a)</w:t>
      </w:r>
      <w:r w:rsidRPr="00A2171C">
        <w:rPr>
          <w:b/>
          <w:bCs/>
          <w:i w:val="0"/>
          <w:iCs w:val="0"/>
          <w:color w:val="auto"/>
          <w:lang w:val="en-US"/>
        </w:rPr>
        <w:t xml:space="preserve"> </w:t>
      </w:r>
      <w:r w:rsidRPr="00A2171C">
        <w:rPr>
          <w:color w:val="auto"/>
          <w:lang w:val="en-US"/>
        </w:rPr>
        <w:t>Statistical summary of the partial factors (PF</w:t>
      </w:r>
      <w:r w:rsidRPr="00A2171C">
        <w:rPr>
          <w:color w:val="auto"/>
          <w:vertAlign w:val="subscript"/>
          <w:lang w:val="en-US"/>
        </w:rPr>
        <w:t>I</w:t>
      </w:r>
      <w:r w:rsidRPr="00A2171C">
        <w:rPr>
          <w:color w:val="auto"/>
          <w:lang w:val="en-US"/>
        </w:rPr>
        <w:t>, PF</w:t>
      </w:r>
      <w:r w:rsidRPr="00A2171C">
        <w:rPr>
          <w:color w:val="auto"/>
          <w:vertAlign w:val="subscript"/>
          <w:lang w:val="en-US"/>
        </w:rPr>
        <w:t>P</w:t>
      </w:r>
      <w:r w:rsidRPr="00A2171C">
        <w:rPr>
          <w:color w:val="auto"/>
          <w:lang w:val="en-US"/>
        </w:rPr>
        <w:t>, PF</w:t>
      </w:r>
      <w:r w:rsidRPr="00A2171C">
        <w:rPr>
          <w:color w:val="auto"/>
          <w:vertAlign w:val="subscript"/>
          <w:lang w:val="en-US"/>
        </w:rPr>
        <w:t>E</w:t>
      </w:r>
      <w:r w:rsidRPr="00A2171C">
        <w:rPr>
          <w:color w:val="auto"/>
          <w:lang w:val="en-US"/>
        </w:rPr>
        <w:t>, PF</w:t>
      </w:r>
      <w:r w:rsidRPr="00A2171C">
        <w:rPr>
          <w:color w:val="auto"/>
          <w:vertAlign w:val="subscript"/>
          <w:lang w:val="en-US"/>
        </w:rPr>
        <w:t>C</w:t>
      </w:r>
      <w:r w:rsidRPr="00A2171C">
        <w:rPr>
          <w:color w:val="auto"/>
          <w:lang w:val="en-US"/>
        </w:rPr>
        <w:t xml:space="preserve">) and Fire Risk Index (FRI) obtained for the units considered in this study </w:t>
      </w:r>
      <w:r w:rsidRPr="00A2171C">
        <w:rPr>
          <w:rFonts w:eastAsia="Times New Roman" w:cs="Times New Roman"/>
          <w:color w:val="auto"/>
          <w:lang w:val="en-US"/>
        </w:rPr>
        <w:t>(average, standard deviation σ, Min, Median and Max of data set).</w:t>
      </w:r>
      <w:r w:rsidRPr="00A2171C">
        <w:rPr>
          <w:color w:val="auto"/>
          <w:lang w:val="en-US"/>
        </w:rPr>
        <w:t xml:space="preserve">; </w:t>
      </w:r>
      <w:r w:rsidRPr="00A2171C">
        <w:rPr>
          <w:i w:val="0"/>
          <w:iCs w:val="0"/>
          <w:color w:val="auto"/>
          <w:lang w:val="en-US"/>
        </w:rPr>
        <w:t>and (b) c</w:t>
      </w:r>
      <w:r w:rsidRPr="00A2171C">
        <w:rPr>
          <w:color w:val="auto"/>
          <w:lang w:val="en-US"/>
        </w:rPr>
        <w:t>orrelations among the Fire Risk Index (FRI) and the partial factors (PF</w:t>
      </w:r>
      <w:r w:rsidRPr="00A2171C">
        <w:rPr>
          <w:color w:val="auto"/>
          <w:vertAlign w:val="subscript"/>
          <w:lang w:val="en-US"/>
        </w:rPr>
        <w:t>I</w:t>
      </w:r>
      <w:r w:rsidRPr="00A2171C">
        <w:rPr>
          <w:color w:val="auto"/>
          <w:lang w:val="en-US"/>
        </w:rPr>
        <w:t>, PF</w:t>
      </w:r>
      <w:r w:rsidRPr="00A2171C">
        <w:rPr>
          <w:color w:val="auto"/>
          <w:vertAlign w:val="subscript"/>
          <w:lang w:val="en-US"/>
        </w:rPr>
        <w:t>P</w:t>
      </w:r>
      <w:r w:rsidRPr="00A2171C">
        <w:rPr>
          <w:color w:val="auto"/>
          <w:lang w:val="en-US"/>
        </w:rPr>
        <w:t>, PF</w:t>
      </w:r>
      <w:r w:rsidRPr="00A2171C">
        <w:rPr>
          <w:color w:val="auto"/>
          <w:vertAlign w:val="subscript"/>
          <w:lang w:val="en-US"/>
        </w:rPr>
        <w:t>E</w:t>
      </w:r>
      <w:r w:rsidRPr="00A2171C">
        <w:rPr>
          <w:color w:val="auto"/>
          <w:lang w:val="en-US"/>
        </w:rPr>
        <w:t>, PF</w:t>
      </w:r>
      <w:r w:rsidRPr="00A2171C">
        <w:rPr>
          <w:color w:val="auto"/>
          <w:vertAlign w:val="subscript"/>
          <w:lang w:val="en-US"/>
        </w:rPr>
        <w:t>C</w:t>
      </w:r>
      <w:r w:rsidRPr="00A2171C">
        <w:rPr>
          <w:color w:val="auto"/>
          <w:lang w:val="en-US"/>
        </w:rPr>
        <w:t>).</w:t>
      </w:r>
    </w:p>
    <w:tbl>
      <w:tblPr>
        <w:tblStyle w:val="TableGrid"/>
        <w:tblW w:w="86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45"/>
        <w:gridCol w:w="532"/>
        <w:gridCol w:w="538"/>
        <w:gridCol w:w="807"/>
        <w:gridCol w:w="566"/>
        <w:gridCol w:w="324"/>
        <w:gridCol w:w="516"/>
        <w:gridCol w:w="531"/>
        <w:gridCol w:w="531"/>
        <w:gridCol w:w="531"/>
        <w:gridCol w:w="531"/>
        <w:gridCol w:w="531"/>
      </w:tblGrid>
      <w:tr w:rsidR="00A2171C" w:rsidRPr="00A2171C" w14:paraId="509C17E1" w14:textId="096A786C" w:rsidTr="00833B0B">
        <w:trPr>
          <w:trHeight w:val="227"/>
        </w:trPr>
        <w:tc>
          <w:tcPr>
            <w:tcW w:w="1866" w:type="dxa"/>
            <w:tcBorders>
              <w:top w:val="single" w:sz="4" w:space="0" w:color="auto"/>
              <w:bottom w:val="single" w:sz="4" w:space="0" w:color="auto"/>
            </w:tcBorders>
          </w:tcPr>
          <w:p w14:paraId="4649AE0A" w14:textId="77777777" w:rsidR="0019372F" w:rsidRPr="00A2171C" w:rsidRDefault="0019372F" w:rsidP="0019372F">
            <w:pPr>
              <w:pStyle w:val="Standard"/>
              <w:rPr>
                <w:b/>
                <w:bCs/>
                <w:sz w:val="18"/>
                <w:szCs w:val="18"/>
                <w:lang w:val="en-US"/>
              </w:rPr>
            </w:pPr>
          </w:p>
        </w:tc>
        <w:tc>
          <w:tcPr>
            <w:tcW w:w="845" w:type="dxa"/>
            <w:tcBorders>
              <w:top w:val="single" w:sz="4" w:space="0" w:color="auto"/>
              <w:bottom w:val="single" w:sz="4" w:space="0" w:color="auto"/>
            </w:tcBorders>
            <w:vAlign w:val="center"/>
          </w:tcPr>
          <w:p w14:paraId="7C2A1CAC" w14:textId="05DCA5EC" w:rsidR="0019372F" w:rsidRPr="00A2171C" w:rsidRDefault="0019372F" w:rsidP="0019372F">
            <w:pPr>
              <w:pStyle w:val="Standard"/>
              <w:jc w:val="center"/>
              <w:rPr>
                <w:b/>
                <w:bCs/>
                <w:sz w:val="18"/>
                <w:szCs w:val="18"/>
              </w:rPr>
            </w:pPr>
            <w:r w:rsidRPr="00A2171C">
              <w:rPr>
                <w:b/>
                <w:bCs/>
                <w:sz w:val="18"/>
                <w:szCs w:val="18"/>
              </w:rPr>
              <w:t>Average</w:t>
            </w:r>
          </w:p>
        </w:tc>
        <w:tc>
          <w:tcPr>
            <w:tcW w:w="532" w:type="dxa"/>
            <w:tcBorders>
              <w:top w:val="single" w:sz="4" w:space="0" w:color="auto"/>
              <w:bottom w:val="single" w:sz="4" w:space="0" w:color="auto"/>
            </w:tcBorders>
            <w:vAlign w:val="center"/>
          </w:tcPr>
          <w:p w14:paraId="769AF814" w14:textId="7A840D75" w:rsidR="0019372F" w:rsidRPr="00A2171C" w:rsidRDefault="0019372F" w:rsidP="0019372F">
            <w:pPr>
              <w:pStyle w:val="Standard"/>
              <w:jc w:val="center"/>
              <w:rPr>
                <w:b/>
                <w:bCs/>
                <w:sz w:val="18"/>
                <w:szCs w:val="18"/>
              </w:rPr>
            </w:pPr>
            <w:r w:rsidRPr="00A2171C">
              <w:rPr>
                <w:b/>
                <w:bCs/>
                <w:sz w:val="18"/>
                <w:szCs w:val="18"/>
              </w:rPr>
              <w:t>σ</w:t>
            </w:r>
          </w:p>
        </w:tc>
        <w:tc>
          <w:tcPr>
            <w:tcW w:w="538" w:type="dxa"/>
            <w:tcBorders>
              <w:top w:val="single" w:sz="4" w:space="0" w:color="auto"/>
              <w:bottom w:val="single" w:sz="4" w:space="0" w:color="auto"/>
            </w:tcBorders>
            <w:vAlign w:val="center"/>
          </w:tcPr>
          <w:p w14:paraId="322C1260" w14:textId="3D6AFFBF" w:rsidR="0019372F" w:rsidRPr="00A2171C" w:rsidRDefault="0019372F" w:rsidP="0019372F">
            <w:pPr>
              <w:pStyle w:val="Standard"/>
              <w:jc w:val="center"/>
              <w:rPr>
                <w:b/>
                <w:bCs/>
                <w:sz w:val="18"/>
                <w:szCs w:val="18"/>
              </w:rPr>
            </w:pPr>
            <w:r w:rsidRPr="00A2171C">
              <w:rPr>
                <w:b/>
                <w:bCs/>
                <w:sz w:val="18"/>
                <w:szCs w:val="18"/>
              </w:rPr>
              <w:t>Min</w:t>
            </w:r>
          </w:p>
        </w:tc>
        <w:tc>
          <w:tcPr>
            <w:tcW w:w="807" w:type="dxa"/>
            <w:tcBorders>
              <w:top w:val="single" w:sz="4" w:space="0" w:color="auto"/>
              <w:bottom w:val="single" w:sz="4" w:space="0" w:color="auto"/>
            </w:tcBorders>
            <w:vAlign w:val="center"/>
          </w:tcPr>
          <w:p w14:paraId="5FC9B122" w14:textId="0F51B418" w:rsidR="0019372F" w:rsidRPr="00A2171C" w:rsidRDefault="0019372F" w:rsidP="0019372F">
            <w:pPr>
              <w:pStyle w:val="Standard"/>
              <w:jc w:val="center"/>
              <w:rPr>
                <w:b/>
                <w:bCs/>
                <w:sz w:val="18"/>
                <w:szCs w:val="18"/>
              </w:rPr>
            </w:pPr>
            <w:r w:rsidRPr="00A2171C">
              <w:rPr>
                <w:b/>
                <w:bCs/>
                <w:sz w:val="18"/>
                <w:szCs w:val="18"/>
              </w:rPr>
              <w:t>Median</w:t>
            </w:r>
          </w:p>
        </w:tc>
        <w:tc>
          <w:tcPr>
            <w:tcW w:w="566" w:type="dxa"/>
            <w:tcBorders>
              <w:top w:val="single" w:sz="4" w:space="0" w:color="auto"/>
              <w:bottom w:val="single" w:sz="4" w:space="0" w:color="auto"/>
            </w:tcBorders>
            <w:vAlign w:val="center"/>
          </w:tcPr>
          <w:p w14:paraId="579D5166" w14:textId="30B67BE6" w:rsidR="0019372F" w:rsidRPr="00A2171C" w:rsidRDefault="0019372F" w:rsidP="0019372F">
            <w:pPr>
              <w:pStyle w:val="Standard"/>
              <w:jc w:val="center"/>
              <w:rPr>
                <w:b/>
                <w:bCs/>
                <w:sz w:val="18"/>
                <w:szCs w:val="18"/>
              </w:rPr>
            </w:pPr>
            <w:r w:rsidRPr="00A2171C">
              <w:rPr>
                <w:b/>
                <w:bCs/>
                <w:sz w:val="18"/>
                <w:szCs w:val="18"/>
              </w:rPr>
              <w:t>Max</w:t>
            </w:r>
          </w:p>
        </w:tc>
        <w:tc>
          <w:tcPr>
            <w:tcW w:w="324" w:type="dxa"/>
            <w:tcBorders>
              <w:top w:val="nil"/>
              <w:bottom w:val="nil"/>
            </w:tcBorders>
          </w:tcPr>
          <w:p w14:paraId="5A217629" w14:textId="77777777" w:rsidR="0019372F" w:rsidRPr="00A2171C" w:rsidRDefault="0019372F" w:rsidP="0019372F">
            <w:pPr>
              <w:pStyle w:val="Standard"/>
              <w:jc w:val="center"/>
              <w:rPr>
                <w:b/>
                <w:bCs/>
                <w:sz w:val="18"/>
                <w:szCs w:val="18"/>
              </w:rPr>
            </w:pPr>
          </w:p>
        </w:tc>
        <w:tc>
          <w:tcPr>
            <w:tcW w:w="516" w:type="dxa"/>
            <w:tcBorders>
              <w:top w:val="single" w:sz="4" w:space="0" w:color="auto"/>
              <w:bottom w:val="single" w:sz="4" w:space="0" w:color="auto"/>
            </w:tcBorders>
            <w:vAlign w:val="center"/>
          </w:tcPr>
          <w:p w14:paraId="545B4ADC" w14:textId="77777777" w:rsidR="0019372F" w:rsidRPr="00A2171C" w:rsidRDefault="0019372F" w:rsidP="0019372F">
            <w:pPr>
              <w:pStyle w:val="Standard"/>
              <w:jc w:val="center"/>
              <w:rPr>
                <w:b/>
                <w:bCs/>
                <w:sz w:val="18"/>
                <w:szCs w:val="18"/>
              </w:rPr>
            </w:pPr>
          </w:p>
        </w:tc>
        <w:tc>
          <w:tcPr>
            <w:tcW w:w="531" w:type="dxa"/>
            <w:tcBorders>
              <w:top w:val="single" w:sz="4" w:space="0" w:color="auto"/>
              <w:bottom w:val="single" w:sz="4" w:space="0" w:color="auto"/>
            </w:tcBorders>
            <w:vAlign w:val="center"/>
          </w:tcPr>
          <w:p w14:paraId="4D53BB07" w14:textId="1E93F4B8" w:rsidR="0019372F" w:rsidRPr="00A2171C" w:rsidRDefault="0019372F" w:rsidP="0019372F">
            <w:pPr>
              <w:pStyle w:val="Standard"/>
              <w:jc w:val="center"/>
              <w:rPr>
                <w:b/>
                <w:bCs/>
                <w:sz w:val="18"/>
                <w:szCs w:val="18"/>
              </w:rPr>
            </w:pPr>
            <w:r w:rsidRPr="00A2171C">
              <w:rPr>
                <w:b/>
                <w:bCs/>
                <w:i/>
                <w:iCs/>
                <w:sz w:val="18"/>
                <w:szCs w:val="18"/>
              </w:rPr>
              <w:t>FR</w:t>
            </w:r>
            <w:r w:rsidRPr="00A2171C">
              <w:rPr>
                <w:b/>
                <w:bCs/>
                <w:i/>
                <w:iCs/>
                <w:sz w:val="18"/>
                <w:szCs w:val="18"/>
                <w:vertAlign w:val="subscript"/>
              </w:rPr>
              <w:t>I</w:t>
            </w:r>
          </w:p>
        </w:tc>
        <w:tc>
          <w:tcPr>
            <w:tcW w:w="531" w:type="dxa"/>
            <w:tcBorders>
              <w:top w:val="single" w:sz="4" w:space="0" w:color="auto"/>
              <w:bottom w:val="single" w:sz="4" w:space="0" w:color="auto"/>
            </w:tcBorders>
            <w:vAlign w:val="center"/>
          </w:tcPr>
          <w:p w14:paraId="203AE4F8" w14:textId="2D20005A" w:rsidR="0019372F" w:rsidRPr="00A2171C" w:rsidRDefault="0019372F" w:rsidP="0019372F">
            <w:pPr>
              <w:pStyle w:val="Standard"/>
              <w:jc w:val="center"/>
              <w:rPr>
                <w:b/>
                <w:bCs/>
                <w:sz w:val="18"/>
                <w:szCs w:val="18"/>
              </w:rPr>
            </w:pPr>
            <w:r w:rsidRPr="00A2171C">
              <w:rPr>
                <w:b/>
                <w:bCs/>
                <w:i/>
                <w:iCs/>
                <w:sz w:val="18"/>
                <w:szCs w:val="18"/>
              </w:rPr>
              <w:t>PF</w:t>
            </w:r>
            <w:r w:rsidRPr="00A2171C">
              <w:rPr>
                <w:b/>
                <w:bCs/>
                <w:i/>
                <w:iCs/>
                <w:sz w:val="18"/>
                <w:szCs w:val="18"/>
                <w:vertAlign w:val="subscript"/>
              </w:rPr>
              <w:t>I</w:t>
            </w:r>
          </w:p>
        </w:tc>
        <w:tc>
          <w:tcPr>
            <w:tcW w:w="531" w:type="dxa"/>
            <w:tcBorders>
              <w:top w:val="single" w:sz="4" w:space="0" w:color="auto"/>
              <w:bottom w:val="single" w:sz="4" w:space="0" w:color="auto"/>
            </w:tcBorders>
            <w:vAlign w:val="center"/>
          </w:tcPr>
          <w:p w14:paraId="0E6EC761" w14:textId="3FBA3770" w:rsidR="0019372F" w:rsidRPr="00A2171C" w:rsidRDefault="0019372F" w:rsidP="0019372F">
            <w:pPr>
              <w:pStyle w:val="Standard"/>
              <w:jc w:val="center"/>
              <w:rPr>
                <w:b/>
                <w:bCs/>
                <w:sz w:val="18"/>
                <w:szCs w:val="18"/>
              </w:rPr>
            </w:pPr>
            <w:r w:rsidRPr="00A2171C">
              <w:rPr>
                <w:b/>
                <w:bCs/>
                <w:i/>
                <w:iCs/>
                <w:sz w:val="18"/>
                <w:szCs w:val="18"/>
              </w:rPr>
              <w:t>PF</w:t>
            </w:r>
            <w:r w:rsidRPr="00A2171C">
              <w:rPr>
                <w:b/>
                <w:bCs/>
                <w:i/>
                <w:iCs/>
                <w:sz w:val="18"/>
                <w:szCs w:val="18"/>
                <w:vertAlign w:val="subscript"/>
              </w:rPr>
              <w:t>P</w:t>
            </w:r>
          </w:p>
        </w:tc>
        <w:tc>
          <w:tcPr>
            <w:tcW w:w="531" w:type="dxa"/>
            <w:tcBorders>
              <w:top w:val="single" w:sz="4" w:space="0" w:color="auto"/>
              <w:bottom w:val="single" w:sz="4" w:space="0" w:color="auto"/>
            </w:tcBorders>
            <w:vAlign w:val="center"/>
          </w:tcPr>
          <w:p w14:paraId="4AE37A14" w14:textId="65EDAD1C" w:rsidR="0019372F" w:rsidRPr="00A2171C" w:rsidRDefault="0019372F" w:rsidP="0019372F">
            <w:pPr>
              <w:pStyle w:val="Standard"/>
              <w:jc w:val="center"/>
              <w:rPr>
                <w:b/>
                <w:bCs/>
                <w:sz w:val="18"/>
                <w:szCs w:val="18"/>
              </w:rPr>
            </w:pPr>
            <w:r w:rsidRPr="00A2171C">
              <w:rPr>
                <w:b/>
                <w:bCs/>
                <w:i/>
                <w:iCs/>
                <w:sz w:val="18"/>
                <w:szCs w:val="18"/>
              </w:rPr>
              <w:t>PF</w:t>
            </w:r>
            <w:r w:rsidRPr="00A2171C">
              <w:rPr>
                <w:b/>
                <w:bCs/>
                <w:i/>
                <w:iCs/>
                <w:sz w:val="18"/>
                <w:szCs w:val="18"/>
                <w:vertAlign w:val="subscript"/>
              </w:rPr>
              <w:t>E</w:t>
            </w:r>
          </w:p>
        </w:tc>
        <w:tc>
          <w:tcPr>
            <w:tcW w:w="531" w:type="dxa"/>
            <w:tcBorders>
              <w:top w:val="single" w:sz="4" w:space="0" w:color="auto"/>
              <w:bottom w:val="single" w:sz="4" w:space="0" w:color="auto"/>
            </w:tcBorders>
            <w:vAlign w:val="center"/>
          </w:tcPr>
          <w:p w14:paraId="13CF20B1" w14:textId="09B4FC42" w:rsidR="0019372F" w:rsidRPr="00A2171C" w:rsidRDefault="0019372F" w:rsidP="0019372F">
            <w:pPr>
              <w:pStyle w:val="Standard"/>
              <w:jc w:val="center"/>
              <w:rPr>
                <w:b/>
                <w:bCs/>
                <w:sz w:val="18"/>
                <w:szCs w:val="18"/>
              </w:rPr>
            </w:pPr>
            <w:r w:rsidRPr="00A2171C">
              <w:rPr>
                <w:b/>
                <w:bCs/>
                <w:i/>
                <w:iCs/>
                <w:sz w:val="18"/>
                <w:szCs w:val="18"/>
              </w:rPr>
              <w:t>PF</w:t>
            </w:r>
            <w:r w:rsidR="00D36779" w:rsidRPr="00A2171C">
              <w:rPr>
                <w:i/>
                <w:sz w:val="18"/>
                <w:szCs w:val="18"/>
                <w:vertAlign w:val="subscript"/>
              </w:rPr>
              <w:t>C</w:t>
            </w:r>
          </w:p>
        </w:tc>
      </w:tr>
      <w:tr w:rsidR="00A2171C" w:rsidRPr="00A2171C" w14:paraId="029E731E" w14:textId="4E9DB79D" w:rsidTr="00833B0B">
        <w:trPr>
          <w:trHeight w:val="227"/>
        </w:trPr>
        <w:tc>
          <w:tcPr>
            <w:tcW w:w="1866" w:type="dxa"/>
            <w:tcBorders>
              <w:bottom w:val="nil"/>
            </w:tcBorders>
            <w:vAlign w:val="center"/>
          </w:tcPr>
          <w:p w14:paraId="7E7B3F55" w14:textId="0BD55BE5" w:rsidR="0019372F" w:rsidRPr="00A2171C" w:rsidRDefault="0019372F" w:rsidP="0019372F">
            <w:pPr>
              <w:pStyle w:val="Standard"/>
              <w:rPr>
                <w:b/>
                <w:bCs/>
                <w:sz w:val="18"/>
                <w:szCs w:val="18"/>
              </w:rPr>
            </w:pPr>
            <w:r w:rsidRPr="00A2171C">
              <w:rPr>
                <w:i/>
                <w:iCs/>
                <w:sz w:val="18"/>
                <w:szCs w:val="18"/>
              </w:rPr>
              <w:t>PF</w:t>
            </w:r>
            <w:r w:rsidRPr="00A2171C">
              <w:rPr>
                <w:i/>
                <w:iCs/>
                <w:sz w:val="18"/>
                <w:szCs w:val="18"/>
                <w:vertAlign w:val="subscript"/>
              </w:rPr>
              <w:t>I</w:t>
            </w:r>
            <w:r w:rsidRPr="00A2171C">
              <w:rPr>
                <w:sz w:val="18"/>
                <w:szCs w:val="18"/>
              </w:rPr>
              <w:t>: Ignition Risk</w:t>
            </w:r>
          </w:p>
        </w:tc>
        <w:tc>
          <w:tcPr>
            <w:tcW w:w="845" w:type="dxa"/>
            <w:tcBorders>
              <w:bottom w:val="nil"/>
            </w:tcBorders>
            <w:vAlign w:val="center"/>
          </w:tcPr>
          <w:p w14:paraId="4318D27B" w14:textId="011896EB" w:rsidR="0019372F" w:rsidRPr="00A2171C" w:rsidRDefault="0019372F" w:rsidP="0019372F">
            <w:pPr>
              <w:pStyle w:val="Standard"/>
              <w:jc w:val="center"/>
              <w:rPr>
                <w:b/>
                <w:bCs/>
                <w:sz w:val="18"/>
                <w:szCs w:val="18"/>
              </w:rPr>
            </w:pPr>
            <w:r w:rsidRPr="00A2171C">
              <w:rPr>
                <w:sz w:val="18"/>
                <w:szCs w:val="18"/>
              </w:rPr>
              <w:t>1.46</w:t>
            </w:r>
          </w:p>
        </w:tc>
        <w:tc>
          <w:tcPr>
            <w:tcW w:w="532" w:type="dxa"/>
            <w:tcBorders>
              <w:bottom w:val="nil"/>
            </w:tcBorders>
            <w:vAlign w:val="center"/>
          </w:tcPr>
          <w:p w14:paraId="2A4FA209" w14:textId="27625897" w:rsidR="0019372F" w:rsidRPr="00A2171C" w:rsidRDefault="0019372F" w:rsidP="0019372F">
            <w:pPr>
              <w:pStyle w:val="Standard"/>
              <w:jc w:val="center"/>
              <w:rPr>
                <w:b/>
                <w:bCs/>
                <w:sz w:val="18"/>
                <w:szCs w:val="18"/>
              </w:rPr>
            </w:pPr>
            <w:r w:rsidRPr="00A2171C">
              <w:rPr>
                <w:sz w:val="18"/>
                <w:szCs w:val="18"/>
              </w:rPr>
              <w:t>0.15</w:t>
            </w:r>
          </w:p>
        </w:tc>
        <w:tc>
          <w:tcPr>
            <w:tcW w:w="538" w:type="dxa"/>
            <w:tcBorders>
              <w:bottom w:val="nil"/>
            </w:tcBorders>
            <w:vAlign w:val="center"/>
          </w:tcPr>
          <w:p w14:paraId="4C07F595" w14:textId="02ED5A93" w:rsidR="0019372F" w:rsidRPr="00A2171C" w:rsidRDefault="0019372F" w:rsidP="0019372F">
            <w:pPr>
              <w:pStyle w:val="Standard"/>
              <w:jc w:val="center"/>
              <w:rPr>
                <w:b/>
                <w:bCs/>
                <w:sz w:val="18"/>
                <w:szCs w:val="18"/>
              </w:rPr>
            </w:pPr>
            <w:r w:rsidRPr="00A2171C">
              <w:rPr>
                <w:sz w:val="18"/>
                <w:szCs w:val="18"/>
              </w:rPr>
              <w:t>1.06</w:t>
            </w:r>
          </w:p>
        </w:tc>
        <w:tc>
          <w:tcPr>
            <w:tcW w:w="807" w:type="dxa"/>
            <w:tcBorders>
              <w:bottom w:val="nil"/>
            </w:tcBorders>
            <w:vAlign w:val="center"/>
          </w:tcPr>
          <w:p w14:paraId="68652573" w14:textId="66B85D7A" w:rsidR="0019372F" w:rsidRPr="00A2171C" w:rsidRDefault="0019372F" w:rsidP="0019372F">
            <w:pPr>
              <w:pStyle w:val="Standard"/>
              <w:jc w:val="center"/>
              <w:rPr>
                <w:b/>
                <w:bCs/>
                <w:sz w:val="18"/>
                <w:szCs w:val="18"/>
              </w:rPr>
            </w:pPr>
            <w:r w:rsidRPr="00A2171C">
              <w:rPr>
                <w:sz w:val="18"/>
                <w:szCs w:val="18"/>
              </w:rPr>
              <w:t>1.47</w:t>
            </w:r>
          </w:p>
        </w:tc>
        <w:tc>
          <w:tcPr>
            <w:tcW w:w="566" w:type="dxa"/>
            <w:tcBorders>
              <w:bottom w:val="nil"/>
            </w:tcBorders>
            <w:vAlign w:val="center"/>
          </w:tcPr>
          <w:p w14:paraId="0B5AA232" w14:textId="49E70FFD" w:rsidR="0019372F" w:rsidRPr="00A2171C" w:rsidRDefault="0019372F" w:rsidP="0019372F">
            <w:pPr>
              <w:pStyle w:val="Standard"/>
              <w:jc w:val="center"/>
              <w:rPr>
                <w:b/>
                <w:bCs/>
                <w:sz w:val="18"/>
                <w:szCs w:val="18"/>
              </w:rPr>
            </w:pPr>
            <w:r w:rsidRPr="00A2171C">
              <w:rPr>
                <w:sz w:val="18"/>
                <w:szCs w:val="18"/>
              </w:rPr>
              <w:t>1.83</w:t>
            </w:r>
          </w:p>
        </w:tc>
        <w:tc>
          <w:tcPr>
            <w:tcW w:w="324" w:type="dxa"/>
            <w:tcBorders>
              <w:top w:val="nil"/>
              <w:bottom w:val="nil"/>
            </w:tcBorders>
          </w:tcPr>
          <w:p w14:paraId="1681D087" w14:textId="77777777" w:rsidR="0019372F" w:rsidRPr="00A2171C" w:rsidRDefault="0019372F" w:rsidP="0019372F">
            <w:pPr>
              <w:pStyle w:val="Standard"/>
              <w:jc w:val="center"/>
              <w:rPr>
                <w:sz w:val="18"/>
                <w:szCs w:val="18"/>
              </w:rPr>
            </w:pPr>
          </w:p>
        </w:tc>
        <w:tc>
          <w:tcPr>
            <w:tcW w:w="516" w:type="dxa"/>
            <w:tcBorders>
              <w:bottom w:val="nil"/>
            </w:tcBorders>
            <w:vAlign w:val="center"/>
          </w:tcPr>
          <w:p w14:paraId="14EF79C6" w14:textId="1853B425" w:rsidR="0019372F" w:rsidRPr="00A2171C" w:rsidRDefault="0019372F" w:rsidP="0019372F">
            <w:pPr>
              <w:pStyle w:val="Standard"/>
              <w:jc w:val="center"/>
              <w:rPr>
                <w:sz w:val="18"/>
                <w:szCs w:val="18"/>
              </w:rPr>
            </w:pPr>
            <w:r w:rsidRPr="00A2171C">
              <w:rPr>
                <w:i/>
                <w:sz w:val="18"/>
                <w:szCs w:val="18"/>
              </w:rPr>
              <w:t>FR</w:t>
            </w:r>
            <w:r w:rsidRPr="00A2171C">
              <w:rPr>
                <w:i/>
                <w:sz w:val="18"/>
                <w:szCs w:val="18"/>
                <w:vertAlign w:val="subscript"/>
              </w:rPr>
              <w:t>I</w:t>
            </w:r>
          </w:p>
        </w:tc>
        <w:tc>
          <w:tcPr>
            <w:tcW w:w="531" w:type="dxa"/>
            <w:tcBorders>
              <w:bottom w:val="nil"/>
            </w:tcBorders>
            <w:vAlign w:val="center"/>
          </w:tcPr>
          <w:p w14:paraId="421F6258" w14:textId="5E329F05" w:rsidR="0019372F" w:rsidRPr="00A2171C" w:rsidRDefault="0019372F" w:rsidP="0019372F">
            <w:pPr>
              <w:pStyle w:val="Standard"/>
              <w:jc w:val="center"/>
              <w:rPr>
                <w:sz w:val="18"/>
                <w:szCs w:val="18"/>
              </w:rPr>
            </w:pPr>
            <w:r w:rsidRPr="00A2171C">
              <w:rPr>
                <w:sz w:val="18"/>
                <w:szCs w:val="18"/>
              </w:rPr>
              <w:t>1.00</w:t>
            </w:r>
          </w:p>
        </w:tc>
        <w:tc>
          <w:tcPr>
            <w:tcW w:w="531" w:type="dxa"/>
            <w:tcBorders>
              <w:bottom w:val="nil"/>
            </w:tcBorders>
            <w:vAlign w:val="center"/>
          </w:tcPr>
          <w:p w14:paraId="490C9366" w14:textId="18303E91" w:rsidR="0019372F" w:rsidRPr="00A2171C" w:rsidRDefault="0019372F" w:rsidP="0019372F">
            <w:pPr>
              <w:pStyle w:val="Standard"/>
              <w:jc w:val="center"/>
              <w:rPr>
                <w:sz w:val="18"/>
                <w:szCs w:val="18"/>
              </w:rPr>
            </w:pPr>
          </w:p>
        </w:tc>
        <w:tc>
          <w:tcPr>
            <w:tcW w:w="531" w:type="dxa"/>
            <w:tcBorders>
              <w:bottom w:val="nil"/>
            </w:tcBorders>
            <w:vAlign w:val="center"/>
          </w:tcPr>
          <w:p w14:paraId="027F8A33" w14:textId="77777777" w:rsidR="0019372F" w:rsidRPr="00A2171C" w:rsidRDefault="0019372F" w:rsidP="0019372F">
            <w:pPr>
              <w:pStyle w:val="Standard"/>
              <w:jc w:val="center"/>
              <w:rPr>
                <w:sz w:val="18"/>
                <w:szCs w:val="18"/>
              </w:rPr>
            </w:pPr>
          </w:p>
        </w:tc>
        <w:tc>
          <w:tcPr>
            <w:tcW w:w="531" w:type="dxa"/>
            <w:tcBorders>
              <w:bottom w:val="nil"/>
            </w:tcBorders>
            <w:vAlign w:val="center"/>
          </w:tcPr>
          <w:p w14:paraId="71E56758" w14:textId="77777777" w:rsidR="0019372F" w:rsidRPr="00A2171C" w:rsidRDefault="0019372F" w:rsidP="0019372F">
            <w:pPr>
              <w:pStyle w:val="Standard"/>
              <w:jc w:val="center"/>
              <w:rPr>
                <w:sz w:val="18"/>
                <w:szCs w:val="18"/>
              </w:rPr>
            </w:pPr>
          </w:p>
        </w:tc>
        <w:tc>
          <w:tcPr>
            <w:tcW w:w="531" w:type="dxa"/>
            <w:tcBorders>
              <w:bottom w:val="nil"/>
            </w:tcBorders>
            <w:vAlign w:val="center"/>
          </w:tcPr>
          <w:p w14:paraId="08BA8A3E" w14:textId="77777777" w:rsidR="0019372F" w:rsidRPr="00A2171C" w:rsidRDefault="0019372F" w:rsidP="0019372F">
            <w:pPr>
              <w:pStyle w:val="Standard"/>
              <w:jc w:val="center"/>
              <w:rPr>
                <w:sz w:val="18"/>
                <w:szCs w:val="18"/>
              </w:rPr>
            </w:pPr>
          </w:p>
        </w:tc>
      </w:tr>
      <w:tr w:rsidR="00A2171C" w:rsidRPr="00A2171C" w14:paraId="10966925" w14:textId="5A96D590" w:rsidTr="00833B0B">
        <w:trPr>
          <w:trHeight w:val="227"/>
        </w:trPr>
        <w:tc>
          <w:tcPr>
            <w:tcW w:w="1866" w:type="dxa"/>
            <w:tcBorders>
              <w:top w:val="nil"/>
              <w:bottom w:val="nil"/>
            </w:tcBorders>
            <w:vAlign w:val="center"/>
          </w:tcPr>
          <w:p w14:paraId="13B2EA9E" w14:textId="13332368" w:rsidR="0019372F" w:rsidRPr="00A2171C" w:rsidRDefault="0019372F" w:rsidP="0019372F">
            <w:pPr>
              <w:pStyle w:val="Standard"/>
              <w:rPr>
                <w:b/>
                <w:bCs/>
                <w:sz w:val="18"/>
                <w:szCs w:val="18"/>
              </w:rPr>
            </w:pPr>
            <w:r w:rsidRPr="00A2171C">
              <w:rPr>
                <w:i/>
                <w:iCs/>
                <w:sz w:val="18"/>
                <w:szCs w:val="18"/>
              </w:rPr>
              <w:t>PF</w:t>
            </w:r>
            <w:r w:rsidRPr="00A2171C">
              <w:rPr>
                <w:i/>
                <w:iCs/>
                <w:sz w:val="18"/>
                <w:szCs w:val="18"/>
                <w:vertAlign w:val="subscript"/>
              </w:rPr>
              <w:t>P</w:t>
            </w:r>
            <w:r w:rsidRPr="00A2171C">
              <w:rPr>
                <w:sz w:val="18"/>
                <w:szCs w:val="18"/>
              </w:rPr>
              <w:t>: Propagation Risk</w:t>
            </w:r>
          </w:p>
        </w:tc>
        <w:tc>
          <w:tcPr>
            <w:tcW w:w="845" w:type="dxa"/>
            <w:tcBorders>
              <w:top w:val="nil"/>
              <w:bottom w:val="nil"/>
            </w:tcBorders>
            <w:vAlign w:val="center"/>
          </w:tcPr>
          <w:p w14:paraId="20651CB2" w14:textId="405D3CF8" w:rsidR="0019372F" w:rsidRPr="00A2171C" w:rsidRDefault="0019372F" w:rsidP="0019372F">
            <w:pPr>
              <w:pStyle w:val="Standard"/>
              <w:jc w:val="center"/>
              <w:rPr>
                <w:b/>
                <w:bCs/>
                <w:sz w:val="18"/>
                <w:szCs w:val="18"/>
              </w:rPr>
            </w:pPr>
            <w:r w:rsidRPr="00A2171C">
              <w:rPr>
                <w:sz w:val="18"/>
                <w:szCs w:val="18"/>
              </w:rPr>
              <w:t>1.71</w:t>
            </w:r>
          </w:p>
        </w:tc>
        <w:tc>
          <w:tcPr>
            <w:tcW w:w="532" w:type="dxa"/>
            <w:tcBorders>
              <w:top w:val="nil"/>
              <w:bottom w:val="nil"/>
            </w:tcBorders>
            <w:vAlign w:val="center"/>
          </w:tcPr>
          <w:p w14:paraId="620A974D" w14:textId="53F8CAB0" w:rsidR="0019372F" w:rsidRPr="00A2171C" w:rsidRDefault="0019372F" w:rsidP="0019372F">
            <w:pPr>
              <w:pStyle w:val="Standard"/>
              <w:jc w:val="center"/>
              <w:rPr>
                <w:b/>
                <w:bCs/>
                <w:sz w:val="18"/>
                <w:szCs w:val="18"/>
              </w:rPr>
            </w:pPr>
            <w:r w:rsidRPr="00A2171C">
              <w:rPr>
                <w:sz w:val="18"/>
                <w:szCs w:val="18"/>
              </w:rPr>
              <w:t>0.13</w:t>
            </w:r>
          </w:p>
        </w:tc>
        <w:tc>
          <w:tcPr>
            <w:tcW w:w="538" w:type="dxa"/>
            <w:tcBorders>
              <w:top w:val="nil"/>
              <w:bottom w:val="nil"/>
            </w:tcBorders>
            <w:vAlign w:val="center"/>
          </w:tcPr>
          <w:p w14:paraId="4B5B5F7B" w14:textId="0A849E8D" w:rsidR="0019372F" w:rsidRPr="00A2171C" w:rsidRDefault="0019372F" w:rsidP="0019372F">
            <w:pPr>
              <w:pStyle w:val="Standard"/>
              <w:jc w:val="center"/>
              <w:rPr>
                <w:b/>
                <w:bCs/>
                <w:sz w:val="18"/>
                <w:szCs w:val="18"/>
              </w:rPr>
            </w:pPr>
            <w:r w:rsidRPr="00A2171C">
              <w:rPr>
                <w:sz w:val="18"/>
                <w:szCs w:val="18"/>
              </w:rPr>
              <w:t>1.25</w:t>
            </w:r>
          </w:p>
        </w:tc>
        <w:tc>
          <w:tcPr>
            <w:tcW w:w="807" w:type="dxa"/>
            <w:tcBorders>
              <w:top w:val="nil"/>
              <w:bottom w:val="nil"/>
            </w:tcBorders>
            <w:vAlign w:val="center"/>
          </w:tcPr>
          <w:p w14:paraId="0B6ACADA" w14:textId="1CC34E2F" w:rsidR="0019372F" w:rsidRPr="00A2171C" w:rsidRDefault="0019372F" w:rsidP="0019372F">
            <w:pPr>
              <w:pStyle w:val="Standard"/>
              <w:jc w:val="center"/>
              <w:rPr>
                <w:b/>
                <w:bCs/>
                <w:sz w:val="18"/>
                <w:szCs w:val="18"/>
              </w:rPr>
            </w:pPr>
            <w:r w:rsidRPr="00A2171C">
              <w:rPr>
                <w:sz w:val="18"/>
                <w:szCs w:val="18"/>
              </w:rPr>
              <w:t>1.72</w:t>
            </w:r>
          </w:p>
        </w:tc>
        <w:tc>
          <w:tcPr>
            <w:tcW w:w="566" w:type="dxa"/>
            <w:tcBorders>
              <w:top w:val="nil"/>
              <w:bottom w:val="nil"/>
            </w:tcBorders>
            <w:vAlign w:val="center"/>
          </w:tcPr>
          <w:p w14:paraId="1AF4C685" w14:textId="0B9B1514" w:rsidR="0019372F" w:rsidRPr="00A2171C" w:rsidRDefault="0019372F" w:rsidP="0019372F">
            <w:pPr>
              <w:pStyle w:val="Standard"/>
              <w:jc w:val="center"/>
              <w:rPr>
                <w:b/>
                <w:bCs/>
                <w:sz w:val="18"/>
                <w:szCs w:val="18"/>
              </w:rPr>
            </w:pPr>
            <w:r w:rsidRPr="00A2171C">
              <w:rPr>
                <w:sz w:val="18"/>
                <w:szCs w:val="18"/>
              </w:rPr>
              <w:t>2.12</w:t>
            </w:r>
          </w:p>
        </w:tc>
        <w:tc>
          <w:tcPr>
            <w:tcW w:w="324" w:type="dxa"/>
            <w:tcBorders>
              <w:top w:val="nil"/>
              <w:bottom w:val="nil"/>
            </w:tcBorders>
          </w:tcPr>
          <w:p w14:paraId="0EC48503" w14:textId="77777777" w:rsidR="0019372F" w:rsidRPr="00A2171C" w:rsidRDefault="0019372F" w:rsidP="0019372F">
            <w:pPr>
              <w:pStyle w:val="Standard"/>
              <w:jc w:val="center"/>
              <w:rPr>
                <w:sz w:val="18"/>
                <w:szCs w:val="18"/>
              </w:rPr>
            </w:pPr>
          </w:p>
        </w:tc>
        <w:tc>
          <w:tcPr>
            <w:tcW w:w="516" w:type="dxa"/>
            <w:tcBorders>
              <w:top w:val="nil"/>
              <w:bottom w:val="nil"/>
            </w:tcBorders>
            <w:vAlign w:val="center"/>
          </w:tcPr>
          <w:p w14:paraId="4004DB6E" w14:textId="570B69C4" w:rsidR="0019372F" w:rsidRPr="00A2171C" w:rsidRDefault="0019372F" w:rsidP="0019372F">
            <w:pPr>
              <w:pStyle w:val="Standard"/>
              <w:jc w:val="center"/>
              <w:rPr>
                <w:sz w:val="18"/>
                <w:szCs w:val="18"/>
              </w:rPr>
            </w:pPr>
            <w:r w:rsidRPr="00A2171C">
              <w:rPr>
                <w:i/>
                <w:sz w:val="18"/>
                <w:szCs w:val="18"/>
              </w:rPr>
              <w:t>PF</w:t>
            </w:r>
            <w:r w:rsidRPr="00A2171C">
              <w:rPr>
                <w:i/>
                <w:sz w:val="18"/>
                <w:szCs w:val="18"/>
                <w:vertAlign w:val="subscript"/>
              </w:rPr>
              <w:t>I</w:t>
            </w:r>
          </w:p>
        </w:tc>
        <w:tc>
          <w:tcPr>
            <w:tcW w:w="531" w:type="dxa"/>
            <w:tcBorders>
              <w:top w:val="nil"/>
              <w:bottom w:val="nil"/>
            </w:tcBorders>
            <w:vAlign w:val="center"/>
          </w:tcPr>
          <w:p w14:paraId="1562D238" w14:textId="6BE57412" w:rsidR="0019372F" w:rsidRPr="00A2171C" w:rsidRDefault="0019372F" w:rsidP="0019372F">
            <w:pPr>
              <w:pStyle w:val="Standard"/>
              <w:jc w:val="center"/>
              <w:rPr>
                <w:sz w:val="18"/>
                <w:szCs w:val="18"/>
              </w:rPr>
            </w:pPr>
            <w:r w:rsidRPr="00A2171C">
              <w:rPr>
                <w:sz w:val="18"/>
                <w:szCs w:val="18"/>
              </w:rPr>
              <w:t>0.44</w:t>
            </w:r>
          </w:p>
        </w:tc>
        <w:tc>
          <w:tcPr>
            <w:tcW w:w="531" w:type="dxa"/>
            <w:tcBorders>
              <w:top w:val="nil"/>
              <w:bottom w:val="nil"/>
            </w:tcBorders>
            <w:vAlign w:val="center"/>
          </w:tcPr>
          <w:p w14:paraId="0B277E39" w14:textId="5CA2B7A5" w:rsidR="0019372F" w:rsidRPr="00A2171C" w:rsidRDefault="0019372F" w:rsidP="0019372F">
            <w:pPr>
              <w:pStyle w:val="Standard"/>
              <w:jc w:val="center"/>
              <w:rPr>
                <w:sz w:val="18"/>
                <w:szCs w:val="18"/>
              </w:rPr>
            </w:pPr>
            <w:r w:rsidRPr="00A2171C">
              <w:rPr>
                <w:sz w:val="18"/>
                <w:szCs w:val="18"/>
              </w:rPr>
              <w:t>1.00</w:t>
            </w:r>
          </w:p>
        </w:tc>
        <w:tc>
          <w:tcPr>
            <w:tcW w:w="531" w:type="dxa"/>
            <w:tcBorders>
              <w:top w:val="nil"/>
              <w:bottom w:val="nil"/>
            </w:tcBorders>
            <w:vAlign w:val="center"/>
          </w:tcPr>
          <w:p w14:paraId="0521F5F3" w14:textId="70161E4A" w:rsidR="0019372F" w:rsidRPr="00A2171C" w:rsidRDefault="0019372F" w:rsidP="0019372F">
            <w:pPr>
              <w:pStyle w:val="Standard"/>
              <w:jc w:val="center"/>
              <w:rPr>
                <w:sz w:val="18"/>
                <w:szCs w:val="18"/>
              </w:rPr>
            </w:pPr>
          </w:p>
        </w:tc>
        <w:tc>
          <w:tcPr>
            <w:tcW w:w="531" w:type="dxa"/>
            <w:tcBorders>
              <w:top w:val="nil"/>
              <w:bottom w:val="nil"/>
            </w:tcBorders>
            <w:vAlign w:val="center"/>
          </w:tcPr>
          <w:p w14:paraId="02E52952" w14:textId="77777777" w:rsidR="0019372F" w:rsidRPr="00A2171C" w:rsidRDefault="0019372F" w:rsidP="0019372F">
            <w:pPr>
              <w:pStyle w:val="Standard"/>
              <w:jc w:val="center"/>
              <w:rPr>
                <w:sz w:val="18"/>
                <w:szCs w:val="18"/>
              </w:rPr>
            </w:pPr>
          </w:p>
        </w:tc>
        <w:tc>
          <w:tcPr>
            <w:tcW w:w="531" w:type="dxa"/>
            <w:tcBorders>
              <w:top w:val="nil"/>
              <w:bottom w:val="nil"/>
            </w:tcBorders>
            <w:vAlign w:val="center"/>
          </w:tcPr>
          <w:p w14:paraId="2C6EF18D" w14:textId="77777777" w:rsidR="0019372F" w:rsidRPr="00A2171C" w:rsidRDefault="0019372F" w:rsidP="0019372F">
            <w:pPr>
              <w:pStyle w:val="Standard"/>
              <w:jc w:val="center"/>
              <w:rPr>
                <w:sz w:val="18"/>
                <w:szCs w:val="18"/>
              </w:rPr>
            </w:pPr>
          </w:p>
        </w:tc>
      </w:tr>
      <w:tr w:rsidR="00A2171C" w:rsidRPr="00A2171C" w14:paraId="29CB8348" w14:textId="7A823D81" w:rsidTr="00833B0B">
        <w:trPr>
          <w:trHeight w:val="227"/>
        </w:trPr>
        <w:tc>
          <w:tcPr>
            <w:tcW w:w="1866" w:type="dxa"/>
            <w:tcBorders>
              <w:top w:val="nil"/>
              <w:bottom w:val="nil"/>
            </w:tcBorders>
            <w:vAlign w:val="center"/>
          </w:tcPr>
          <w:p w14:paraId="754C614B" w14:textId="2BE1FDA3" w:rsidR="0019372F" w:rsidRPr="00A2171C" w:rsidRDefault="0019372F" w:rsidP="0019372F">
            <w:pPr>
              <w:pStyle w:val="Standard"/>
              <w:rPr>
                <w:b/>
                <w:bCs/>
                <w:sz w:val="18"/>
                <w:szCs w:val="18"/>
              </w:rPr>
            </w:pPr>
            <w:r w:rsidRPr="00A2171C">
              <w:rPr>
                <w:i/>
                <w:iCs/>
                <w:sz w:val="18"/>
                <w:szCs w:val="18"/>
              </w:rPr>
              <w:t>PF</w:t>
            </w:r>
            <w:r w:rsidRPr="00A2171C">
              <w:rPr>
                <w:i/>
                <w:iCs/>
                <w:sz w:val="18"/>
                <w:szCs w:val="18"/>
                <w:vertAlign w:val="subscript"/>
              </w:rPr>
              <w:t>E</w:t>
            </w:r>
            <w:r w:rsidRPr="00A2171C">
              <w:rPr>
                <w:sz w:val="18"/>
                <w:szCs w:val="18"/>
              </w:rPr>
              <w:t>: Evacuation</w:t>
            </w:r>
          </w:p>
        </w:tc>
        <w:tc>
          <w:tcPr>
            <w:tcW w:w="845" w:type="dxa"/>
            <w:tcBorders>
              <w:top w:val="nil"/>
              <w:bottom w:val="nil"/>
            </w:tcBorders>
            <w:vAlign w:val="center"/>
          </w:tcPr>
          <w:p w14:paraId="68071364" w14:textId="578455FD" w:rsidR="0019372F" w:rsidRPr="00A2171C" w:rsidRDefault="0019372F" w:rsidP="0019372F">
            <w:pPr>
              <w:pStyle w:val="Standard"/>
              <w:jc w:val="center"/>
              <w:rPr>
                <w:b/>
                <w:bCs/>
                <w:sz w:val="18"/>
                <w:szCs w:val="18"/>
              </w:rPr>
            </w:pPr>
            <w:r w:rsidRPr="00A2171C">
              <w:rPr>
                <w:sz w:val="18"/>
                <w:szCs w:val="18"/>
              </w:rPr>
              <w:t>1.33</w:t>
            </w:r>
          </w:p>
        </w:tc>
        <w:tc>
          <w:tcPr>
            <w:tcW w:w="532" w:type="dxa"/>
            <w:tcBorders>
              <w:top w:val="nil"/>
              <w:bottom w:val="nil"/>
            </w:tcBorders>
            <w:vAlign w:val="center"/>
          </w:tcPr>
          <w:p w14:paraId="727FCEC6" w14:textId="0AE3ADD2" w:rsidR="0019372F" w:rsidRPr="00A2171C" w:rsidRDefault="0019372F" w:rsidP="0019372F">
            <w:pPr>
              <w:pStyle w:val="Standard"/>
              <w:jc w:val="center"/>
              <w:rPr>
                <w:b/>
                <w:bCs/>
                <w:sz w:val="18"/>
                <w:szCs w:val="18"/>
              </w:rPr>
            </w:pPr>
            <w:r w:rsidRPr="00A2171C">
              <w:rPr>
                <w:sz w:val="18"/>
                <w:szCs w:val="18"/>
              </w:rPr>
              <w:t>0.13</w:t>
            </w:r>
          </w:p>
        </w:tc>
        <w:tc>
          <w:tcPr>
            <w:tcW w:w="538" w:type="dxa"/>
            <w:tcBorders>
              <w:top w:val="nil"/>
              <w:bottom w:val="nil"/>
            </w:tcBorders>
            <w:vAlign w:val="center"/>
          </w:tcPr>
          <w:p w14:paraId="2C2C6DE7" w14:textId="5B8FFBC6" w:rsidR="0019372F" w:rsidRPr="00A2171C" w:rsidRDefault="0019372F" w:rsidP="0019372F">
            <w:pPr>
              <w:pStyle w:val="Standard"/>
              <w:jc w:val="center"/>
              <w:rPr>
                <w:b/>
                <w:bCs/>
                <w:sz w:val="18"/>
                <w:szCs w:val="18"/>
              </w:rPr>
            </w:pPr>
            <w:r w:rsidRPr="00A2171C">
              <w:rPr>
                <w:sz w:val="18"/>
                <w:szCs w:val="18"/>
              </w:rPr>
              <w:t>1.24</w:t>
            </w:r>
          </w:p>
        </w:tc>
        <w:tc>
          <w:tcPr>
            <w:tcW w:w="807" w:type="dxa"/>
            <w:tcBorders>
              <w:top w:val="nil"/>
              <w:bottom w:val="nil"/>
            </w:tcBorders>
            <w:vAlign w:val="center"/>
          </w:tcPr>
          <w:p w14:paraId="3F810704" w14:textId="3DBAB465" w:rsidR="0019372F" w:rsidRPr="00A2171C" w:rsidRDefault="0019372F" w:rsidP="0019372F">
            <w:pPr>
              <w:pStyle w:val="Standard"/>
              <w:jc w:val="center"/>
              <w:rPr>
                <w:b/>
                <w:bCs/>
                <w:sz w:val="18"/>
                <w:szCs w:val="18"/>
              </w:rPr>
            </w:pPr>
            <w:r w:rsidRPr="00A2171C">
              <w:rPr>
                <w:sz w:val="18"/>
                <w:szCs w:val="18"/>
              </w:rPr>
              <w:t>1.24</w:t>
            </w:r>
          </w:p>
        </w:tc>
        <w:tc>
          <w:tcPr>
            <w:tcW w:w="566" w:type="dxa"/>
            <w:tcBorders>
              <w:top w:val="nil"/>
              <w:bottom w:val="nil"/>
            </w:tcBorders>
            <w:vAlign w:val="center"/>
          </w:tcPr>
          <w:p w14:paraId="53F704F6" w14:textId="3EA75BE3" w:rsidR="0019372F" w:rsidRPr="00A2171C" w:rsidRDefault="0019372F" w:rsidP="0019372F">
            <w:pPr>
              <w:pStyle w:val="Standard"/>
              <w:jc w:val="center"/>
              <w:rPr>
                <w:b/>
                <w:bCs/>
                <w:sz w:val="18"/>
                <w:szCs w:val="18"/>
              </w:rPr>
            </w:pPr>
            <w:r w:rsidRPr="00A2171C">
              <w:rPr>
                <w:sz w:val="18"/>
                <w:szCs w:val="18"/>
              </w:rPr>
              <w:t>1.93</w:t>
            </w:r>
          </w:p>
        </w:tc>
        <w:tc>
          <w:tcPr>
            <w:tcW w:w="324" w:type="dxa"/>
            <w:tcBorders>
              <w:top w:val="nil"/>
              <w:bottom w:val="nil"/>
            </w:tcBorders>
          </w:tcPr>
          <w:p w14:paraId="4F777FE7" w14:textId="77777777" w:rsidR="0019372F" w:rsidRPr="00A2171C" w:rsidRDefault="0019372F" w:rsidP="0019372F">
            <w:pPr>
              <w:pStyle w:val="Standard"/>
              <w:jc w:val="center"/>
              <w:rPr>
                <w:sz w:val="18"/>
                <w:szCs w:val="18"/>
              </w:rPr>
            </w:pPr>
          </w:p>
        </w:tc>
        <w:tc>
          <w:tcPr>
            <w:tcW w:w="516" w:type="dxa"/>
            <w:tcBorders>
              <w:top w:val="nil"/>
              <w:bottom w:val="nil"/>
            </w:tcBorders>
            <w:vAlign w:val="center"/>
          </w:tcPr>
          <w:p w14:paraId="1AC8E0F7" w14:textId="696C1E5D" w:rsidR="0019372F" w:rsidRPr="00A2171C" w:rsidRDefault="0019372F" w:rsidP="0019372F">
            <w:pPr>
              <w:pStyle w:val="Standard"/>
              <w:jc w:val="center"/>
              <w:rPr>
                <w:sz w:val="18"/>
                <w:szCs w:val="18"/>
              </w:rPr>
            </w:pPr>
            <w:r w:rsidRPr="00A2171C">
              <w:rPr>
                <w:i/>
                <w:sz w:val="18"/>
                <w:szCs w:val="18"/>
              </w:rPr>
              <w:t>PF</w:t>
            </w:r>
            <w:r w:rsidRPr="00A2171C">
              <w:rPr>
                <w:i/>
                <w:sz w:val="18"/>
                <w:szCs w:val="18"/>
                <w:vertAlign w:val="subscript"/>
              </w:rPr>
              <w:t>P</w:t>
            </w:r>
          </w:p>
        </w:tc>
        <w:tc>
          <w:tcPr>
            <w:tcW w:w="531" w:type="dxa"/>
            <w:tcBorders>
              <w:top w:val="nil"/>
              <w:bottom w:val="nil"/>
            </w:tcBorders>
            <w:vAlign w:val="center"/>
          </w:tcPr>
          <w:p w14:paraId="276B2897" w14:textId="73D5C56D" w:rsidR="0019372F" w:rsidRPr="00A2171C" w:rsidRDefault="0019372F" w:rsidP="0019372F">
            <w:pPr>
              <w:pStyle w:val="Standard"/>
              <w:jc w:val="center"/>
              <w:rPr>
                <w:sz w:val="18"/>
                <w:szCs w:val="18"/>
              </w:rPr>
            </w:pPr>
            <w:r w:rsidRPr="00A2171C">
              <w:rPr>
                <w:sz w:val="18"/>
                <w:szCs w:val="18"/>
              </w:rPr>
              <w:t>0.36</w:t>
            </w:r>
          </w:p>
        </w:tc>
        <w:tc>
          <w:tcPr>
            <w:tcW w:w="531" w:type="dxa"/>
            <w:tcBorders>
              <w:top w:val="nil"/>
              <w:bottom w:val="nil"/>
            </w:tcBorders>
            <w:vAlign w:val="center"/>
          </w:tcPr>
          <w:p w14:paraId="5500FFEC" w14:textId="6B03D929" w:rsidR="0019372F" w:rsidRPr="00A2171C" w:rsidRDefault="0019372F" w:rsidP="0019372F">
            <w:pPr>
              <w:pStyle w:val="Standard"/>
              <w:jc w:val="center"/>
              <w:rPr>
                <w:sz w:val="18"/>
                <w:szCs w:val="18"/>
              </w:rPr>
            </w:pPr>
            <w:r w:rsidRPr="00A2171C">
              <w:rPr>
                <w:sz w:val="18"/>
                <w:szCs w:val="18"/>
              </w:rPr>
              <w:t>0.20</w:t>
            </w:r>
          </w:p>
        </w:tc>
        <w:tc>
          <w:tcPr>
            <w:tcW w:w="531" w:type="dxa"/>
            <w:tcBorders>
              <w:top w:val="nil"/>
              <w:bottom w:val="nil"/>
            </w:tcBorders>
            <w:vAlign w:val="center"/>
          </w:tcPr>
          <w:p w14:paraId="2266DD20" w14:textId="0DAEEFC3" w:rsidR="0019372F" w:rsidRPr="00A2171C" w:rsidRDefault="0019372F" w:rsidP="0019372F">
            <w:pPr>
              <w:pStyle w:val="Standard"/>
              <w:jc w:val="center"/>
              <w:rPr>
                <w:sz w:val="18"/>
                <w:szCs w:val="18"/>
              </w:rPr>
            </w:pPr>
            <w:r w:rsidRPr="00A2171C">
              <w:rPr>
                <w:sz w:val="18"/>
                <w:szCs w:val="18"/>
              </w:rPr>
              <w:t>1.00</w:t>
            </w:r>
          </w:p>
        </w:tc>
        <w:tc>
          <w:tcPr>
            <w:tcW w:w="531" w:type="dxa"/>
            <w:tcBorders>
              <w:top w:val="nil"/>
              <w:bottom w:val="nil"/>
            </w:tcBorders>
            <w:vAlign w:val="center"/>
          </w:tcPr>
          <w:p w14:paraId="5F3DC6AD" w14:textId="6C0431C2" w:rsidR="0019372F" w:rsidRPr="00A2171C" w:rsidRDefault="0019372F" w:rsidP="0019372F">
            <w:pPr>
              <w:pStyle w:val="Standard"/>
              <w:jc w:val="center"/>
              <w:rPr>
                <w:sz w:val="18"/>
                <w:szCs w:val="18"/>
              </w:rPr>
            </w:pPr>
          </w:p>
        </w:tc>
        <w:tc>
          <w:tcPr>
            <w:tcW w:w="531" w:type="dxa"/>
            <w:tcBorders>
              <w:top w:val="nil"/>
              <w:bottom w:val="nil"/>
            </w:tcBorders>
            <w:vAlign w:val="center"/>
          </w:tcPr>
          <w:p w14:paraId="5FFBC193" w14:textId="77777777" w:rsidR="0019372F" w:rsidRPr="00A2171C" w:rsidRDefault="0019372F" w:rsidP="0019372F">
            <w:pPr>
              <w:pStyle w:val="Standard"/>
              <w:jc w:val="center"/>
              <w:rPr>
                <w:sz w:val="18"/>
                <w:szCs w:val="18"/>
              </w:rPr>
            </w:pPr>
          </w:p>
        </w:tc>
      </w:tr>
      <w:tr w:rsidR="00A2171C" w:rsidRPr="00A2171C" w14:paraId="476CBDF0" w14:textId="6804B3FB" w:rsidTr="00833B0B">
        <w:trPr>
          <w:trHeight w:val="227"/>
        </w:trPr>
        <w:tc>
          <w:tcPr>
            <w:tcW w:w="1866" w:type="dxa"/>
            <w:tcBorders>
              <w:top w:val="nil"/>
              <w:bottom w:val="single" w:sz="4" w:space="0" w:color="auto"/>
            </w:tcBorders>
            <w:vAlign w:val="center"/>
          </w:tcPr>
          <w:p w14:paraId="7F783872" w14:textId="17CC1A2D" w:rsidR="0019372F" w:rsidRPr="00A2171C" w:rsidRDefault="0019372F" w:rsidP="0019372F">
            <w:pPr>
              <w:pStyle w:val="Standard"/>
              <w:rPr>
                <w:b/>
                <w:bCs/>
                <w:sz w:val="18"/>
                <w:szCs w:val="18"/>
              </w:rPr>
            </w:pPr>
            <w:r w:rsidRPr="00A2171C">
              <w:rPr>
                <w:i/>
                <w:iCs/>
                <w:sz w:val="18"/>
                <w:szCs w:val="18"/>
              </w:rPr>
              <w:t>PF</w:t>
            </w:r>
            <w:r w:rsidRPr="00A2171C">
              <w:rPr>
                <w:i/>
                <w:iCs/>
                <w:sz w:val="18"/>
                <w:szCs w:val="18"/>
                <w:vertAlign w:val="subscript"/>
              </w:rPr>
              <w:t>C</w:t>
            </w:r>
            <w:r w:rsidRPr="00A2171C">
              <w:rPr>
                <w:sz w:val="18"/>
                <w:szCs w:val="18"/>
              </w:rPr>
              <w:t>: Fire Combat</w:t>
            </w:r>
          </w:p>
        </w:tc>
        <w:tc>
          <w:tcPr>
            <w:tcW w:w="845" w:type="dxa"/>
            <w:tcBorders>
              <w:top w:val="nil"/>
              <w:bottom w:val="single" w:sz="4" w:space="0" w:color="auto"/>
            </w:tcBorders>
            <w:vAlign w:val="center"/>
          </w:tcPr>
          <w:p w14:paraId="23EF6508" w14:textId="357CDB19" w:rsidR="0019372F" w:rsidRPr="00A2171C" w:rsidRDefault="0019372F" w:rsidP="0019372F">
            <w:pPr>
              <w:pStyle w:val="Standard"/>
              <w:jc w:val="center"/>
              <w:rPr>
                <w:b/>
                <w:bCs/>
                <w:sz w:val="18"/>
                <w:szCs w:val="18"/>
              </w:rPr>
            </w:pPr>
            <w:r w:rsidRPr="00A2171C">
              <w:rPr>
                <w:sz w:val="18"/>
                <w:szCs w:val="18"/>
              </w:rPr>
              <w:t>1.48</w:t>
            </w:r>
          </w:p>
        </w:tc>
        <w:tc>
          <w:tcPr>
            <w:tcW w:w="532" w:type="dxa"/>
            <w:tcBorders>
              <w:top w:val="nil"/>
              <w:bottom w:val="single" w:sz="4" w:space="0" w:color="auto"/>
            </w:tcBorders>
            <w:vAlign w:val="center"/>
          </w:tcPr>
          <w:p w14:paraId="3203AD1D" w14:textId="11EE1A70" w:rsidR="0019372F" w:rsidRPr="00A2171C" w:rsidRDefault="0019372F" w:rsidP="0019372F">
            <w:pPr>
              <w:pStyle w:val="Standard"/>
              <w:jc w:val="center"/>
              <w:rPr>
                <w:b/>
                <w:bCs/>
                <w:sz w:val="18"/>
                <w:szCs w:val="18"/>
              </w:rPr>
            </w:pPr>
            <w:r w:rsidRPr="00A2171C">
              <w:rPr>
                <w:sz w:val="18"/>
                <w:szCs w:val="18"/>
              </w:rPr>
              <w:t>0.17</w:t>
            </w:r>
          </w:p>
        </w:tc>
        <w:tc>
          <w:tcPr>
            <w:tcW w:w="538" w:type="dxa"/>
            <w:tcBorders>
              <w:top w:val="nil"/>
              <w:bottom w:val="single" w:sz="4" w:space="0" w:color="auto"/>
            </w:tcBorders>
            <w:vAlign w:val="center"/>
          </w:tcPr>
          <w:p w14:paraId="5214F6C5" w14:textId="7678F1AF" w:rsidR="0019372F" w:rsidRPr="00A2171C" w:rsidRDefault="0019372F" w:rsidP="0019372F">
            <w:pPr>
              <w:pStyle w:val="Standard"/>
              <w:jc w:val="center"/>
              <w:rPr>
                <w:b/>
                <w:bCs/>
                <w:sz w:val="18"/>
                <w:szCs w:val="18"/>
              </w:rPr>
            </w:pPr>
            <w:r w:rsidRPr="00A2171C">
              <w:rPr>
                <w:sz w:val="18"/>
                <w:szCs w:val="18"/>
              </w:rPr>
              <w:t>1.38</w:t>
            </w:r>
          </w:p>
        </w:tc>
        <w:tc>
          <w:tcPr>
            <w:tcW w:w="807" w:type="dxa"/>
            <w:tcBorders>
              <w:top w:val="nil"/>
              <w:bottom w:val="single" w:sz="4" w:space="0" w:color="auto"/>
            </w:tcBorders>
            <w:vAlign w:val="center"/>
          </w:tcPr>
          <w:p w14:paraId="094BB71D" w14:textId="18DCACDB" w:rsidR="0019372F" w:rsidRPr="00A2171C" w:rsidRDefault="0019372F" w:rsidP="0019372F">
            <w:pPr>
              <w:pStyle w:val="Standard"/>
              <w:jc w:val="center"/>
              <w:rPr>
                <w:b/>
                <w:bCs/>
                <w:sz w:val="18"/>
                <w:szCs w:val="18"/>
              </w:rPr>
            </w:pPr>
            <w:r w:rsidRPr="00A2171C">
              <w:rPr>
                <w:sz w:val="18"/>
                <w:szCs w:val="18"/>
              </w:rPr>
              <w:t>1.38</w:t>
            </w:r>
          </w:p>
        </w:tc>
        <w:tc>
          <w:tcPr>
            <w:tcW w:w="566" w:type="dxa"/>
            <w:tcBorders>
              <w:top w:val="nil"/>
              <w:bottom w:val="single" w:sz="4" w:space="0" w:color="auto"/>
            </w:tcBorders>
            <w:vAlign w:val="center"/>
          </w:tcPr>
          <w:p w14:paraId="38BC9B51" w14:textId="64DFFEC9" w:rsidR="0019372F" w:rsidRPr="00A2171C" w:rsidRDefault="0019372F" w:rsidP="0019372F">
            <w:pPr>
              <w:pStyle w:val="Standard"/>
              <w:jc w:val="center"/>
              <w:rPr>
                <w:b/>
                <w:bCs/>
                <w:sz w:val="18"/>
                <w:szCs w:val="18"/>
              </w:rPr>
            </w:pPr>
            <w:r w:rsidRPr="00A2171C">
              <w:rPr>
                <w:sz w:val="18"/>
                <w:szCs w:val="18"/>
              </w:rPr>
              <w:t>2.00</w:t>
            </w:r>
          </w:p>
        </w:tc>
        <w:tc>
          <w:tcPr>
            <w:tcW w:w="324" w:type="dxa"/>
            <w:tcBorders>
              <w:top w:val="nil"/>
              <w:bottom w:val="nil"/>
            </w:tcBorders>
          </w:tcPr>
          <w:p w14:paraId="66F26746" w14:textId="77777777" w:rsidR="0019372F" w:rsidRPr="00A2171C" w:rsidRDefault="0019372F" w:rsidP="0019372F">
            <w:pPr>
              <w:pStyle w:val="Standard"/>
              <w:jc w:val="center"/>
              <w:rPr>
                <w:sz w:val="18"/>
                <w:szCs w:val="18"/>
              </w:rPr>
            </w:pPr>
          </w:p>
        </w:tc>
        <w:tc>
          <w:tcPr>
            <w:tcW w:w="516" w:type="dxa"/>
            <w:tcBorders>
              <w:top w:val="nil"/>
              <w:bottom w:val="nil"/>
            </w:tcBorders>
            <w:vAlign w:val="center"/>
          </w:tcPr>
          <w:p w14:paraId="5D7A8041" w14:textId="0B30B4AE" w:rsidR="0019372F" w:rsidRPr="00A2171C" w:rsidRDefault="0019372F" w:rsidP="0019372F">
            <w:pPr>
              <w:pStyle w:val="Standard"/>
              <w:jc w:val="center"/>
              <w:rPr>
                <w:sz w:val="18"/>
                <w:szCs w:val="18"/>
              </w:rPr>
            </w:pPr>
            <w:r w:rsidRPr="00A2171C">
              <w:rPr>
                <w:i/>
                <w:sz w:val="18"/>
                <w:szCs w:val="18"/>
              </w:rPr>
              <w:t>PF</w:t>
            </w:r>
            <w:r w:rsidRPr="00A2171C">
              <w:rPr>
                <w:i/>
                <w:sz w:val="18"/>
                <w:szCs w:val="18"/>
                <w:vertAlign w:val="subscript"/>
              </w:rPr>
              <w:t>E</w:t>
            </w:r>
          </w:p>
        </w:tc>
        <w:tc>
          <w:tcPr>
            <w:tcW w:w="531" w:type="dxa"/>
            <w:tcBorders>
              <w:top w:val="nil"/>
              <w:bottom w:val="nil"/>
            </w:tcBorders>
            <w:vAlign w:val="center"/>
          </w:tcPr>
          <w:p w14:paraId="3F9725EA" w14:textId="66902A76" w:rsidR="0019372F" w:rsidRPr="00A2171C" w:rsidRDefault="0019372F" w:rsidP="0019372F">
            <w:pPr>
              <w:pStyle w:val="Standard"/>
              <w:jc w:val="center"/>
              <w:rPr>
                <w:sz w:val="18"/>
                <w:szCs w:val="18"/>
              </w:rPr>
            </w:pPr>
            <w:r w:rsidRPr="00A2171C">
              <w:rPr>
                <w:sz w:val="18"/>
                <w:szCs w:val="18"/>
              </w:rPr>
              <w:t>0.46</w:t>
            </w:r>
          </w:p>
        </w:tc>
        <w:tc>
          <w:tcPr>
            <w:tcW w:w="531" w:type="dxa"/>
            <w:tcBorders>
              <w:top w:val="nil"/>
              <w:bottom w:val="nil"/>
            </w:tcBorders>
            <w:vAlign w:val="center"/>
          </w:tcPr>
          <w:p w14:paraId="249655DB" w14:textId="43B9D3FF" w:rsidR="0019372F" w:rsidRPr="00A2171C" w:rsidRDefault="0019372F" w:rsidP="0019372F">
            <w:pPr>
              <w:pStyle w:val="Standard"/>
              <w:jc w:val="center"/>
              <w:rPr>
                <w:sz w:val="18"/>
                <w:szCs w:val="18"/>
              </w:rPr>
            </w:pPr>
            <w:r w:rsidRPr="00A2171C">
              <w:rPr>
                <w:sz w:val="18"/>
                <w:szCs w:val="18"/>
              </w:rPr>
              <w:t>0.18</w:t>
            </w:r>
          </w:p>
        </w:tc>
        <w:tc>
          <w:tcPr>
            <w:tcW w:w="531" w:type="dxa"/>
            <w:tcBorders>
              <w:top w:val="nil"/>
              <w:bottom w:val="nil"/>
            </w:tcBorders>
            <w:vAlign w:val="center"/>
          </w:tcPr>
          <w:p w14:paraId="36686FDA" w14:textId="4B06C364" w:rsidR="0019372F" w:rsidRPr="00A2171C" w:rsidRDefault="0019372F" w:rsidP="0019372F">
            <w:pPr>
              <w:pStyle w:val="Standard"/>
              <w:jc w:val="center"/>
              <w:rPr>
                <w:sz w:val="18"/>
                <w:szCs w:val="18"/>
              </w:rPr>
            </w:pPr>
            <w:r w:rsidRPr="00A2171C">
              <w:rPr>
                <w:sz w:val="18"/>
                <w:szCs w:val="18"/>
              </w:rPr>
              <w:t>0.53</w:t>
            </w:r>
          </w:p>
        </w:tc>
        <w:tc>
          <w:tcPr>
            <w:tcW w:w="531" w:type="dxa"/>
            <w:tcBorders>
              <w:top w:val="nil"/>
              <w:bottom w:val="nil"/>
            </w:tcBorders>
            <w:vAlign w:val="center"/>
          </w:tcPr>
          <w:p w14:paraId="5F97C800" w14:textId="5D82A06E" w:rsidR="0019372F" w:rsidRPr="00A2171C" w:rsidRDefault="0019372F" w:rsidP="0019372F">
            <w:pPr>
              <w:pStyle w:val="Standard"/>
              <w:jc w:val="center"/>
              <w:rPr>
                <w:sz w:val="18"/>
                <w:szCs w:val="18"/>
              </w:rPr>
            </w:pPr>
            <w:r w:rsidRPr="00A2171C">
              <w:rPr>
                <w:sz w:val="18"/>
                <w:szCs w:val="18"/>
              </w:rPr>
              <w:t>1.00</w:t>
            </w:r>
          </w:p>
        </w:tc>
        <w:tc>
          <w:tcPr>
            <w:tcW w:w="531" w:type="dxa"/>
            <w:tcBorders>
              <w:top w:val="nil"/>
              <w:bottom w:val="nil"/>
            </w:tcBorders>
            <w:vAlign w:val="center"/>
          </w:tcPr>
          <w:p w14:paraId="5CE07E9E" w14:textId="63DB92FC" w:rsidR="0019372F" w:rsidRPr="00A2171C" w:rsidRDefault="0019372F" w:rsidP="0019372F">
            <w:pPr>
              <w:pStyle w:val="Standard"/>
              <w:jc w:val="center"/>
              <w:rPr>
                <w:sz w:val="18"/>
                <w:szCs w:val="18"/>
              </w:rPr>
            </w:pPr>
          </w:p>
        </w:tc>
      </w:tr>
      <w:tr w:rsidR="0019372F" w:rsidRPr="00A2171C" w14:paraId="100C3F24" w14:textId="20144275" w:rsidTr="00833B0B">
        <w:trPr>
          <w:trHeight w:val="227"/>
        </w:trPr>
        <w:tc>
          <w:tcPr>
            <w:tcW w:w="1866" w:type="dxa"/>
            <w:tcBorders>
              <w:top w:val="single" w:sz="4" w:space="0" w:color="auto"/>
            </w:tcBorders>
          </w:tcPr>
          <w:p w14:paraId="31BF81AC" w14:textId="537EA380" w:rsidR="0019372F" w:rsidRPr="00A2171C" w:rsidRDefault="0019372F" w:rsidP="0019372F">
            <w:pPr>
              <w:pStyle w:val="Standard"/>
              <w:rPr>
                <w:b/>
                <w:bCs/>
                <w:sz w:val="18"/>
                <w:szCs w:val="18"/>
              </w:rPr>
            </w:pPr>
            <w:r w:rsidRPr="00A2171C">
              <w:rPr>
                <w:i/>
                <w:iCs/>
                <w:sz w:val="18"/>
                <w:szCs w:val="18"/>
              </w:rPr>
              <w:t>FRI</w:t>
            </w:r>
            <w:r w:rsidRPr="00A2171C">
              <w:rPr>
                <w:sz w:val="18"/>
                <w:szCs w:val="18"/>
              </w:rPr>
              <w:t>: Fire Risk Index</w:t>
            </w:r>
          </w:p>
        </w:tc>
        <w:tc>
          <w:tcPr>
            <w:tcW w:w="845" w:type="dxa"/>
            <w:tcBorders>
              <w:top w:val="single" w:sz="4" w:space="0" w:color="auto"/>
            </w:tcBorders>
            <w:vAlign w:val="center"/>
          </w:tcPr>
          <w:p w14:paraId="184EDD9A" w14:textId="003E4BD3" w:rsidR="0019372F" w:rsidRPr="00A2171C" w:rsidRDefault="0019372F" w:rsidP="0019372F">
            <w:pPr>
              <w:pStyle w:val="Standard"/>
              <w:jc w:val="center"/>
              <w:rPr>
                <w:b/>
                <w:bCs/>
                <w:sz w:val="18"/>
                <w:szCs w:val="18"/>
              </w:rPr>
            </w:pPr>
            <w:r w:rsidRPr="00A2171C">
              <w:rPr>
                <w:sz w:val="18"/>
                <w:szCs w:val="18"/>
              </w:rPr>
              <w:t>1.31</w:t>
            </w:r>
          </w:p>
        </w:tc>
        <w:tc>
          <w:tcPr>
            <w:tcW w:w="532" w:type="dxa"/>
            <w:tcBorders>
              <w:top w:val="single" w:sz="4" w:space="0" w:color="auto"/>
            </w:tcBorders>
            <w:vAlign w:val="center"/>
          </w:tcPr>
          <w:p w14:paraId="24981D9C" w14:textId="70EF9938" w:rsidR="0019372F" w:rsidRPr="00A2171C" w:rsidRDefault="0019372F" w:rsidP="0019372F">
            <w:pPr>
              <w:pStyle w:val="Standard"/>
              <w:jc w:val="center"/>
              <w:rPr>
                <w:b/>
                <w:bCs/>
                <w:sz w:val="18"/>
                <w:szCs w:val="18"/>
              </w:rPr>
            </w:pPr>
            <w:r w:rsidRPr="00A2171C">
              <w:rPr>
                <w:sz w:val="18"/>
                <w:szCs w:val="18"/>
              </w:rPr>
              <w:t>0.08</w:t>
            </w:r>
          </w:p>
        </w:tc>
        <w:tc>
          <w:tcPr>
            <w:tcW w:w="538" w:type="dxa"/>
            <w:tcBorders>
              <w:top w:val="single" w:sz="4" w:space="0" w:color="auto"/>
            </w:tcBorders>
            <w:vAlign w:val="center"/>
          </w:tcPr>
          <w:p w14:paraId="7AB4BA24" w14:textId="32D5E2B2" w:rsidR="0019372F" w:rsidRPr="00A2171C" w:rsidRDefault="0019372F" w:rsidP="0019372F">
            <w:pPr>
              <w:pStyle w:val="Standard"/>
              <w:jc w:val="center"/>
              <w:rPr>
                <w:b/>
                <w:bCs/>
                <w:sz w:val="18"/>
                <w:szCs w:val="18"/>
              </w:rPr>
            </w:pPr>
            <w:r w:rsidRPr="00A2171C">
              <w:rPr>
                <w:sz w:val="18"/>
                <w:szCs w:val="18"/>
              </w:rPr>
              <w:t>1.06</w:t>
            </w:r>
          </w:p>
        </w:tc>
        <w:tc>
          <w:tcPr>
            <w:tcW w:w="807" w:type="dxa"/>
            <w:tcBorders>
              <w:top w:val="single" w:sz="4" w:space="0" w:color="auto"/>
            </w:tcBorders>
            <w:vAlign w:val="center"/>
          </w:tcPr>
          <w:p w14:paraId="0255FA6E" w14:textId="5266975C" w:rsidR="0019372F" w:rsidRPr="00A2171C" w:rsidRDefault="0019372F" w:rsidP="0019372F">
            <w:pPr>
              <w:pStyle w:val="Standard"/>
              <w:jc w:val="center"/>
              <w:rPr>
                <w:b/>
                <w:bCs/>
                <w:sz w:val="18"/>
                <w:szCs w:val="18"/>
              </w:rPr>
            </w:pPr>
            <w:r w:rsidRPr="00A2171C">
              <w:rPr>
                <w:sz w:val="18"/>
                <w:szCs w:val="18"/>
              </w:rPr>
              <w:t>1.30</w:t>
            </w:r>
          </w:p>
        </w:tc>
        <w:tc>
          <w:tcPr>
            <w:tcW w:w="566" w:type="dxa"/>
            <w:tcBorders>
              <w:top w:val="single" w:sz="4" w:space="0" w:color="auto"/>
            </w:tcBorders>
            <w:vAlign w:val="center"/>
          </w:tcPr>
          <w:p w14:paraId="37751179" w14:textId="44C99650" w:rsidR="0019372F" w:rsidRPr="00A2171C" w:rsidRDefault="0019372F" w:rsidP="0019372F">
            <w:pPr>
              <w:pStyle w:val="Standard"/>
              <w:jc w:val="center"/>
              <w:rPr>
                <w:b/>
                <w:bCs/>
                <w:sz w:val="18"/>
                <w:szCs w:val="18"/>
              </w:rPr>
            </w:pPr>
            <w:r w:rsidRPr="00A2171C">
              <w:rPr>
                <w:sz w:val="18"/>
                <w:szCs w:val="18"/>
              </w:rPr>
              <w:t>1.60</w:t>
            </w:r>
          </w:p>
        </w:tc>
        <w:tc>
          <w:tcPr>
            <w:tcW w:w="324" w:type="dxa"/>
            <w:tcBorders>
              <w:top w:val="nil"/>
              <w:bottom w:val="nil"/>
            </w:tcBorders>
          </w:tcPr>
          <w:p w14:paraId="107FD8B6" w14:textId="77777777" w:rsidR="0019372F" w:rsidRPr="00A2171C" w:rsidRDefault="0019372F" w:rsidP="0019372F">
            <w:pPr>
              <w:pStyle w:val="Standard"/>
              <w:jc w:val="center"/>
              <w:rPr>
                <w:sz w:val="18"/>
                <w:szCs w:val="18"/>
              </w:rPr>
            </w:pPr>
          </w:p>
        </w:tc>
        <w:tc>
          <w:tcPr>
            <w:tcW w:w="516" w:type="dxa"/>
            <w:tcBorders>
              <w:top w:val="nil"/>
              <w:bottom w:val="single" w:sz="4" w:space="0" w:color="auto"/>
            </w:tcBorders>
            <w:vAlign w:val="center"/>
          </w:tcPr>
          <w:p w14:paraId="0E8B7063" w14:textId="0F231AAF" w:rsidR="0019372F" w:rsidRPr="00A2171C" w:rsidRDefault="0019372F" w:rsidP="0019372F">
            <w:pPr>
              <w:pStyle w:val="Standard"/>
              <w:jc w:val="center"/>
              <w:rPr>
                <w:sz w:val="18"/>
                <w:szCs w:val="18"/>
              </w:rPr>
            </w:pPr>
            <w:r w:rsidRPr="00A2171C">
              <w:rPr>
                <w:i/>
                <w:sz w:val="18"/>
                <w:szCs w:val="18"/>
              </w:rPr>
              <w:t>PF</w:t>
            </w:r>
            <w:r w:rsidR="00D36779" w:rsidRPr="00A2171C">
              <w:rPr>
                <w:i/>
                <w:sz w:val="18"/>
                <w:szCs w:val="18"/>
                <w:vertAlign w:val="subscript"/>
              </w:rPr>
              <w:t>C</w:t>
            </w:r>
          </w:p>
        </w:tc>
        <w:tc>
          <w:tcPr>
            <w:tcW w:w="531" w:type="dxa"/>
            <w:tcBorders>
              <w:top w:val="nil"/>
              <w:bottom w:val="single" w:sz="4" w:space="0" w:color="auto"/>
            </w:tcBorders>
            <w:vAlign w:val="center"/>
          </w:tcPr>
          <w:p w14:paraId="16634415" w14:textId="0A99F13A" w:rsidR="0019372F" w:rsidRPr="00A2171C" w:rsidRDefault="0019372F" w:rsidP="0019372F">
            <w:pPr>
              <w:pStyle w:val="Standard"/>
              <w:jc w:val="center"/>
              <w:rPr>
                <w:sz w:val="18"/>
                <w:szCs w:val="18"/>
              </w:rPr>
            </w:pPr>
            <w:r w:rsidRPr="00A2171C">
              <w:rPr>
                <w:sz w:val="18"/>
                <w:szCs w:val="18"/>
              </w:rPr>
              <w:t>0.36</w:t>
            </w:r>
          </w:p>
        </w:tc>
        <w:tc>
          <w:tcPr>
            <w:tcW w:w="531" w:type="dxa"/>
            <w:tcBorders>
              <w:top w:val="nil"/>
              <w:bottom w:val="single" w:sz="4" w:space="0" w:color="auto"/>
            </w:tcBorders>
            <w:vAlign w:val="center"/>
          </w:tcPr>
          <w:p w14:paraId="7937A35B" w14:textId="4EC7F30B" w:rsidR="0019372F" w:rsidRPr="00A2171C" w:rsidRDefault="0019372F" w:rsidP="0019372F">
            <w:pPr>
              <w:pStyle w:val="Standard"/>
              <w:jc w:val="center"/>
              <w:rPr>
                <w:sz w:val="18"/>
                <w:szCs w:val="18"/>
              </w:rPr>
            </w:pPr>
            <w:r w:rsidRPr="00A2171C">
              <w:rPr>
                <w:sz w:val="18"/>
                <w:szCs w:val="18"/>
              </w:rPr>
              <w:t>0.38</w:t>
            </w:r>
          </w:p>
        </w:tc>
        <w:tc>
          <w:tcPr>
            <w:tcW w:w="531" w:type="dxa"/>
            <w:tcBorders>
              <w:top w:val="nil"/>
              <w:bottom w:val="single" w:sz="4" w:space="0" w:color="auto"/>
            </w:tcBorders>
            <w:vAlign w:val="center"/>
          </w:tcPr>
          <w:p w14:paraId="6682D012" w14:textId="67C3D6F1" w:rsidR="0019372F" w:rsidRPr="00A2171C" w:rsidRDefault="0019372F" w:rsidP="0019372F">
            <w:pPr>
              <w:pStyle w:val="Standard"/>
              <w:jc w:val="center"/>
              <w:rPr>
                <w:sz w:val="18"/>
                <w:szCs w:val="18"/>
              </w:rPr>
            </w:pPr>
            <w:r w:rsidRPr="00A2171C">
              <w:rPr>
                <w:sz w:val="18"/>
                <w:szCs w:val="18"/>
              </w:rPr>
              <w:t>0.54</w:t>
            </w:r>
          </w:p>
        </w:tc>
        <w:tc>
          <w:tcPr>
            <w:tcW w:w="531" w:type="dxa"/>
            <w:tcBorders>
              <w:top w:val="nil"/>
              <w:bottom w:val="single" w:sz="4" w:space="0" w:color="auto"/>
            </w:tcBorders>
            <w:vAlign w:val="center"/>
          </w:tcPr>
          <w:p w14:paraId="43751FAD" w14:textId="5F19D59B" w:rsidR="0019372F" w:rsidRPr="00A2171C" w:rsidRDefault="0019372F" w:rsidP="0019372F">
            <w:pPr>
              <w:pStyle w:val="Standard"/>
              <w:jc w:val="center"/>
              <w:rPr>
                <w:sz w:val="18"/>
                <w:szCs w:val="18"/>
              </w:rPr>
            </w:pPr>
            <w:r w:rsidRPr="00A2171C">
              <w:rPr>
                <w:sz w:val="18"/>
                <w:szCs w:val="18"/>
              </w:rPr>
              <w:t>0.44</w:t>
            </w:r>
          </w:p>
        </w:tc>
        <w:tc>
          <w:tcPr>
            <w:tcW w:w="531" w:type="dxa"/>
            <w:tcBorders>
              <w:top w:val="nil"/>
              <w:bottom w:val="single" w:sz="4" w:space="0" w:color="auto"/>
            </w:tcBorders>
            <w:vAlign w:val="center"/>
          </w:tcPr>
          <w:p w14:paraId="7F4D0137" w14:textId="7D249763" w:rsidR="0019372F" w:rsidRPr="00A2171C" w:rsidRDefault="0019372F" w:rsidP="0019372F">
            <w:pPr>
              <w:pStyle w:val="Standard"/>
              <w:jc w:val="center"/>
              <w:rPr>
                <w:sz w:val="18"/>
                <w:szCs w:val="18"/>
              </w:rPr>
            </w:pPr>
            <w:r w:rsidRPr="00A2171C">
              <w:rPr>
                <w:sz w:val="18"/>
                <w:szCs w:val="18"/>
              </w:rPr>
              <w:t>1.00</w:t>
            </w:r>
          </w:p>
        </w:tc>
      </w:tr>
    </w:tbl>
    <w:p w14:paraId="68E3C2F6" w14:textId="5E591EC0" w:rsidR="001574CF" w:rsidRPr="00A2171C" w:rsidRDefault="001574CF" w:rsidP="001574CF">
      <w:pPr>
        <w:pStyle w:val="Standard"/>
        <w:rPr>
          <w:b/>
          <w:bCs/>
          <w:sz w:val="18"/>
          <w:szCs w:val="18"/>
        </w:rPr>
      </w:pPr>
    </w:p>
    <w:p w14:paraId="1BFD8298" w14:textId="2F4D2560" w:rsidR="0019372F" w:rsidRPr="00A2171C" w:rsidRDefault="00ED10F3" w:rsidP="00ED10F3">
      <w:pPr>
        <w:pStyle w:val="Caption"/>
        <w:rPr>
          <w:color w:val="auto"/>
          <w:lang w:val="en-US"/>
        </w:rPr>
      </w:pPr>
      <w:r w:rsidRPr="00A2171C">
        <w:rPr>
          <w:color w:val="auto"/>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2171C" w:rsidRPr="00A2171C" w14:paraId="588629FF" w14:textId="77777777" w:rsidTr="005002A0">
        <w:tc>
          <w:tcPr>
            <w:tcW w:w="8828" w:type="dxa"/>
          </w:tcPr>
          <w:p w14:paraId="708279C3" w14:textId="7604A32A" w:rsidR="005002A0" w:rsidRPr="00A2171C" w:rsidRDefault="005002A0" w:rsidP="005002A0">
            <w:pPr>
              <w:jc w:val="center"/>
              <w:rPr>
                <w:lang w:val="en-US"/>
              </w:rPr>
            </w:pPr>
            <w:r w:rsidRPr="00A2171C">
              <w:rPr>
                <w:rFonts w:eastAsia="Times New Roman" w:cs="Times New Roman"/>
                <w:noProof/>
                <w:szCs w:val="20"/>
                <w:lang w:val="en-GB"/>
              </w:rPr>
              <w:lastRenderedPageBreak/>
              <w:drawing>
                <wp:inline distT="0" distB="0" distL="0" distR="0" wp14:anchorId="2AF4896E" wp14:editId="5CA0CE76">
                  <wp:extent cx="4791494" cy="4127911"/>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96"/>
                          <a:stretch/>
                        </pic:blipFill>
                        <pic:spPr bwMode="auto">
                          <a:xfrm>
                            <a:off x="0" y="0"/>
                            <a:ext cx="4861734" cy="41884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BA8545" w14:textId="2C82523C" w:rsidR="0019372F" w:rsidRPr="00A2171C" w:rsidRDefault="00227B34" w:rsidP="00227B34">
      <w:pPr>
        <w:pStyle w:val="Caption"/>
        <w:rPr>
          <w:rFonts w:eastAsia="Times New Roman" w:cs="Times New Roman"/>
          <w:i w:val="0"/>
          <w:iCs w:val="0"/>
          <w:color w:val="auto"/>
          <w:lang w:val="en-GB"/>
        </w:rPr>
      </w:pPr>
      <w:bookmarkStart w:id="23" w:name="_Ref121163357"/>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6</w:t>
      </w:r>
      <w:r w:rsidRPr="00A2171C">
        <w:rPr>
          <w:color w:val="auto"/>
        </w:rPr>
        <w:fldChar w:fldCharType="end"/>
      </w:r>
      <w:bookmarkEnd w:id="23"/>
      <w:r w:rsidR="00AC376A" w:rsidRPr="00A2171C">
        <w:rPr>
          <w:b/>
          <w:bCs/>
          <w:i w:val="0"/>
          <w:iCs w:val="0"/>
          <w:color w:val="auto"/>
          <w:lang w:val="en-US"/>
        </w:rPr>
        <w:t>:</w:t>
      </w:r>
      <w:r w:rsidR="0019372F" w:rsidRPr="00A2171C">
        <w:rPr>
          <w:color w:val="auto"/>
          <w:lang w:val="en-US"/>
        </w:rPr>
        <w:t xml:space="preserve"> Scatter plots and histograms depicting the distribution and cooccurrence of the Fire Risk Index (FRI) and partial factors (PF</w:t>
      </w:r>
      <w:r w:rsidR="0019372F" w:rsidRPr="00A2171C">
        <w:rPr>
          <w:color w:val="auto"/>
          <w:vertAlign w:val="subscript"/>
          <w:lang w:val="en-US"/>
        </w:rPr>
        <w:t>I</w:t>
      </w:r>
      <w:r w:rsidR="0019372F" w:rsidRPr="00A2171C">
        <w:rPr>
          <w:color w:val="auto"/>
          <w:lang w:val="en-US"/>
        </w:rPr>
        <w:t>, PF</w:t>
      </w:r>
      <w:r w:rsidR="0019372F" w:rsidRPr="00A2171C">
        <w:rPr>
          <w:color w:val="auto"/>
          <w:vertAlign w:val="subscript"/>
          <w:lang w:val="en-US"/>
        </w:rPr>
        <w:t>P</w:t>
      </w:r>
      <w:r w:rsidR="0019372F" w:rsidRPr="00A2171C">
        <w:rPr>
          <w:color w:val="auto"/>
          <w:lang w:val="en-US"/>
        </w:rPr>
        <w:t>, PF</w:t>
      </w:r>
      <w:r w:rsidR="0019372F" w:rsidRPr="00A2171C">
        <w:rPr>
          <w:color w:val="auto"/>
          <w:vertAlign w:val="subscript"/>
          <w:lang w:val="en-US"/>
        </w:rPr>
        <w:t>E</w:t>
      </w:r>
      <w:r w:rsidR="0019372F" w:rsidRPr="00A2171C">
        <w:rPr>
          <w:color w:val="auto"/>
          <w:lang w:val="en-US"/>
        </w:rPr>
        <w:t>, PF</w:t>
      </w:r>
      <w:r w:rsidR="0019372F" w:rsidRPr="00A2171C">
        <w:rPr>
          <w:color w:val="auto"/>
          <w:vertAlign w:val="subscript"/>
          <w:lang w:val="en-US"/>
        </w:rPr>
        <w:t>C</w:t>
      </w:r>
      <w:r w:rsidR="0019372F" w:rsidRPr="00A2171C">
        <w:rPr>
          <w:color w:val="auto"/>
          <w:lang w:val="en-US"/>
        </w:rPr>
        <w:t>) in the units considered in this study. Colors depict the levels of risk (low, intermediate, high and extreme), whose thresholds are defined differently for each variable</w:t>
      </w:r>
    </w:p>
    <w:p w14:paraId="105C790F" w14:textId="3D07F617" w:rsidR="001574CF" w:rsidRPr="00A2171C" w:rsidRDefault="00A46867" w:rsidP="006C1055">
      <w:pPr>
        <w:spacing w:after="0"/>
        <w:rPr>
          <w:rFonts w:eastAsia="Times New Roman" w:cs="Times New Roman"/>
          <w:szCs w:val="20"/>
          <w:lang w:val="en-GB"/>
        </w:rPr>
      </w:pPr>
      <w:r w:rsidRPr="00A2171C">
        <w:rPr>
          <w:rFonts w:eastAsia="Times New Roman" w:cs="Times New Roman"/>
          <w:szCs w:val="20"/>
          <w:lang w:val="en-GB"/>
        </w:rPr>
        <w:t xml:space="preserve">As shown in </w:t>
      </w:r>
      <w:r w:rsidR="00715323" w:rsidRPr="00A2171C">
        <w:rPr>
          <w:lang w:val="en-US"/>
        </w:rPr>
        <w:fldChar w:fldCharType="begin"/>
      </w:r>
      <w:r w:rsidR="00715323" w:rsidRPr="00A2171C">
        <w:rPr>
          <w:rFonts w:eastAsia="Times New Roman" w:cs="Times New Roman"/>
          <w:szCs w:val="20"/>
          <w:lang w:val="en-GB"/>
        </w:rPr>
        <w:instrText xml:space="preserve"> REF _Ref121160257 \h </w:instrText>
      </w:r>
      <w:r w:rsidR="00715323" w:rsidRPr="00A2171C">
        <w:rPr>
          <w:lang w:val="en-US"/>
        </w:rPr>
      </w:r>
      <w:r w:rsidR="00715323" w:rsidRPr="00A2171C">
        <w:rPr>
          <w:lang w:val="en-US"/>
        </w:rPr>
        <w:fldChar w:fldCharType="separate"/>
      </w:r>
      <w:r w:rsidR="00C20049" w:rsidRPr="00A2171C">
        <w:rPr>
          <w:lang w:val="en-US"/>
        </w:rPr>
        <w:t xml:space="preserve">Table </w:t>
      </w:r>
      <w:r w:rsidR="00C20049" w:rsidRPr="00A2171C">
        <w:rPr>
          <w:noProof/>
          <w:lang w:val="en-US"/>
        </w:rPr>
        <w:t>6</w:t>
      </w:r>
      <w:r w:rsidR="00715323" w:rsidRPr="00A2171C">
        <w:rPr>
          <w:lang w:val="en-US"/>
        </w:rPr>
        <w:fldChar w:fldCharType="end"/>
      </w:r>
      <w:r w:rsidR="00DA1589" w:rsidRPr="00A2171C">
        <w:rPr>
          <w:i/>
          <w:iCs/>
          <w:lang w:val="en-US"/>
        </w:rPr>
        <w:t xml:space="preserve"> </w:t>
      </w:r>
      <w:r w:rsidRPr="00A2171C">
        <w:rPr>
          <w:rFonts w:eastAsia="Times New Roman" w:cs="Times New Roman"/>
          <w:i/>
          <w:szCs w:val="20"/>
          <w:lang w:val="en-GB"/>
        </w:rPr>
        <w:t>Cités</w:t>
      </w:r>
      <w:r w:rsidRPr="00A2171C">
        <w:rPr>
          <w:rFonts w:eastAsia="Times New Roman" w:cs="Times New Roman"/>
          <w:szCs w:val="20"/>
          <w:lang w:val="en-GB"/>
        </w:rPr>
        <w:t xml:space="preserve">, CL&amp;Va, 2-storey and commercial lots have the highest fire risk level </w:t>
      </w:r>
      <w:r w:rsidR="009E7744" w:rsidRPr="00A2171C">
        <w:rPr>
          <w:rFonts w:eastAsia="Times New Roman" w:cs="Times New Roman"/>
          <w:szCs w:val="20"/>
          <w:lang w:val="en-GB"/>
        </w:rPr>
        <w:t>relative to</w:t>
      </w:r>
      <w:r w:rsidRPr="00A2171C">
        <w:rPr>
          <w:rFonts w:eastAsia="Times New Roman" w:cs="Times New Roman"/>
          <w:szCs w:val="20"/>
          <w:lang w:val="en-GB"/>
        </w:rPr>
        <w:t xml:space="preserve"> other historic buildings </w:t>
      </w:r>
      <w:r w:rsidR="009E7744" w:rsidRPr="00A2171C">
        <w:rPr>
          <w:rFonts w:eastAsia="Times New Roman" w:cs="Times New Roman"/>
          <w:szCs w:val="20"/>
          <w:lang w:val="en-GB"/>
        </w:rPr>
        <w:t>with an index</w:t>
      </w:r>
      <w:r w:rsidRPr="00A2171C">
        <w:rPr>
          <w:rFonts w:eastAsia="Times New Roman" w:cs="Times New Roman"/>
          <w:szCs w:val="20"/>
          <w:lang w:val="en-GB"/>
        </w:rPr>
        <w:t xml:space="preserve"> FRI = 1.4 (i.e., </w:t>
      </w:r>
      <w:r w:rsidRPr="00A2171C">
        <w:rPr>
          <w:rFonts w:cs="Times New Roman"/>
          <w:lang w:val="en-US"/>
        </w:rPr>
        <w:t>unacceptable risk)</w:t>
      </w:r>
      <w:r w:rsidR="009E7744" w:rsidRPr="00A2171C">
        <w:rPr>
          <w:rFonts w:cs="Times New Roman"/>
          <w:lang w:val="en-US"/>
        </w:rPr>
        <w:t>,</w:t>
      </w:r>
      <w:r w:rsidRPr="00A2171C">
        <w:rPr>
          <w:rFonts w:eastAsia="Times New Roman" w:cs="Times New Roman"/>
          <w:szCs w:val="20"/>
          <w:lang w:val="en-GB"/>
        </w:rPr>
        <w:t xml:space="preserve"> with high propagation and evacuation risk levels (</w:t>
      </w:r>
      <w:r w:rsidRPr="00A2171C">
        <w:rPr>
          <w:rFonts w:eastAsia="Times New Roman" w:cs="Times New Roman"/>
          <w:i/>
          <w:iCs/>
          <w:szCs w:val="20"/>
          <w:lang w:val="en-GB"/>
        </w:rPr>
        <w:t>SF</w:t>
      </w:r>
      <w:r w:rsidRPr="00A2171C">
        <w:rPr>
          <w:rFonts w:eastAsia="Times New Roman" w:cs="Times New Roman"/>
          <w:i/>
          <w:iCs/>
          <w:szCs w:val="20"/>
          <w:vertAlign w:val="subscript"/>
          <w:lang w:val="en-GB"/>
        </w:rPr>
        <w:t>P</w:t>
      </w:r>
      <w:r w:rsidRPr="00A2171C">
        <w:rPr>
          <w:rFonts w:eastAsia="Times New Roman" w:cs="Times New Roman"/>
          <w:szCs w:val="20"/>
          <w:lang w:val="en-GB"/>
        </w:rPr>
        <w:t>=</w:t>
      </w:r>
      <w:r w:rsidR="00EC45AA" w:rsidRPr="00A2171C">
        <w:rPr>
          <w:rFonts w:eastAsia="Times New Roman" w:cs="Times New Roman"/>
          <w:szCs w:val="20"/>
          <w:lang w:val="en-GB"/>
        </w:rPr>
        <w:t>1.7-</w:t>
      </w:r>
      <w:r w:rsidRPr="00A2171C">
        <w:rPr>
          <w:rFonts w:eastAsia="Times New Roman" w:cs="Times New Roman"/>
          <w:szCs w:val="20"/>
          <w:lang w:val="en-GB"/>
        </w:rPr>
        <w:t>1.8 and 1.4, respectively).</w:t>
      </w:r>
      <w:r w:rsidRPr="00A2171C">
        <w:rPr>
          <w:rFonts w:eastAsia="Times New Roman" w:cs="Times New Roman"/>
          <w:i/>
          <w:szCs w:val="20"/>
          <w:lang w:val="en-GB"/>
        </w:rPr>
        <w:t xml:space="preserve"> Cités</w:t>
      </w:r>
      <w:r w:rsidRPr="00A2171C">
        <w:rPr>
          <w:rFonts w:eastAsia="Times New Roman" w:cs="Times New Roman"/>
          <w:szCs w:val="20"/>
          <w:lang w:val="en-GB"/>
        </w:rPr>
        <w:t xml:space="preserve"> </w:t>
      </w:r>
      <w:r w:rsidR="00EC45AA" w:rsidRPr="00A2171C">
        <w:rPr>
          <w:rFonts w:eastAsia="Times New Roman" w:cs="Times New Roman"/>
          <w:szCs w:val="20"/>
          <w:lang w:val="en-GB"/>
        </w:rPr>
        <w:t xml:space="preserve">and commercial lots </w:t>
      </w:r>
      <w:r w:rsidRPr="00A2171C">
        <w:rPr>
          <w:rFonts w:eastAsia="Times New Roman" w:cs="Times New Roman"/>
          <w:szCs w:val="20"/>
          <w:lang w:val="en-GB"/>
        </w:rPr>
        <w:t xml:space="preserve">also present high levels of combat risk </w:t>
      </w:r>
      <w:r w:rsidRPr="00A2171C">
        <w:rPr>
          <w:rFonts w:eastAsia="Times New Roman" w:cs="Times New Roman"/>
          <w:i/>
          <w:iCs/>
          <w:szCs w:val="20"/>
          <w:lang w:val="en-GB"/>
        </w:rPr>
        <w:t>SF</w:t>
      </w:r>
      <w:r w:rsidRPr="00A2171C">
        <w:rPr>
          <w:rFonts w:eastAsia="Times New Roman" w:cs="Times New Roman"/>
          <w:i/>
          <w:iCs/>
          <w:szCs w:val="20"/>
          <w:vertAlign w:val="subscript"/>
          <w:lang w:val="en-GB"/>
        </w:rPr>
        <w:t xml:space="preserve">C </w:t>
      </w:r>
      <w:r w:rsidRPr="00A2171C">
        <w:rPr>
          <w:rFonts w:eastAsia="Times New Roman" w:cs="Times New Roman"/>
          <w:szCs w:val="20"/>
          <w:lang w:val="en-GB"/>
        </w:rPr>
        <w:t>= 1.</w:t>
      </w:r>
      <w:r w:rsidR="00EC45AA" w:rsidRPr="00A2171C">
        <w:rPr>
          <w:rFonts w:eastAsia="Times New Roman" w:cs="Times New Roman"/>
          <w:szCs w:val="20"/>
          <w:lang w:val="en-GB"/>
        </w:rPr>
        <w:t>5 and 1.6, respectively</w:t>
      </w:r>
      <w:r w:rsidRPr="00A2171C">
        <w:rPr>
          <w:rFonts w:eastAsia="Times New Roman" w:cs="Times New Roman"/>
          <w:szCs w:val="20"/>
          <w:lang w:val="en-GB"/>
        </w:rPr>
        <w:t xml:space="preserve">. Only commercial buildings, both </w:t>
      </w:r>
      <w:r w:rsidR="009E7744" w:rsidRPr="00A2171C">
        <w:rPr>
          <w:rFonts w:eastAsia="Times New Roman" w:cs="Times New Roman"/>
          <w:szCs w:val="20"/>
          <w:lang w:val="en-GB"/>
        </w:rPr>
        <w:t>legal or informal</w:t>
      </w:r>
      <w:r w:rsidRPr="00A2171C">
        <w:rPr>
          <w:rFonts w:eastAsia="Times New Roman" w:cs="Times New Roman"/>
          <w:szCs w:val="20"/>
          <w:lang w:val="en-GB"/>
        </w:rPr>
        <w:t xml:space="preserve">, exhibit high ignition and combat risk levels, </w:t>
      </w:r>
      <w:r w:rsidRPr="00A2171C">
        <w:rPr>
          <w:rFonts w:eastAsia="Times New Roman" w:cs="Times New Roman"/>
          <w:i/>
          <w:iCs/>
          <w:szCs w:val="20"/>
          <w:lang w:val="en-GB"/>
        </w:rPr>
        <w:t>SF</w:t>
      </w:r>
      <w:r w:rsidRPr="00A2171C">
        <w:rPr>
          <w:rFonts w:eastAsia="Times New Roman" w:cs="Times New Roman"/>
          <w:i/>
          <w:iCs/>
          <w:szCs w:val="20"/>
          <w:vertAlign w:val="subscript"/>
          <w:lang w:val="en-GB"/>
        </w:rPr>
        <w:t>I</w:t>
      </w:r>
      <w:r w:rsidRPr="00A2171C">
        <w:rPr>
          <w:rFonts w:eastAsia="Times New Roman" w:cs="Times New Roman"/>
          <w:szCs w:val="20"/>
          <w:lang w:val="en-GB"/>
        </w:rPr>
        <w:t xml:space="preserve"> =1.66. Finally, crowded and empty lots have a high propagation risk level (</w:t>
      </w:r>
      <w:r w:rsidRPr="00A2171C">
        <w:rPr>
          <w:rFonts w:eastAsia="Times New Roman" w:cs="Times New Roman"/>
          <w:i/>
          <w:iCs/>
          <w:szCs w:val="20"/>
          <w:lang w:val="en-GB"/>
        </w:rPr>
        <w:t>SF</w:t>
      </w:r>
      <w:r w:rsidRPr="00A2171C">
        <w:rPr>
          <w:rFonts w:eastAsia="Times New Roman" w:cs="Times New Roman"/>
          <w:i/>
          <w:iCs/>
          <w:szCs w:val="20"/>
          <w:vertAlign w:val="subscript"/>
          <w:lang w:val="en-GB"/>
        </w:rPr>
        <w:t>P</w:t>
      </w:r>
      <w:r w:rsidRPr="00A2171C">
        <w:rPr>
          <w:rFonts w:eastAsia="Times New Roman" w:cs="Times New Roman"/>
          <w:szCs w:val="20"/>
          <w:lang w:val="en-GB"/>
        </w:rPr>
        <w:t>=1.8), and</w:t>
      </w:r>
      <w:r w:rsidRPr="00A2171C">
        <w:rPr>
          <w:lang w:val="en-US"/>
        </w:rPr>
        <w:t xml:space="preserve"> </w:t>
      </w:r>
      <w:r w:rsidRPr="00A2171C">
        <w:rPr>
          <w:rFonts w:eastAsia="Times New Roman" w:cs="Times New Roman"/>
          <w:szCs w:val="20"/>
          <w:lang w:val="en-GB"/>
        </w:rPr>
        <w:t xml:space="preserve">crowded buildings also have high levels of evacuation risk. </w:t>
      </w:r>
    </w:p>
    <w:p w14:paraId="653423AF" w14:textId="77777777" w:rsidR="006C1055" w:rsidRPr="00A2171C" w:rsidRDefault="006C1055" w:rsidP="006C1055">
      <w:pPr>
        <w:pStyle w:val="Caption"/>
        <w:keepNext/>
        <w:jc w:val="center"/>
        <w:rPr>
          <w:color w:val="auto"/>
          <w:lang w:val="en-US"/>
        </w:rPr>
      </w:pPr>
      <w:bookmarkStart w:id="24" w:name="_Ref121160257"/>
      <w:bookmarkStart w:id="25" w:name="_Ref121160768"/>
      <w:r w:rsidRPr="00A2171C">
        <w:rPr>
          <w:color w:val="auto"/>
          <w:lang w:val="en-US"/>
        </w:rPr>
        <w:t xml:space="preserve">Table </w:t>
      </w:r>
      <w:r w:rsidRPr="00A2171C">
        <w:rPr>
          <w:color w:val="auto"/>
        </w:rPr>
        <w:fldChar w:fldCharType="begin"/>
      </w:r>
      <w:r w:rsidRPr="00A2171C">
        <w:rPr>
          <w:color w:val="auto"/>
          <w:lang w:val="en-US"/>
        </w:rPr>
        <w:instrText xml:space="preserve"> SEQ Table \* ARABIC </w:instrText>
      </w:r>
      <w:r w:rsidRPr="00A2171C">
        <w:rPr>
          <w:color w:val="auto"/>
        </w:rPr>
        <w:fldChar w:fldCharType="separate"/>
      </w:r>
      <w:r w:rsidRPr="00A2171C">
        <w:rPr>
          <w:noProof/>
          <w:color w:val="auto"/>
          <w:lang w:val="en-US"/>
        </w:rPr>
        <w:t>6</w:t>
      </w:r>
      <w:r w:rsidRPr="00A2171C">
        <w:rPr>
          <w:color w:val="auto"/>
        </w:rPr>
        <w:fldChar w:fldCharType="end"/>
      </w:r>
      <w:bookmarkEnd w:id="24"/>
      <w:r w:rsidRPr="00A2171C">
        <w:rPr>
          <w:color w:val="auto"/>
          <w:lang w:val="en-US"/>
        </w:rPr>
        <w:t xml:space="preserve">: FRI analysis results of Yungay historical buildings classified according to Fire risk sub-factors, urban block types, architectural style </w:t>
      </w:r>
      <w:bookmarkStart w:id="26" w:name="_Hlk120554889"/>
      <w:r w:rsidRPr="00A2171C">
        <w:rPr>
          <w:color w:val="auto"/>
          <w:lang w:val="en-US"/>
        </w:rPr>
        <w:t xml:space="preserve">and typologies (mode, standard deviation </w:t>
      </w:r>
      <w:r w:rsidRPr="00A2171C">
        <w:rPr>
          <w:color w:val="auto"/>
        </w:rPr>
        <w:t>σ</w:t>
      </w:r>
      <w:r w:rsidRPr="00A2171C">
        <w:rPr>
          <w:color w:val="auto"/>
          <w:lang w:val="en-US"/>
        </w:rPr>
        <w:t>, Min and Max of data set).</w:t>
      </w:r>
      <w:bookmarkEnd w:id="25"/>
      <w:bookmarkEnd w:id="26"/>
    </w:p>
    <w:tbl>
      <w:tblPr>
        <w:tblW w:w="4296" w:type="pct"/>
        <w:jc w:val="center"/>
        <w:tblBorders>
          <w:top w:val="single" w:sz="4" w:space="0" w:color="7F7F7F"/>
          <w:left w:val="nil"/>
          <w:bottom w:val="single" w:sz="4" w:space="0" w:color="7F7F7F"/>
          <w:right w:val="nil"/>
          <w:insideH w:val="single" w:sz="4" w:space="0" w:color="000000"/>
          <w:insideV w:val="single" w:sz="4" w:space="0" w:color="000000"/>
        </w:tblBorders>
        <w:tblLook w:val="0400" w:firstRow="0" w:lastRow="0" w:firstColumn="0" w:lastColumn="0" w:noHBand="0" w:noVBand="1"/>
      </w:tblPr>
      <w:tblGrid>
        <w:gridCol w:w="749"/>
        <w:gridCol w:w="1287"/>
        <w:gridCol w:w="1105"/>
        <w:gridCol w:w="1201"/>
        <w:gridCol w:w="1081"/>
        <w:gridCol w:w="1081"/>
        <w:gridCol w:w="1085"/>
      </w:tblGrid>
      <w:tr w:rsidR="00A2171C" w:rsidRPr="00A2171C" w14:paraId="7BDB7124" w14:textId="77777777" w:rsidTr="002252C6">
        <w:trPr>
          <w:cantSplit/>
          <w:trHeight w:val="227"/>
          <w:jc w:val="center"/>
        </w:trPr>
        <w:tc>
          <w:tcPr>
            <w:tcW w:w="494" w:type="pct"/>
            <w:tcBorders>
              <w:top w:val="nil"/>
              <w:left w:val="nil"/>
              <w:bottom w:val="nil"/>
              <w:right w:val="nil"/>
            </w:tcBorders>
            <w:shd w:val="clear" w:color="auto" w:fill="auto"/>
            <w:vAlign w:val="center"/>
          </w:tcPr>
          <w:p w14:paraId="1C49DCB3" w14:textId="77777777" w:rsidR="006C1055" w:rsidRPr="00A2171C" w:rsidRDefault="006C1055" w:rsidP="002252C6">
            <w:pPr>
              <w:spacing w:after="0" w:line="240" w:lineRule="auto"/>
              <w:jc w:val="right"/>
              <w:rPr>
                <w:rFonts w:eastAsia="Times New Roman" w:cs="Times New Roman"/>
                <w:b/>
                <w:bCs/>
                <w:sz w:val="18"/>
                <w:szCs w:val="18"/>
                <w:lang w:val="en-GB"/>
              </w:rPr>
            </w:pPr>
          </w:p>
        </w:tc>
        <w:tc>
          <w:tcPr>
            <w:tcW w:w="848" w:type="pct"/>
            <w:tcBorders>
              <w:top w:val="nil"/>
              <w:left w:val="nil"/>
              <w:bottom w:val="nil"/>
              <w:right w:val="single" w:sz="4" w:space="0" w:color="auto"/>
            </w:tcBorders>
            <w:shd w:val="clear" w:color="auto" w:fill="auto"/>
            <w:vAlign w:val="center"/>
          </w:tcPr>
          <w:p w14:paraId="58A4769F" w14:textId="77777777" w:rsidR="006C1055" w:rsidRPr="00A2171C" w:rsidRDefault="006C1055" w:rsidP="002252C6">
            <w:pPr>
              <w:spacing w:after="0" w:line="240" w:lineRule="auto"/>
              <w:jc w:val="right"/>
              <w:rPr>
                <w:rFonts w:eastAsia="Times New Roman" w:cs="Times New Roman"/>
                <w:sz w:val="18"/>
                <w:szCs w:val="18"/>
                <w:lang w:val="en-GB"/>
              </w:rPr>
            </w:pPr>
          </w:p>
        </w:tc>
        <w:tc>
          <w:tcPr>
            <w:tcW w:w="3658" w:type="pct"/>
            <w:gridSpan w:val="5"/>
            <w:tcBorders>
              <w:top w:val="single" w:sz="4" w:space="0" w:color="auto"/>
              <w:left w:val="single" w:sz="4" w:space="0" w:color="auto"/>
              <w:bottom w:val="nil"/>
              <w:right w:val="single" w:sz="4" w:space="0" w:color="auto"/>
            </w:tcBorders>
            <w:shd w:val="clear" w:color="auto" w:fill="D9D9D9" w:themeFill="background1" w:themeFillShade="D9"/>
            <w:vAlign w:val="center"/>
          </w:tcPr>
          <w:p w14:paraId="3867A96C"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bCs/>
                <w:szCs w:val="20"/>
                <w:lang w:val="en-GB"/>
              </w:rPr>
              <w:t>Fire Risk Sub-factors and FRI index</w:t>
            </w:r>
          </w:p>
        </w:tc>
      </w:tr>
      <w:tr w:rsidR="00A2171C" w:rsidRPr="00A2171C" w14:paraId="6B7E741B" w14:textId="77777777" w:rsidTr="002252C6">
        <w:trPr>
          <w:cantSplit/>
          <w:trHeight w:val="283"/>
          <w:jc w:val="center"/>
        </w:trPr>
        <w:tc>
          <w:tcPr>
            <w:tcW w:w="494" w:type="pct"/>
            <w:tcBorders>
              <w:top w:val="nil"/>
              <w:left w:val="nil"/>
              <w:right w:val="nil"/>
            </w:tcBorders>
            <w:shd w:val="clear" w:color="auto" w:fill="auto"/>
            <w:textDirection w:val="btLr"/>
            <w:vAlign w:val="center"/>
          </w:tcPr>
          <w:p w14:paraId="2C907B46" w14:textId="77777777" w:rsidR="006C1055" w:rsidRPr="00A2171C" w:rsidRDefault="006C1055" w:rsidP="002252C6">
            <w:pPr>
              <w:spacing w:after="0" w:line="240" w:lineRule="auto"/>
              <w:ind w:left="113" w:right="113"/>
              <w:jc w:val="right"/>
              <w:rPr>
                <w:rFonts w:eastAsia="Times New Roman" w:cs="Times New Roman"/>
                <w:b/>
                <w:bCs/>
                <w:sz w:val="18"/>
                <w:szCs w:val="18"/>
                <w:lang w:val="en-GB"/>
              </w:rPr>
            </w:pPr>
          </w:p>
        </w:tc>
        <w:tc>
          <w:tcPr>
            <w:tcW w:w="848" w:type="pct"/>
            <w:tcBorders>
              <w:top w:val="nil"/>
              <w:left w:val="nil"/>
              <w:bottom w:val="single" w:sz="4" w:space="0" w:color="auto"/>
              <w:right w:val="single" w:sz="4" w:space="0" w:color="auto"/>
            </w:tcBorders>
            <w:shd w:val="clear" w:color="auto" w:fill="auto"/>
            <w:vAlign w:val="center"/>
          </w:tcPr>
          <w:p w14:paraId="3DD5F662" w14:textId="77777777" w:rsidR="006C1055" w:rsidRPr="00A2171C" w:rsidRDefault="006C1055" w:rsidP="002252C6">
            <w:pPr>
              <w:spacing w:after="0" w:line="240" w:lineRule="auto"/>
              <w:jc w:val="right"/>
              <w:rPr>
                <w:rFonts w:eastAsia="Times New Roman" w:cs="Times New Roman"/>
                <w:sz w:val="18"/>
                <w:szCs w:val="18"/>
                <w:lang w:val="en-GB"/>
              </w:rPr>
            </w:pPr>
          </w:p>
        </w:tc>
        <w:tc>
          <w:tcPr>
            <w:tcW w:w="728" w:type="pct"/>
            <w:tcBorders>
              <w:top w:val="single" w:sz="4" w:space="0" w:color="auto"/>
              <w:left w:val="single" w:sz="4" w:space="0" w:color="auto"/>
              <w:bottom w:val="nil"/>
            </w:tcBorders>
            <w:vAlign w:val="center"/>
          </w:tcPr>
          <w:p w14:paraId="5459F22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b/>
                <w:bCs/>
                <w:i/>
                <w:szCs w:val="20"/>
                <w:lang w:val="en-GB"/>
              </w:rPr>
              <w:t>SF</w:t>
            </w:r>
            <w:r w:rsidRPr="00A2171C">
              <w:rPr>
                <w:rFonts w:eastAsia="Times New Roman" w:cs="Times New Roman"/>
                <w:b/>
                <w:bCs/>
                <w:i/>
                <w:szCs w:val="20"/>
                <w:vertAlign w:val="subscript"/>
                <w:lang w:val="en-GB"/>
              </w:rPr>
              <w:t>I</w:t>
            </w:r>
          </w:p>
        </w:tc>
        <w:tc>
          <w:tcPr>
            <w:tcW w:w="791" w:type="pct"/>
            <w:tcBorders>
              <w:top w:val="single" w:sz="4" w:space="0" w:color="auto"/>
              <w:bottom w:val="nil"/>
            </w:tcBorders>
            <w:vAlign w:val="center"/>
          </w:tcPr>
          <w:p w14:paraId="19ABB93B"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i/>
                <w:szCs w:val="20"/>
                <w:lang w:val="en-GB"/>
              </w:rPr>
              <w:t>SF</w:t>
            </w:r>
            <w:r w:rsidRPr="00A2171C">
              <w:rPr>
                <w:rFonts w:eastAsia="Times New Roman" w:cs="Times New Roman"/>
                <w:b/>
                <w:bCs/>
                <w:i/>
                <w:szCs w:val="20"/>
                <w:vertAlign w:val="subscript"/>
                <w:lang w:val="en-GB"/>
              </w:rPr>
              <w:t>P</w:t>
            </w:r>
          </w:p>
        </w:tc>
        <w:tc>
          <w:tcPr>
            <w:tcW w:w="712" w:type="pct"/>
            <w:tcBorders>
              <w:top w:val="single" w:sz="4" w:space="0" w:color="auto"/>
              <w:bottom w:val="nil"/>
            </w:tcBorders>
            <w:vAlign w:val="center"/>
          </w:tcPr>
          <w:p w14:paraId="6BEDD7F5"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i/>
                <w:szCs w:val="20"/>
                <w:lang w:val="en-GB"/>
              </w:rPr>
              <w:t>SF</w:t>
            </w:r>
            <w:r w:rsidRPr="00A2171C">
              <w:rPr>
                <w:rFonts w:eastAsia="Times New Roman" w:cs="Times New Roman"/>
                <w:b/>
                <w:bCs/>
                <w:i/>
                <w:szCs w:val="20"/>
                <w:vertAlign w:val="subscript"/>
                <w:lang w:val="en-GB"/>
              </w:rPr>
              <w:t>E</w:t>
            </w:r>
          </w:p>
        </w:tc>
        <w:tc>
          <w:tcPr>
            <w:tcW w:w="712" w:type="pct"/>
            <w:tcBorders>
              <w:top w:val="single" w:sz="4" w:space="0" w:color="auto"/>
              <w:bottom w:val="nil"/>
            </w:tcBorders>
            <w:vAlign w:val="center"/>
          </w:tcPr>
          <w:p w14:paraId="1E82D5CE"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i/>
                <w:szCs w:val="20"/>
                <w:lang w:val="en-GB"/>
              </w:rPr>
              <w:t>SF</w:t>
            </w:r>
            <w:r w:rsidRPr="00A2171C">
              <w:rPr>
                <w:rFonts w:eastAsia="Times New Roman" w:cs="Times New Roman"/>
                <w:b/>
                <w:bCs/>
                <w:i/>
                <w:szCs w:val="20"/>
                <w:vertAlign w:val="subscript"/>
                <w:lang w:val="en-GB"/>
              </w:rPr>
              <w:t>C</w:t>
            </w:r>
          </w:p>
        </w:tc>
        <w:tc>
          <w:tcPr>
            <w:tcW w:w="714" w:type="pct"/>
            <w:tcBorders>
              <w:top w:val="single" w:sz="4" w:space="0" w:color="auto"/>
              <w:bottom w:val="nil"/>
              <w:right w:val="single" w:sz="4" w:space="0" w:color="auto"/>
            </w:tcBorders>
            <w:vAlign w:val="center"/>
          </w:tcPr>
          <w:p w14:paraId="1C5106CC"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bCs/>
                <w:szCs w:val="20"/>
                <w:lang w:val="en-GB"/>
              </w:rPr>
              <w:t>FRI</w:t>
            </w:r>
          </w:p>
        </w:tc>
      </w:tr>
      <w:tr w:rsidR="00A2171C" w:rsidRPr="00A2171C" w14:paraId="7ACF0A1B" w14:textId="77777777" w:rsidTr="002252C6">
        <w:trPr>
          <w:trHeight w:val="20"/>
          <w:jc w:val="center"/>
        </w:trPr>
        <w:tc>
          <w:tcPr>
            <w:tcW w:w="494" w:type="pct"/>
            <w:vMerge w:val="restart"/>
            <w:tcBorders>
              <w:top w:val="single" w:sz="4" w:space="0" w:color="auto"/>
              <w:left w:val="single" w:sz="4" w:space="0" w:color="auto"/>
            </w:tcBorders>
            <w:shd w:val="clear" w:color="auto" w:fill="D9D9D9" w:themeFill="background1" w:themeFillShade="D9"/>
            <w:textDirection w:val="btLr"/>
            <w:vAlign w:val="center"/>
          </w:tcPr>
          <w:p w14:paraId="6D393242" w14:textId="77777777" w:rsidR="006C1055" w:rsidRPr="00A2171C" w:rsidRDefault="006C1055" w:rsidP="002252C6">
            <w:pPr>
              <w:spacing w:after="0" w:line="240" w:lineRule="auto"/>
              <w:ind w:left="113" w:right="113"/>
              <w:jc w:val="center"/>
              <w:rPr>
                <w:rFonts w:eastAsia="Times New Roman" w:cs="Times New Roman"/>
                <w:b/>
                <w:bCs/>
                <w:szCs w:val="20"/>
                <w:lang w:val="en-GB"/>
              </w:rPr>
            </w:pPr>
            <w:r w:rsidRPr="00A2171C">
              <w:rPr>
                <w:rFonts w:eastAsia="Times New Roman" w:cs="Times New Roman"/>
                <w:b/>
                <w:bCs/>
                <w:szCs w:val="20"/>
                <w:lang w:val="en-GB"/>
              </w:rPr>
              <w:t>Urban block types</w:t>
            </w:r>
          </w:p>
        </w:tc>
        <w:tc>
          <w:tcPr>
            <w:tcW w:w="848" w:type="pct"/>
            <w:tcBorders>
              <w:top w:val="single" w:sz="4" w:space="0" w:color="auto"/>
              <w:bottom w:val="nil"/>
              <w:right w:val="single" w:sz="4" w:space="0" w:color="auto"/>
            </w:tcBorders>
            <w:shd w:val="clear" w:color="auto" w:fill="auto"/>
            <w:vAlign w:val="center"/>
          </w:tcPr>
          <w:p w14:paraId="4649F0F5"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Cités</w:t>
            </w:r>
          </w:p>
          <w:p w14:paraId="1DADBEE6" w14:textId="77777777" w:rsidR="006C1055" w:rsidRPr="00A2171C" w:rsidRDefault="006C1055" w:rsidP="002252C6">
            <w:pPr>
              <w:spacing w:after="0" w:line="240" w:lineRule="auto"/>
              <w:jc w:val="right"/>
              <w:rPr>
                <w:rFonts w:eastAsia="Times New Roman" w:cs="Times New Roman"/>
                <w:szCs w:val="20"/>
                <w:lang w:val="en-GB"/>
              </w:rPr>
            </w:pPr>
          </w:p>
          <w:p w14:paraId="2D813381" w14:textId="77777777" w:rsidR="006C1055" w:rsidRPr="00A2171C" w:rsidRDefault="006C1055" w:rsidP="002252C6">
            <w:pPr>
              <w:spacing w:after="0" w:line="240" w:lineRule="auto"/>
              <w:jc w:val="right"/>
              <w:rPr>
                <w:rFonts w:eastAsia="Times New Roman" w:cs="Times New Roman"/>
                <w:szCs w:val="20"/>
                <w:lang w:val="en-GB"/>
              </w:rPr>
            </w:pPr>
          </w:p>
          <w:p w14:paraId="50A1AD4F"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single" w:sz="4" w:space="0" w:color="auto"/>
              <w:left w:val="single" w:sz="4" w:space="0" w:color="auto"/>
              <w:bottom w:val="nil"/>
            </w:tcBorders>
            <w:vAlign w:val="center"/>
          </w:tcPr>
          <w:p w14:paraId="65829A8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5E6FC77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σ=0.2</w:t>
            </w:r>
          </w:p>
          <w:p w14:paraId="0143516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Min=1.13</w:t>
            </w:r>
          </w:p>
          <w:p w14:paraId="0E96D95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single" w:sz="4" w:space="0" w:color="auto"/>
              <w:bottom w:val="nil"/>
            </w:tcBorders>
            <w:vAlign w:val="center"/>
          </w:tcPr>
          <w:p w14:paraId="4C1C1720"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szCs w:val="20"/>
                <w:lang w:val="en-GB"/>
              </w:rPr>
              <w:t>1.7</w:t>
            </w:r>
          </w:p>
          <w:p w14:paraId="6CB0010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σ=0.12</w:t>
            </w:r>
          </w:p>
          <w:p w14:paraId="372435F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Min=1.6</w:t>
            </w:r>
          </w:p>
          <w:p w14:paraId="03374F6D"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szCs w:val="20"/>
                <w:lang w:val="en-GB"/>
              </w:rPr>
              <w:t>Max=2.0</w:t>
            </w:r>
          </w:p>
        </w:tc>
        <w:tc>
          <w:tcPr>
            <w:tcW w:w="712" w:type="pct"/>
            <w:tcBorders>
              <w:top w:val="single" w:sz="4" w:space="0" w:color="auto"/>
              <w:bottom w:val="nil"/>
            </w:tcBorders>
            <w:vAlign w:val="center"/>
          </w:tcPr>
          <w:p w14:paraId="7BEEC46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11F1083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σ=0.05</w:t>
            </w:r>
          </w:p>
          <w:p w14:paraId="66D53FA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1DF7FEC7"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szCs w:val="20"/>
                <w:lang w:val="en-GB"/>
              </w:rPr>
              <w:t>Max=1.4</w:t>
            </w:r>
          </w:p>
        </w:tc>
        <w:tc>
          <w:tcPr>
            <w:tcW w:w="712" w:type="pct"/>
            <w:tcBorders>
              <w:top w:val="single" w:sz="4" w:space="0" w:color="auto"/>
              <w:bottom w:val="nil"/>
            </w:tcBorders>
            <w:vAlign w:val="center"/>
          </w:tcPr>
          <w:p w14:paraId="4DF5DD9A"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szCs w:val="20"/>
                <w:lang w:val="en-GB"/>
              </w:rPr>
              <w:t>1.5</w:t>
            </w:r>
          </w:p>
          <w:p w14:paraId="6C43377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σ=0.21</w:t>
            </w:r>
          </w:p>
          <w:p w14:paraId="69B36D8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237DAEC8"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szCs w:val="20"/>
                <w:lang w:val="en-GB"/>
              </w:rPr>
              <w:t>Max=2.0</w:t>
            </w:r>
          </w:p>
        </w:tc>
        <w:tc>
          <w:tcPr>
            <w:tcW w:w="714" w:type="pct"/>
            <w:tcBorders>
              <w:top w:val="single" w:sz="4" w:space="0" w:color="auto"/>
              <w:bottom w:val="nil"/>
              <w:right w:val="single" w:sz="4" w:space="0" w:color="auto"/>
            </w:tcBorders>
            <w:vAlign w:val="center"/>
          </w:tcPr>
          <w:p w14:paraId="27A70739"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4DCCE40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w:t>
            </w:r>
          </w:p>
          <w:p w14:paraId="4853F37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57AF4AA2"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szCs w:val="20"/>
                <w:lang w:val="en-GB"/>
              </w:rPr>
              <w:t>Max=1.6</w:t>
            </w:r>
          </w:p>
        </w:tc>
      </w:tr>
      <w:tr w:rsidR="00A2171C" w:rsidRPr="00A2171C" w14:paraId="21EB71F1" w14:textId="77777777" w:rsidTr="002252C6">
        <w:trPr>
          <w:trHeight w:val="20"/>
          <w:jc w:val="center"/>
        </w:trPr>
        <w:tc>
          <w:tcPr>
            <w:tcW w:w="494" w:type="pct"/>
            <w:vMerge/>
            <w:tcBorders>
              <w:left w:val="single" w:sz="4" w:space="0" w:color="auto"/>
            </w:tcBorders>
            <w:shd w:val="clear" w:color="auto" w:fill="D9D9D9" w:themeFill="background1" w:themeFillShade="D9"/>
          </w:tcPr>
          <w:p w14:paraId="73C3A52B" w14:textId="77777777" w:rsidR="006C1055" w:rsidRPr="00A2171C" w:rsidRDefault="006C1055" w:rsidP="002252C6">
            <w:pPr>
              <w:spacing w:after="0" w:line="240" w:lineRule="auto"/>
              <w:jc w:val="center"/>
              <w:rPr>
                <w:rFonts w:eastAsia="Times New Roman" w:cs="Times New Roman"/>
                <w:b/>
                <w:bCs/>
                <w:szCs w:val="20"/>
                <w:lang w:val="en-GB"/>
              </w:rPr>
            </w:pPr>
          </w:p>
        </w:tc>
        <w:tc>
          <w:tcPr>
            <w:tcW w:w="848" w:type="pct"/>
            <w:tcBorders>
              <w:top w:val="nil"/>
              <w:bottom w:val="nil"/>
              <w:right w:val="single" w:sz="4" w:space="0" w:color="auto"/>
            </w:tcBorders>
            <w:shd w:val="clear" w:color="auto" w:fill="auto"/>
            <w:vAlign w:val="center"/>
          </w:tcPr>
          <w:p w14:paraId="33A44A19"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Penetrated</w:t>
            </w:r>
          </w:p>
          <w:p w14:paraId="40BB7514" w14:textId="77777777" w:rsidR="006C1055" w:rsidRPr="00A2171C" w:rsidRDefault="006C1055" w:rsidP="002252C6">
            <w:pPr>
              <w:spacing w:after="0" w:line="240" w:lineRule="auto"/>
              <w:jc w:val="right"/>
              <w:rPr>
                <w:rFonts w:eastAsia="Times New Roman" w:cs="Times New Roman"/>
                <w:szCs w:val="20"/>
                <w:lang w:val="en-GB"/>
              </w:rPr>
            </w:pPr>
          </w:p>
          <w:p w14:paraId="72874B7E"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4B6808B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1.47</w:t>
            </w:r>
          </w:p>
          <w:p w14:paraId="7122927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σ=0.132</w:t>
            </w:r>
          </w:p>
          <w:p w14:paraId="5659DE7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Min=1.12</w:t>
            </w:r>
          </w:p>
          <w:p w14:paraId="50B818D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419D4D3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1.6</w:t>
            </w:r>
          </w:p>
          <w:p w14:paraId="4AA711E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σ=0.122</w:t>
            </w:r>
          </w:p>
          <w:p w14:paraId="066711E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3B279BB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2" w:type="pct"/>
            <w:tcBorders>
              <w:top w:val="nil"/>
              <w:bottom w:val="nil"/>
            </w:tcBorders>
            <w:vAlign w:val="center"/>
          </w:tcPr>
          <w:p w14:paraId="798DCDE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50207AD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σ=0.062</w:t>
            </w:r>
          </w:p>
          <w:p w14:paraId="09149FC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77429F2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Max=1.4</w:t>
            </w:r>
          </w:p>
        </w:tc>
        <w:tc>
          <w:tcPr>
            <w:tcW w:w="712" w:type="pct"/>
            <w:tcBorders>
              <w:top w:val="nil"/>
              <w:bottom w:val="nil"/>
            </w:tcBorders>
            <w:vAlign w:val="center"/>
          </w:tcPr>
          <w:p w14:paraId="51E0CA2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1.3</w:t>
            </w:r>
          </w:p>
          <w:p w14:paraId="37B70C8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σ=0.17</w:t>
            </w:r>
          </w:p>
          <w:p w14:paraId="0469A91D"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648964D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4" w:type="pct"/>
            <w:tcBorders>
              <w:top w:val="nil"/>
              <w:bottom w:val="nil"/>
              <w:right w:val="single" w:sz="4" w:space="0" w:color="auto"/>
            </w:tcBorders>
            <w:vAlign w:val="center"/>
          </w:tcPr>
          <w:p w14:paraId="05EFA6B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1.3</w:t>
            </w:r>
          </w:p>
          <w:p w14:paraId="55DB7CF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σ=0.086</w:t>
            </w:r>
          </w:p>
          <w:p w14:paraId="605507C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39197D5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r w:rsidR="00A2171C" w:rsidRPr="00A2171C" w14:paraId="17B72D89" w14:textId="77777777" w:rsidTr="002252C6">
        <w:trPr>
          <w:trHeight w:val="20"/>
          <w:jc w:val="center"/>
        </w:trPr>
        <w:tc>
          <w:tcPr>
            <w:tcW w:w="494" w:type="pct"/>
            <w:vMerge/>
            <w:tcBorders>
              <w:left w:val="single" w:sz="4" w:space="0" w:color="auto"/>
            </w:tcBorders>
            <w:shd w:val="clear" w:color="auto" w:fill="D9D9D9" w:themeFill="background1" w:themeFillShade="D9"/>
          </w:tcPr>
          <w:p w14:paraId="607EE884" w14:textId="77777777" w:rsidR="006C1055" w:rsidRPr="00A2171C" w:rsidRDefault="006C1055" w:rsidP="002252C6">
            <w:pPr>
              <w:spacing w:after="0" w:line="240" w:lineRule="auto"/>
              <w:jc w:val="center"/>
              <w:rPr>
                <w:rFonts w:eastAsia="Times New Roman" w:cs="Times New Roman"/>
                <w:b/>
                <w:bCs/>
                <w:szCs w:val="20"/>
                <w:lang w:val="en-GB"/>
              </w:rPr>
            </w:pPr>
          </w:p>
        </w:tc>
        <w:tc>
          <w:tcPr>
            <w:tcW w:w="848" w:type="pct"/>
            <w:tcBorders>
              <w:top w:val="nil"/>
              <w:bottom w:val="nil"/>
              <w:right w:val="single" w:sz="4" w:space="0" w:color="auto"/>
            </w:tcBorders>
            <w:shd w:val="clear" w:color="auto" w:fill="auto"/>
            <w:vAlign w:val="center"/>
          </w:tcPr>
          <w:p w14:paraId="7FAAF21B"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Divided</w:t>
            </w:r>
          </w:p>
          <w:p w14:paraId="5C16F410"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779DE63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7F950AF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σ=0.15</w:t>
            </w:r>
          </w:p>
          <w:p w14:paraId="13D1A64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Min=1.06</w:t>
            </w:r>
          </w:p>
          <w:p w14:paraId="6CE4CCD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2092D57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1.6</w:t>
            </w:r>
          </w:p>
          <w:p w14:paraId="3C13A77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σ=0.14</w:t>
            </w:r>
          </w:p>
          <w:p w14:paraId="590C88C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Min=1.6</w:t>
            </w:r>
          </w:p>
          <w:p w14:paraId="50E705A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2" w:type="pct"/>
            <w:tcBorders>
              <w:top w:val="nil"/>
              <w:bottom w:val="nil"/>
            </w:tcBorders>
            <w:vAlign w:val="center"/>
          </w:tcPr>
          <w:p w14:paraId="49D040E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1.4</w:t>
            </w:r>
          </w:p>
          <w:p w14:paraId="55563C4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σ=0.11</w:t>
            </w:r>
          </w:p>
          <w:p w14:paraId="6853344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Min=1.2</w:t>
            </w:r>
          </w:p>
          <w:p w14:paraId="5B09626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nil"/>
              <w:bottom w:val="nil"/>
            </w:tcBorders>
            <w:vAlign w:val="center"/>
          </w:tcPr>
          <w:p w14:paraId="1210143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1.4</w:t>
            </w:r>
          </w:p>
          <w:p w14:paraId="0DE4F1F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σ=0.19</w:t>
            </w:r>
          </w:p>
          <w:p w14:paraId="2323D5C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Min=1.4</w:t>
            </w:r>
          </w:p>
          <w:p w14:paraId="30CD9BA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4" w:type="pct"/>
            <w:tcBorders>
              <w:top w:val="nil"/>
              <w:bottom w:val="nil"/>
              <w:right w:val="single" w:sz="4" w:space="0" w:color="auto"/>
            </w:tcBorders>
            <w:vAlign w:val="center"/>
          </w:tcPr>
          <w:p w14:paraId="5AD8ED0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1.3</w:t>
            </w:r>
          </w:p>
          <w:p w14:paraId="4F0AB29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w:t>
            </w:r>
          </w:p>
          <w:p w14:paraId="6872EEE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lastRenderedPageBreak/>
              <w:t>Min=1.1</w:t>
            </w:r>
          </w:p>
          <w:p w14:paraId="1C44D54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r w:rsidR="00A2171C" w:rsidRPr="00A2171C" w14:paraId="4D444F93" w14:textId="77777777" w:rsidTr="002252C6">
        <w:trPr>
          <w:trHeight w:val="20"/>
          <w:jc w:val="center"/>
        </w:trPr>
        <w:tc>
          <w:tcPr>
            <w:tcW w:w="494" w:type="pct"/>
            <w:vMerge/>
            <w:tcBorders>
              <w:top w:val="nil"/>
              <w:left w:val="single" w:sz="4" w:space="0" w:color="auto"/>
              <w:bottom w:val="single" w:sz="4" w:space="0" w:color="auto"/>
            </w:tcBorders>
            <w:shd w:val="clear" w:color="auto" w:fill="D9D9D9" w:themeFill="background1" w:themeFillShade="D9"/>
          </w:tcPr>
          <w:p w14:paraId="695A9657" w14:textId="77777777" w:rsidR="006C1055" w:rsidRPr="00A2171C" w:rsidRDefault="006C1055" w:rsidP="002252C6">
            <w:pPr>
              <w:spacing w:after="0" w:line="240" w:lineRule="auto"/>
              <w:jc w:val="center"/>
              <w:rPr>
                <w:rFonts w:eastAsia="Times New Roman" w:cs="Times New Roman"/>
                <w:b/>
                <w:bCs/>
                <w:szCs w:val="20"/>
                <w:lang w:val="en-GB"/>
              </w:rPr>
            </w:pPr>
          </w:p>
        </w:tc>
        <w:tc>
          <w:tcPr>
            <w:tcW w:w="848" w:type="pct"/>
            <w:tcBorders>
              <w:top w:val="nil"/>
              <w:bottom w:val="single" w:sz="4" w:space="0" w:color="auto"/>
              <w:right w:val="single" w:sz="4" w:space="0" w:color="auto"/>
            </w:tcBorders>
            <w:shd w:val="clear" w:color="auto" w:fill="auto"/>
            <w:vAlign w:val="center"/>
          </w:tcPr>
          <w:p w14:paraId="534682F0"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Closed</w:t>
            </w:r>
          </w:p>
          <w:p w14:paraId="531A0A47" w14:textId="77777777" w:rsidR="006C1055" w:rsidRPr="00A2171C" w:rsidRDefault="006C1055" w:rsidP="002252C6">
            <w:pPr>
              <w:spacing w:after="0" w:line="240" w:lineRule="auto"/>
              <w:jc w:val="right"/>
              <w:rPr>
                <w:rFonts w:eastAsia="Times New Roman" w:cs="Times New Roman"/>
                <w:szCs w:val="20"/>
                <w:lang w:val="en-GB"/>
              </w:rPr>
            </w:pPr>
          </w:p>
          <w:p w14:paraId="29091E83" w14:textId="77777777" w:rsidR="006C1055" w:rsidRPr="00A2171C" w:rsidRDefault="006C1055" w:rsidP="002252C6">
            <w:pPr>
              <w:spacing w:after="0" w:line="240" w:lineRule="auto"/>
              <w:jc w:val="right"/>
              <w:rPr>
                <w:rFonts w:eastAsia="Times New Roman" w:cs="Times New Roman"/>
                <w:szCs w:val="20"/>
                <w:lang w:val="en-GB"/>
              </w:rPr>
            </w:pPr>
          </w:p>
          <w:p w14:paraId="5DE43D76"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single" w:sz="4" w:space="0" w:color="auto"/>
            </w:tcBorders>
            <w:vAlign w:val="center"/>
          </w:tcPr>
          <w:p w14:paraId="1816C8B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3D1EB6B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σ=0.139</w:t>
            </w:r>
          </w:p>
          <w:p w14:paraId="5E54B16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Min=1.10</w:t>
            </w:r>
          </w:p>
          <w:p w14:paraId="72274A62" w14:textId="77777777" w:rsidR="006C1055" w:rsidRPr="00A2171C" w:rsidRDefault="006C1055" w:rsidP="002252C6">
            <w:pPr>
              <w:spacing w:after="0" w:line="240" w:lineRule="auto"/>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single" w:sz="4" w:space="0" w:color="auto"/>
            </w:tcBorders>
            <w:vAlign w:val="center"/>
          </w:tcPr>
          <w:p w14:paraId="685D7CBF"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szCs w:val="20"/>
                <w:lang w:val="en-GB"/>
              </w:rPr>
              <w:t>1.8</w:t>
            </w:r>
          </w:p>
          <w:p w14:paraId="6587A1F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σ=0.14</w:t>
            </w:r>
          </w:p>
          <w:p w14:paraId="1F5EA21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0C7CCF6E"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szCs w:val="20"/>
                <w:lang w:val="en-GB"/>
              </w:rPr>
              <w:t>Max=2.1</w:t>
            </w:r>
          </w:p>
        </w:tc>
        <w:tc>
          <w:tcPr>
            <w:tcW w:w="712" w:type="pct"/>
            <w:tcBorders>
              <w:top w:val="nil"/>
              <w:bottom w:val="single" w:sz="4" w:space="0" w:color="auto"/>
            </w:tcBorders>
            <w:vAlign w:val="center"/>
          </w:tcPr>
          <w:p w14:paraId="2B2E739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1.2</w:t>
            </w:r>
          </w:p>
          <w:p w14:paraId="301576B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σ=0.16</w:t>
            </w:r>
          </w:p>
          <w:p w14:paraId="42793FC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4090663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nil"/>
              <w:bottom w:val="single" w:sz="4" w:space="0" w:color="auto"/>
            </w:tcBorders>
            <w:vAlign w:val="center"/>
          </w:tcPr>
          <w:p w14:paraId="7EAE63A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0331304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σ=0.17</w:t>
            </w:r>
          </w:p>
          <w:p w14:paraId="111588A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02275FD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4" w:type="pct"/>
            <w:tcBorders>
              <w:top w:val="nil"/>
              <w:bottom w:val="single" w:sz="4" w:space="0" w:color="auto"/>
              <w:right w:val="single" w:sz="4" w:space="0" w:color="auto"/>
            </w:tcBorders>
            <w:vAlign w:val="center"/>
          </w:tcPr>
          <w:p w14:paraId="3B953D7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1.3</w:t>
            </w:r>
          </w:p>
          <w:p w14:paraId="676396B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w:t>
            </w:r>
          </w:p>
          <w:p w14:paraId="729A83F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2CC644A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r w:rsidR="00A2171C" w:rsidRPr="00A2171C" w14:paraId="02C12055" w14:textId="77777777" w:rsidTr="002252C6">
        <w:trPr>
          <w:trHeight w:val="20"/>
          <w:jc w:val="center"/>
        </w:trPr>
        <w:tc>
          <w:tcPr>
            <w:tcW w:w="494" w:type="pct"/>
            <w:vMerge w:val="restart"/>
            <w:tcBorders>
              <w:top w:val="single" w:sz="4" w:space="0" w:color="auto"/>
              <w:left w:val="single" w:sz="4" w:space="0" w:color="auto"/>
            </w:tcBorders>
            <w:shd w:val="clear" w:color="auto" w:fill="D9D9D9" w:themeFill="background1" w:themeFillShade="D9"/>
            <w:textDirection w:val="btLr"/>
            <w:vAlign w:val="center"/>
          </w:tcPr>
          <w:p w14:paraId="50AD87E1" w14:textId="77777777" w:rsidR="006C1055" w:rsidRPr="00A2171C" w:rsidRDefault="006C1055" w:rsidP="002252C6">
            <w:pPr>
              <w:spacing w:after="0" w:line="240" w:lineRule="auto"/>
              <w:ind w:left="113" w:right="113"/>
              <w:jc w:val="center"/>
              <w:rPr>
                <w:rFonts w:eastAsia="Times New Roman" w:cs="Times New Roman"/>
                <w:b/>
                <w:bCs/>
                <w:szCs w:val="20"/>
                <w:lang w:val="en-GB"/>
              </w:rPr>
            </w:pPr>
            <w:r w:rsidRPr="00A2171C">
              <w:rPr>
                <w:rFonts w:eastAsia="Times New Roman" w:cs="Times New Roman"/>
                <w:b/>
                <w:bCs/>
                <w:szCs w:val="20"/>
                <w:lang w:val="en-GB"/>
              </w:rPr>
              <w:t>Architectural styles and typologies</w:t>
            </w:r>
          </w:p>
        </w:tc>
        <w:tc>
          <w:tcPr>
            <w:tcW w:w="848" w:type="pct"/>
            <w:tcBorders>
              <w:top w:val="single" w:sz="4" w:space="0" w:color="auto"/>
              <w:bottom w:val="nil"/>
              <w:right w:val="single" w:sz="4" w:space="0" w:color="auto"/>
            </w:tcBorders>
            <w:shd w:val="clear" w:color="auto" w:fill="auto"/>
            <w:vAlign w:val="center"/>
          </w:tcPr>
          <w:p w14:paraId="2C429589" w14:textId="77777777" w:rsidR="006C1055" w:rsidRPr="00A2171C" w:rsidRDefault="006C1055" w:rsidP="002252C6">
            <w:pPr>
              <w:spacing w:after="0" w:line="240" w:lineRule="auto"/>
              <w:jc w:val="right"/>
              <w:rPr>
                <w:rFonts w:eastAsia="Times New Roman" w:cs="Times New Roman"/>
                <w:szCs w:val="20"/>
                <w:lang w:val="it-IT"/>
              </w:rPr>
            </w:pPr>
            <w:r w:rsidRPr="00A2171C">
              <w:rPr>
                <w:rFonts w:eastAsia="Times New Roman" w:cs="Times New Roman"/>
                <w:szCs w:val="20"/>
                <w:lang w:val="it-IT"/>
              </w:rPr>
              <w:t>CL&amp;Va lots</w:t>
            </w:r>
          </w:p>
          <w:p w14:paraId="116F7799" w14:textId="77777777" w:rsidR="006C1055" w:rsidRPr="00A2171C" w:rsidRDefault="006C1055" w:rsidP="002252C6">
            <w:pPr>
              <w:spacing w:after="0" w:line="240" w:lineRule="auto"/>
              <w:jc w:val="right"/>
              <w:rPr>
                <w:rFonts w:eastAsia="Times New Roman" w:cs="Times New Roman"/>
                <w:szCs w:val="20"/>
                <w:lang w:val="it-IT"/>
              </w:rPr>
            </w:pPr>
          </w:p>
          <w:p w14:paraId="7C4BDF5A" w14:textId="77777777" w:rsidR="006C1055" w:rsidRPr="00A2171C" w:rsidRDefault="006C1055" w:rsidP="002252C6">
            <w:pPr>
              <w:spacing w:after="0" w:line="240" w:lineRule="auto"/>
              <w:jc w:val="right"/>
              <w:rPr>
                <w:rFonts w:eastAsia="Times New Roman" w:cs="Times New Roman"/>
                <w:szCs w:val="20"/>
                <w:lang w:val="it-IT"/>
              </w:rPr>
            </w:pPr>
          </w:p>
          <w:p w14:paraId="05C4776F"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single" w:sz="4" w:space="0" w:color="auto"/>
              <w:left w:val="single" w:sz="4" w:space="0" w:color="auto"/>
              <w:bottom w:val="nil"/>
            </w:tcBorders>
            <w:vAlign w:val="center"/>
          </w:tcPr>
          <w:p w14:paraId="5D269AFD"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2D14C88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σ=0.14</w:t>
            </w:r>
          </w:p>
          <w:p w14:paraId="115ED7F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Min=1.12</w:t>
            </w:r>
          </w:p>
          <w:p w14:paraId="7E8FD32D"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single" w:sz="4" w:space="0" w:color="auto"/>
              <w:bottom w:val="nil"/>
            </w:tcBorders>
            <w:vAlign w:val="center"/>
          </w:tcPr>
          <w:p w14:paraId="6EA56B3E"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szCs w:val="20"/>
                <w:lang w:val="en-GB"/>
              </w:rPr>
              <w:t>1.8</w:t>
            </w:r>
          </w:p>
          <w:p w14:paraId="5B101A2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σ=0.13</w:t>
            </w:r>
          </w:p>
          <w:p w14:paraId="13C7B13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6EE6788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2" w:type="pct"/>
            <w:tcBorders>
              <w:top w:val="single" w:sz="4" w:space="0" w:color="auto"/>
              <w:bottom w:val="nil"/>
            </w:tcBorders>
            <w:vAlign w:val="center"/>
          </w:tcPr>
          <w:p w14:paraId="1AAA9BF3"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1E2D891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σ=0.14</w:t>
            </w:r>
          </w:p>
          <w:p w14:paraId="53F088E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4DC0C81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single" w:sz="4" w:space="0" w:color="auto"/>
              <w:bottom w:val="nil"/>
            </w:tcBorders>
            <w:vAlign w:val="center"/>
          </w:tcPr>
          <w:p w14:paraId="77C8900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6449C0B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σ=0.17</w:t>
            </w:r>
          </w:p>
          <w:p w14:paraId="7C742A6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0F8B115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4" w:type="pct"/>
            <w:tcBorders>
              <w:top w:val="single" w:sz="4" w:space="0" w:color="auto"/>
              <w:bottom w:val="nil"/>
              <w:right w:val="single" w:sz="4" w:space="0" w:color="auto"/>
            </w:tcBorders>
            <w:vAlign w:val="center"/>
          </w:tcPr>
          <w:p w14:paraId="6525670F"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66EFA19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w:t>
            </w:r>
          </w:p>
          <w:p w14:paraId="1216C9F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0F4FC83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r w:rsidR="00A2171C" w:rsidRPr="00A2171C" w14:paraId="299AF15B" w14:textId="77777777" w:rsidTr="002252C6">
        <w:trPr>
          <w:trHeight w:val="20"/>
          <w:jc w:val="center"/>
        </w:trPr>
        <w:tc>
          <w:tcPr>
            <w:tcW w:w="494" w:type="pct"/>
            <w:vMerge/>
            <w:tcBorders>
              <w:left w:val="single" w:sz="4" w:space="0" w:color="auto"/>
            </w:tcBorders>
            <w:shd w:val="clear" w:color="auto" w:fill="D9D9D9" w:themeFill="background1" w:themeFillShade="D9"/>
            <w:vAlign w:val="center"/>
          </w:tcPr>
          <w:p w14:paraId="46020664" w14:textId="77777777" w:rsidR="006C1055" w:rsidRPr="00A2171C" w:rsidRDefault="006C1055" w:rsidP="002252C6">
            <w:pPr>
              <w:spacing w:after="0" w:line="240" w:lineRule="auto"/>
              <w:jc w:val="right"/>
              <w:rPr>
                <w:rFonts w:eastAsia="Times New Roman" w:cs="Times New Roman"/>
                <w:b/>
                <w:bCs/>
                <w:szCs w:val="20"/>
                <w:lang w:val="en-GB"/>
              </w:rPr>
            </w:pPr>
          </w:p>
        </w:tc>
        <w:tc>
          <w:tcPr>
            <w:tcW w:w="848" w:type="pct"/>
            <w:tcBorders>
              <w:top w:val="nil"/>
              <w:bottom w:val="nil"/>
              <w:right w:val="single" w:sz="4" w:space="0" w:color="auto"/>
            </w:tcBorders>
            <w:shd w:val="clear" w:color="auto" w:fill="auto"/>
            <w:vAlign w:val="center"/>
          </w:tcPr>
          <w:p w14:paraId="56BBF5EF"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CD lots</w:t>
            </w:r>
          </w:p>
          <w:p w14:paraId="03D6A6DF" w14:textId="77777777" w:rsidR="006C1055" w:rsidRPr="00A2171C" w:rsidRDefault="006C1055" w:rsidP="002252C6">
            <w:pPr>
              <w:spacing w:after="0" w:line="240" w:lineRule="auto"/>
              <w:jc w:val="right"/>
              <w:rPr>
                <w:rFonts w:eastAsia="Times New Roman" w:cs="Times New Roman"/>
                <w:szCs w:val="20"/>
                <w:lang w:val="en-GB"/>
              </w:rPr>
            </w:pPr>
          </w:p>
          <w:p w14:paraId="5CCC72B4" w14:textId="77777777" w:rsidR="006C1055" w:rsidRPr="00A2171C" w:rsidRDefault="006C1055" w:rsidP="002252C6">
            <w:pPr>
              <w:spacing w:after="0" w:line="240" w:lineRule="auto"/>
              <w:jc w:val="right"/>
              <w:rPr>
                <w:rFonts w:eastAsia="Times New Roman" w:cs="Times New Roman"/>
                <w:szCs w:val="20"/>
                <w:lang w:val="en-GB"/>
              </w:rPr>
            </w:pPr>
          </w:p>
          <w:p w14:paraId="2A595E59"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418558F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33B202D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σ=0.156</w:t>
            </w:r>
          </w:p>
          <w:p w14:paraId="4F24FF6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Min=1.06</w:t>
            </w:r>
          </w:p>
          <w:p w14:paraId="5965E1F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349A7D4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1.6</w:t>
            </w:r>
          </w:p>
          <w:p w14:paraId="25C4B74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σ=0.112</w:t>
            </w:r>
          </w:p>
          <w:p w14:paraId="06B7F84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Min=1.6</w:t>
            </w:r>
          </w:p>
          <w:p w14:paraId="5ABBD12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Max=2.1</w:t>
            </w:r>
          </w:p>
        </w:tc>
        <w:tc>
          <w:tcPr>
            <w:tcW w:w="712" w:type="pct"/>
            <w:tcBorders>
              <w:top w:val="nil"/>
              <w:bottom w:val="nil"/>
            </w:tcBorders>
            <w:vAlign w:val="center"/>
          </w:tcPr>
          <w:p w14:paraId="72544C9D"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1.2</w:t>
            </w:r>
          </w:p>
          <w:p w14:paraId="270C15C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σ=0.078</w:t>
            </w:r>
          </w:p>
          <w:p w14:paraId="15AB443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6663AC5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nil"/>
              <w:bottom w:val="nil"/>
            </w:tcBorders>
            <w:vAlign w:val="center"/>
          </w:tcPr>
          <w:p w14:paraId="18D6993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7BBF804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σ=0.167</w:t>
            </w:r>
          </w:p>
          <w:p w14:paraId="7CA92CA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0124306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4" w:type="pct"/>
            <w:tcBorders>
              <w:top w:val="nil"/>
              <w:bottom w:val="nil"/>
              <w:right w:val="single" w:sz="4" w:space="0" w:color="auto"/>
            </w:tcBorders>
            <w:vAlign w:val="center"/>
          </w:tcPr>
          <w:p w14:paraId="6460EE5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1.3</w:t>
            </w:r>
          </w:p>
          <w:p w14:paraId="75A4C8D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σ=0.062</w:t>
            </w:r>
          </w:p>
          <w:p w14:paraId="4DBAA73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0CAED12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r w:rsidR="00A2171C" w:rsidRPr="00A2171C" w14:paraId="58A06B44" w14:textId="77777777" w:rsidTr="002252C6">
        <w:trPr>
          <w:trHeight w:val="20"/>
          <w:jc w:val="center"/>
        </w:trPr>
        <w:tc>
          <w:tcPr>
            <w:tcW w:w="494" w:type="pct"/>
            <w:vMerge/>
            <w:tcBorders>
              <w:left w:val="single" w:sz="4" w:space="0" w:color="auto"/>
            </w:tcBorders>
            <w:shd w:val="clear" w:color="auto" w:fill="D9D9D9" w:themeFill="background1" w:themeFillShade="D9"/>
            <w:vAlign w:val="center"/>
          </w:tcPr>
          <w:p w14:paraId="3829F345" w14:textId="77777777" w:rsidR="006C1055" w:rsidRPr="00A2171C" w:rsidRDefault="006C1055" w:rsidP="002252C6">
            <w:pPr>
              <w:spacing w:after="0" w:line="240" w:lineRule="auto"/>
              <w:jc w:val="right"/>
              <w:rPr>
                <w:rFonts w:eastAsia="Times New Roman" w:cs="Times New Roman"/>
                <w:b/>
                <w:bCs/>
                <w:szCs w:val="20"/>
                <w:lang w:val="en-GB"/>
              </w:rPr>
            </w:pPr>
          </w:p>
        </w:tc>
        <w:tc>
          <w:tcPr>
            <w:tcW w:w="848" w:type="pct"/>
            <w:tcBorders>
              <w:top w:val="nil"/>
              <w:bottom w:val="nil"/>
              <w:right w:val="single" w:sz="4" w:space="0" w:color="auto"/>
            </w:tcBorders>
            <w:shd w:val="clear" w:color="auto" w:fill="auto"/>
            <w:vAlign w:val="center"/>
          </w:tcPr>
          <w:p w14:paraId="3C667549"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1-storey</w:t>
            </w:r>
          </w:p>
          <w:p w14:paraId="41AE357B" w14:textId="77777777" w:rsidR="006C1055" w:rsidRPr="00A2171C" w:rsidRDefault="006C1055" w:rsidP="002252C6">
            <w:pPr>
              <w:spacing w:after="0" w:line="240" w:lineRule="auto"/>
              <w:jc w:val="right"/>
              <w:rPr>
                <w:rFonts w:eastAsia="Times New Roman" w:cs="Times New Roman"/>
                <w:szCs w:val="20"/>
                <w:lang w:val="en-GB"/>
              </w:rPr>
            </w:pPr>
          </w:p>
          <w:p w14:paraId="53467FDB" w14:textId="77777777" w:rsidR="006C1055" w:rsidRPr="00A2171C" w:rsidRDefault="006C1055" w:rsidP="002252C6">
            <w:pPr>
              <w:spacing w:after="0" w:line="240" w:lineRule="auto"/>
              <w:jc w:val="right"/>
              <w:rPr>
                <w:rFonts w:eastAsia="Times New Roman" w:cs="Times New Roman"/>
                <w:szCs w:val="20"/>
                <w:lang w:val="en-GB"/>
              </w:rPr>
            </w:pPr>
          </w:p>
          <w:p w14:paraId="52A3DC09"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733D193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09FC311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σ=0.137</w:t>
            </w:r>
          </w:p>
          <w:p w14:paraId="2AF2F89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Min=1.12</w:t>
            </w:r>
          </w:p>
          <w:p w14:paraId="4636D70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40E2EC4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1.6</w:t>
            </w:r>
          </w:p>
          <w:p w14:paraId="5C8FFC8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σ=0.116</w:t>
            </w:r>
          </w:p>
          <w:p w14:paraId="1AD75D2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Min=1.3</w:t>
            </w:r>
          </w:p>
          <w:p w14:paraId="531D44A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2" w:type="pct"/>
            <w:tcBorders>
              <w:top w:val="nil"/>
              <w:bottom w:val="nil"/>
            </w:tcBorders>
            <w:vAlign w:val="center"/>
          </w:tcPr>
          <w:p w14:paraId="24E0CB2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1.2</w:t>
            </w:r>
          </w:p>
          <w:p w14:paraId="5EDEB8B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σ=0.140</w:t>
            </w:r>
          </w:p>
          <w:p w14:paraId="21610FA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23A19AD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nil"/>
              <w:bottom w:val="nil"/>
            </w:tcBorders>
            <w:vAlign w:val="center"/>
          </w:tcPr>
          <w:p w14:paraId="09BCD2B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2BEB7B7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σ=0.181</w:t>
            </w:r>
          </w:p>
          <w:p w14:paraId="03EC295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Min=0.5</w:t>
            </w:r>
          </w:p>
          <w:p w14:paraId="15FA0542"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4" w:type="pct"/>
            <w:tcBorders>
              <w:top w:val="nil"/>
              <w:bottom w:val="nil"/>
              <w:right w:val="single" w:sz="4" w:space="0" w:color="auto"/>
            </w:tcBorders>
            <w:vAlign w:val="center"/>
          </w:tcPr>
          <w:p w14:paraId="33A87FF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1.3</w:t>
            </w:r>
          </w:p>
          <w:p w14:paraId="6242933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σ=0.081</w:t>
            </w:r>
          </w:p>
          <w:p w14:paraId="2F16159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7D48458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r w:rsidR="00A2171C" w:rsidRPr="00A2171C" w14:paraId="1F2FA505" w14:textId="77777777" w:rsidTr="002252C6">
        <w:trPr>
          <w:trHeight w:val="20"/>
          <w:jc w:val="center"/>
        </w:trPr>
        <w:tc>
          <w:tcPr>
            <w:tcW w:w="494" w:type="pct"/>
            <w:vMerge/>
            <w:tcBorders>
              <w:left w:val="single" w:sz="4" w:space="0" w:color="auto"/>
            </w:tcBorders>
            <w:shd w:val="clear" w:color="auto" w:fill="D9D9D9" w:themeFill="background1" w:themeFillShade="D9"/>
          </w:tcPr>
          <w:p w14:paraId="1D3FE918" w14:textId="77777777" w:rsidR="006C1055" w:rsidRPr="00A2171C" w:rsidRDefault="006C1055" w:rsidP="002252C6">
            <w:pPr>
              <w:spacing w:after="0" w:line="240" w:lineRule="auto"/>
              <w:jc w:val="right"/>
              <w:rPr>
                <w:rFonts w:eastAsia="Times New Roman" w:cs="Times New Roman"/>
                <w:b/>
                <w:bCs/>
                <w:szCs w:val="20"/>
                <w:lang w:val="en-GB"/>
              </w:rPr>
            </w:pPr>
          </w:p>
        </w:tc>
        <w:tc>
          <w:tcPr>
            <w:tcW w:w="848" w:type="pct"/>
            <w:tcBorders>
              <w:top w:val="nil"/>
              <w:bottom w:val="nil"/>
              <w:right w:val="single" w:sz="4" w:space="0" w:color="auto"/>
            </w:tcBorders>
            <w:shd w:val="clear" w:color="auto" w:fill="auto"/>
            <w:vAlign w:val="center"/>
          </w:tcPr>
          <w:p w14:paraId="37DE0BF2"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 2storey</w:t>
            </w:r>
          </w:p>
          <w:p w14:paraId="5C7D0EAA" w14:textId="77777777" w:rsidR="006C1055" w:rsidRPr="00A2171C" w:rsidRDefault="006C1055" w:rsidP="002252C6">
            <w:pPr>
              <w:spacing w:after="0" w:line="240" w:lineRule="auto"/>
              <w:jc w:val="right"/>
              <w:rPr>
                <w:rFonts w:eastAsia="Times New Roman" w:cs="Times New Roman"/>
                <w:szCs w:val="20"/>
                <w:lang w:val="en-GB"/>
              </w:rPr>
            </w:pPr>
          </w:p>
          <w:p w14:paraId="44A88219" w14:textId="77777777" w:rsidR="006C1055" w:rsidRPr="00A2171C" w:rsidRDefault="006C1055" w:rsidP="002252C6">
            <w:pPr>
              <w:spacing w:after="0" w:line="240" w:lineRule="auto"/>
              <w:jc w:val="right"/>
              <w:rPr>
                <w:rFonts w:eastAsia="Times New Roman" w:cs="Times New Roman"/>
                <w:szCs w:val="20"/>
                <w:lang w:val="en-GB"/>
              </w:rPr>
            </w:pPr>
          </w:p>
          <w:p w14:paraId="0F93D9F8"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361DAD4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2B8C45E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σ=0.159</w:t>
            </w:r>
          </w:p>
          <w:p w14:paraId="3F622D4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Min=1.06</w:t>
            </w:r>
          </w:p>
          <w:p w14:paraId="346F8A0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36101AB2"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1.8</w:t>
            </w:r>
          </w:p>
          <w:p w14:paraId="22DCEFD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σ=0.111</w:t>
            </w:r>
          </w:p>
          <w:p w14:paraId="10E8CD8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Min=1.6</w:t>
            </w:r>
          </w:p>
          <w:p w14:paraId="4E21EBD7"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szCs w:val="20"/>
                <w:lang w:val="en-GB"/>
              </w:rPr>
              <w:t>Max=2.1</w:t>
            </w:r>
          </w:p>
        </w:tc>
        <w:tc>
          <w:tcPr>
            <w:tcW w:w="712" w:type="pct"/>
            <w:tcBorders>
              <w:top w:val="nil"/>
              <w:bottom w:val="nil"/>
            </w:tcBorders>
            <w:vAlign w:val="center"/>
          </w:tcPr>
          <w:p w14:paraId="0661869A"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6675803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σ=0.079</w:t>
            </w:r>
          </w:p>
          <w:p w14:paraId="44C46F4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3EEE0AED"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szCs w:val="20"/>
                <w:lang w:val="en-GB"/>
              </w:rPr>
              <w:t>Max=1.9</w:t>
            </w:r>
          </w:p>
        </w:tc>
        <w:tc>
          <w:tcPr>
            <w:tcW w:w="712" w:type="pct"/>
            <w:tcBorders>
              <w:top w:val="nil"/>
              <w:bottom w:val="nil"/>
            </w:tcBorders>
            <w:vAlign w:val="center"/>
          </w:tcPr>
          <w:p w14:paraId="4D2603E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4670C50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σ=0.172</w:t>
            </w:r>
          </w:p>
          <w:p w14:paraId="6F429C8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697B560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4" w:type="pct"/>
            <w:tcBorders>
              <w:top w:val="nil"/>
              <w:bottom w:val="nil"/>
              <w:right w:val="single" w:sz="4" w:space="0" w:color="auto"/>
            </w:tcBorders>
            <w:vAlign w:val="center"/>
          </w:tcPr>
          <w:p w14:paraId="3BA06845"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13CCE01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σ=0.068</w:t>
            </w:r>
          </w:p>
          <w:p w14:paraId="35BE38C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5D945938"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szCs w:val="20"/>
                <w:lang w:val="en-GB"/>
              </w:rPr>
              <w:t>Max=1.6</w:t>
            </w:r>
          </w:p>
        </w:tc>
      </w:tr>
      <w:tr w:rsidR="00A2171C" w:rsidRPr="00A2171C" w14:paraId="717FC6CB" w14:textId="77777777" w:rsidTr="002252C6">
        <w:trPr>
          <w:trHeight w:val="20"/>
          <w:jc w:val="center"/>
        </w:trPr>
        <w:tc>
          <w:tcPr>
            <w:tcW w:w="494" w:type="pct"/>
            <w:vMerge/>
            <w:tcBorders>
              <w:left w:val="single" w:sz="4" w:space="0" w:color="auto"/>
            </w:tcBorders>
            <w:shd w:val="clear" w:color="auto" w:fill="D9D9D9" w:themeFill="background1" w:themeFillShade="D9"/>
            <w:vAlign w:val="center"/>
          </w:tcPr>
          <w:p w14:paraId="01DA64F8" w14:textId="77777777" w:rsidR="006C1055" w:rsidRPr="00A2171C" w:rsidRDefault="006C1055" w:rsidP="002252C6">
            <w:pPr>
              <w:spacing w:after="0" w:line="240" w:lineRule="auto"/>
              <w:jc w:val="right"/>
              <w:rPr>
                <w:rFonts w:eastAsia="Times New Roman" w:cs="Times New Roman"/>
                <w:b/>
                <w:bCs/>
                <w:szCs w:val="20"/>
                <w:lang w:val="en-GB"/>
              </w:rPr>
            </w:pPr>
          </w:p>
        </w:tc>
        <w:tc>
          <w:tcPr>
            <w:tcW w:w="848" w:type="pct"/>
            <w:tcBorders>
              <w:top w:val="nil"/>
              <w:bottom w:val="nil"/>
              <w:right w:val="single" w:sz="4" w:space="0" w:color="auto"/>
            </w:tcBorders>
            <w:shd w:val="clear" w:color="auto" w:fill="auto"/>
            <w:vAlign w:val="center"/>
          </w:tcPr>
          <w:p w14:paraId="326041C1"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Non-crowded</w:t>
            </w:r>
          </w:p>
          <w:p w14:paraId="31C763C8" w14:textId="77777777" w:rsidR="006C1055" w:rsidRPr="00A2171C" w:rsidRDefault="006C1055" w:rsidP="002252C6">
            <w:pPr>
              <w:spacing w:after="0" w:line="240" w:lineRule="auto"/>
              <w:jc w:val="right"/>
              <w:rPr>
                <w:rFonts w:eastAsia="Times New Roman" w:cs="Times New Roman"/>
                <w:szCs w:val="20"/>
                <w:lang w:val="en-GB"/>
              </w:rPr>
            </w:pPr>
          </w:p>
          <w:p w14:paraId="494BB1E5"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77F4678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1.47</w:t>
            </w:r>
          </w:p>
          <w:p w14:paraId="7635390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σ=0.102</w:t>
            </w:r>
          </w:p>
          <w:p w14:paraId="72D9B35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Min=1.14</w:t>
            </w:r>
          </w:p>
          <w:p w14:paraId="24C2A6F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5A8C23C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1.6</w:t>
            </w:r>
          </w:p>
          <w:p w14:paraId="4D455F2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σ=0.130</w:t>
            </w:r>
          </w:p>
          <w:p w14:paraId="796087E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Min=1.3</w:t>
            </w:r>
          </w:p>
          <w:p w14:paraId="0749905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2" w:type="pct"/>
            <w:tcBorders>
              <w:top w:val="nil"/>
              <w:bottom w:val="nil"/>
            </w:tcBorders>
            <w:vAlign w:val="center"/>
          </w:tcPr>
          <w:p w14:paraId="2C34208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1.2</w:t>
            </w:r>
          </w:p>
          <w:p w14:paraId="66D054E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σ=0.086</w:t>
            </w:r>
          </w:p>
          <w:p w14:paraId="6155D97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35838E6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Max=1.7</w:t>
            </w:r>
          </w:p>
        </w:tc>
        <w:tc>
          <w:tcPr>
            <w:tcW w:w="712" w:type="pct"/>
            <w:tcBorders>
              <w:top w:val="nil"/>
              <w:bottom w:val="nil"/>
            </w:tcBorders>
            <w:vAlign w:val="center"/>
          </w:tcPr>
          <w:p w14:paraId="12FA004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1BE9398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σ=0.164</w:t>
            </w:r>
          </w:p>
          <w:p w14:paraId="5D50971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77C0CC7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4" w:type="pct"/>
            <w:tcBorders>
              <w:top w:val="nil"/>
              <w:bottom w:val="nil"/>
              <w:right w:val="single" w:sz="4" w:space="0" w:color="auto"/>
            </w:tcBorders>
            <w:vAlign w:val="center"/>
          </w:tcPr>
          <w:p w14:paraId="3A70777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1.3</w:t>
            </w:r>
          </w:p>
          <w:p w14:paraId="07A3539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σ=0.068</w:t>
            </w:r>
          </w:p>
          <w:p w14:paraId="1FCB89E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5E760A8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r w:rsidR="00A2171C" w:rsidRPr="00A2171C" w14:paraId="3B24E02F" w14:textId="77777777" w:rsidTr="002252C6">
        <w:trPr>
          <w:trHeight w:val="20"/>
          <w:jc w:val="center"/>
        </w:trPr>
        <w:tc>
          <w:tcPr>
            <w:tcW w:w="494" w:type="pct"/>
            <w:vMerge/>
            <w:tcBorders>
              <w:left w:val="single" w:sz="4" w:space="0" w:color="auto"/>
            </w:tcBorders>
            <w:shd w:val="clear" w:color="auto" w:fill="D9D9D9" w:themeFill="background1" w:themeFillShade="D9"/>
          </w:tcPr>
          <w:p w14:paraId="4DFA5873" w14:textId="77777777" w:rsidR="006C1055" w:rsidRPr="00A2171C" w:rsidRDefault="006C1055" w:rsidP="002252C6">
            <w:pPr>
              <w:spacing w:after="0" w:line="240" w:lineRule="auto"/>
              <w:jc w:val="center"/>
              <w:rPr>
                <w:rFonts w:eastAsia="Times New Roman" w:cs="Times New Roman"/>
                <w:szCs w:val="20"/>
                <w:lang w:val="en-GB"/>
              </w:rPr>
            </w:pPr>
          </w:p>
        </w:tc>
        <w:tc>
          <w:tcPr>
            <w:tcW w:w="848" w:type="pct"/>
            <w:tcBorders>
              <w:top w:val="nil"/>
              <w:bottom w:val="nil"/>
              <w:right w:val="single" w:sz="4" w:space="0" w:color="auto"/>
            </w:tcBorders>
            <w:shd w:val="clear" w:color="auto" w:fill="auto"/>
            <w:vAlign w:val="center"/>
          </w:tcPr>
          <w:p w14:paraId="1820139D"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Crowded</w:t>
            </w:r>
          </w:p>
          <w:p w14:paraId="219D2DBA" w14:textId="77777777" w:rsidR="006C1055" w:rsidRPr="00A2171C" w:rsidRDefault="006C1055" w:rsidP="002252C6">
            <w:pPr>
              <w:spacing w:after="0" w:line="240" w:lineRule="auto"/>
              <w:jc w:val="right"/>
              <w:rPr>
                <w:rFonts w:eastAsia="Times New Roman" w:cs="Times New Roman"/>
                <w:szCs w:val="20"/>
                <w:lang w:val="en-GB"/>
              </w:rPr>
            </w:pPr>
          </w:p>
          <w:p w14:paraId="25EFFB2F" w14:textId="77777777" w:rsidR="006C1055" w:rsidRPr="00A2171C" w:rsidRDefault="006C1055" w:rsidP="002252C6">
            <w:pPr>
              <w:spacing w:after="0" w:line="240" w:lineRule="auto"/>
              <w:jc w:val="right"/>
              <w:rPr>
                <w:rFonts w:eastAsia="Times New Roman" w:cs="Times New Roman"/>
                <w:szCs w:val="20"/>
                <w:lang w:val="en-GB"/>
              </w:rPr>
            </w:pPr>
          </w:p>
          <w:p w14:paraId="0283FFE9"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1CFD4C3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1.53</w:t>
            </w:r>
          </w:p>
          <w:p w14:paraId="3C6180C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σ=0.153</w:t>
            </w:r>
          </w:p>
          <w:p w14:paraId="0396E00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Min=1.06</w:t>
            </w:r>
          </w:p>
          <w:p w14:paraId="4E1D8F8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5F17710D"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1.8</w:t>
            </w:r>
          </w:p>
          <w:p w14:paraId="2158DF1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σ=0.131</w:t>
            </w:r>
          </w:p>
          <w:p w14:paraId="6973F16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Min=1.3</w:t>
            </w:r>
          </w:p>
          <w:p w14:paraId="20014AD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Max=2.1</w:t>
            </w:r>
          </w:p>
        </w:tc>
        <w:tc>
          <w:tcPr>
            <w:tcW w:w="712" w:type="pct"/>
            <w:tcBorders>
              <w:top w:val="nil"/>
              <w:bottom w:val="nil"/>
            </w:tcBorders>
            <w:vAlign w:val="center"/>
          </w:tcPr>
          <w:p w14:paraId="6CA12A6A"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7DE51E9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σ=0.141</w:t>
            </w:r>
          </w:p>
          <w:p w14:paraId="59D2767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7A17B2A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nil"/>
              <w:bottom w:val="nil"/>
            </w:tcBorders>
            <w:vAlign w:val="center"/>
          </w:tcPr>
          <w:p w14:paraId="7A2EBC4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w:t>
            </w:r>
          </w:p>
          <w:p w14:paraId="6DFA3F1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σ=0.180</w:t>
            </w:r>
          </w:p>
          <w:p w14:paraId="345452D1"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Min=0.5</w:t>
            </w:r>
          </w:p>
          <w:p w14:paraId="21F9EB9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Max=2.0</w:t>
            </w:r>
          </w:p>
        </w:tc>
        <w:tc>
          <w:tcPr>
            <w:tcW w:w="714" w:type="pct"/>
            <w:tcBorders>
              <w:top w:val="nil"/>
              <w:bottom w:val="nil"/>
              <w:right w:val="single" w:sz="4" w:space="0" w:color="auto"/>
            </w:tcBorders>
            <w:vAlign w:val="center"/>
          </w:tcPr>
          <w:p w14:paraId="0BCF4377" w14:textId="77777777" w:rsidR="006C1055" w:rsidRPr="00A2171C" w:rsidRDefault="006C1055" w:rsidP="002252C6">
            <w:pPr>
              <w:spacing w:after="0" w:line="240" w:lineRule="auto"/>
              <w:jc w:val="center"/>
              <w:rPr>
                <w:rFonts w:eastAsia="Times New Roman" w:cs="Times New Roman"/>
                <w:bCs/>
                <w:szCs w:val="20"/>
                <w:lang w:val="en-GB"/>
              </w:rPr>
            </w:pPr>
            <w:r w:rsidRPr="00A2171C">
              <w:rPr>
                <w:rFonts w:eastAsia="Times New Roman" w:cs="Times New Roman"/>
                <w:bCs/>
                <w:szCs w:val="20"/>
                <w:lang w:val="en-GB"/>
              </w:rPr>
              <w:t>1.3</w:t>
            </w:r>
          </w:p>
          <w:p w14:paraId="295BF6A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σ=0.080</w:t>
            </w:r>
          </w:p>
          <w:p w14:paraId="48118CDA"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64556587" w14:textId="77777777" w:rsidR="006C1055" w:rsidRPr="00A2171C" w:rsidRDefault="006C1055" w:rsidP="002252C6">
            <w:pPr>
              <w:spacing w:after="0" w:line="240" w:lineRule="auto"/>
              <w:jc w:val="center"/>
              <w:rPr>
                <w:rFonts w:eastAsia="Times New Roman" w:cs="Times New Roman"/>
                <w:bCs/>
                <w:szCs w:val="20"/>
                <w:lang w:val="en-GB"/>
              </w:rPr>
            </w:pPr>
            <w:r w:rsidRPr="00A2171C">
              <w:rPr>
                <w:rFonts w:eastAsia="Times New Roman" w:cs="Times New Roman"/>
                <w:szCs w:val="20"/>
                <w:lang w:val="en-GB"/>
              </w:rPr>
              <w:t>Max=1.6</w:t>
            </w:r>
          </w:p>
        </w:tc>
      </w:tr>
      <w:tr w:rsidR="00A2171C" w:rsidRPr="00A2171C" w14:paraId="58A36981" w14:textId="77777777" w:rsidTr="002252C6">
        <w:trPr>
          <w:trHeight w:val="20"/>
          <w:jc w:val="center"/>
        </w:trPr>
        <w:tc>
          <w:tcPr>
            <w:tcW w:w="494" w:type="pct"/>
            <w:vMerge/>
            <w:tcBorders>
              <w:left w:val="single" w:sz="4" w:space="0" w:color="auto"/>
            </w:tcBorders>
            <w:shd w:val="clear" w:color="auto" w:fill="D9D9D9" w:themeFill="background1" w:themeFillShade="D9"/>
          </w:tcPr>
          <w:p w14:paraId="10B93362" w14:textId="77777777" w:rsidR="006C1055" w:rsidRPr="00A2171C" w:rsidRDefault="006C1055" w:rsidP="002252C6">
            <w:pPr>
              <w:spacing w:after="0" w:line="240" w:lineRule="auto"/>
              <w:jc w:val="center"/>
              <w:rPr>
                <w:rFonts w:eastAsia="Times New Roman" w:cs="Times New Roman"/>
                <w:szCs w:val="20"/>
                <w:lang w:val="en-GB"/>
              </w:rPr>
            </w:pPr>
          </w:p>
        </w:tc>
        <w:tc>
          <w:tcPr>
            <w:tcW w:w="848" w:type="pct"/>
            <w:tcBorders>
              <w:top w:val="nil"/>
              <w:bottom w:val="nil"/>
              <w:right w:val="single" w:sz="4" w:space="0" w:color="auto"/>
            </w:tcBorders>
            <w:shd w:val="clear" w:color="auto" w:fill="auto"/>
            <w:vAlign w:val="center"/>
          </w:tcPr>
          <w:p w14:paraId="2BF4F4F2"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Commercial</w:t>
            </w:r>
          </w:p>
          <w:p w14:paraId="6F65A02F" w14:textId="77777777" w:rsidR="006C1055" w:rsidRPr="00A2171C" w:rsidRDefault="006C1055" w:rsidP="002252C6">
            <w:pPr>
              <w:spacing w:after="0" w:line="240" w:lineRule="auto"/>
              <w:jc w:val="right"/>
              <w:rPr>
                <w:rFonts w:eastAsia="Times New Roman" w:cs="Times New Roman"/>
                <w:szCs w:val="20"/>
                <w:lang w:val="en-GB"/>
              </w:rPr>
            </w:pPr>
          </w:p>
          <w:p w14:paraId="28BF14BA" w14:textId="77777777" w:rsidR="006C1055" w:rsidRPr="00A2171C" w:rsidRDefault="006C1055" w:rsidP="002252C6">
            <w:pPr>
              <w:spacing w:after="0" w:line="240" w:lineRule="auto"/>
              <w:jc w:val="right"/>
              <w:rPr>
                <w:rFonts w:eastAsia="Times New Roman" w:cs="Times New Roman"/>
                <w:szCs w:val="20"/>
                <w:lang w:val="en-GB"/>
              </w:rPr>
            </w:pPr>
          </w:p>
          <w:p w14:paraId="458ADB8B"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nil"/>
            </w:tcBorders>
            <w:vAlign w:val="center"/>
          </w:tcPr>
          <w:p w14:paraId="7B153145"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1.66</w:t>
            </w:r>
          </w:p>
          <w:p w14:paraId="771012B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σ=0.153</w:t>
            </w:r>
          </w:p>
          <w:p w14:paraId="3EAB9B1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Min=1.25</w:t>
            </w:r>
          </w:p>
          <w:p w14:paraId="58690D94"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szCs w:val="20"/>
                <w:lang w:val="en-GB"/>
              </w:rPr>
              <w:t>Max=1.83</w:t>
            </w:r>
          </w:p>
        </w:tc>
        <w:tc>
          <w:tcPr>
            <w:tcW w:w="791" w:type="pct"/>
            <w:tcBorders>
              <w:top w:val="nil"/>
              <w:bottom w:val="nil"/>
            </w:tcBorders>
            <w:vAlign w:val="center"/>
          </w:tcPr>
          <w:p w14:paraId="513AD343"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szCs w:val="20"/>
                <w:lang w:val="en-GB"/>
              </w:rPr>
              <w:t>1.8</w:t>
            </w:r>
          </w:p>
          <w:p w14:paraId="58C78BC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σ=0.128</w:t>
            </w:r>
          </w:p>
          <w:p w14:paraId="7A4A345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0BC7191F"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szCs w:val="20"/>
                <w:lang w:val="en-GB"/>
              </w:rPr>
              <w:t>Max=2.0</w:t>
            </w:r>
          </w:p>
        </w:tc>
        <w:tc>
          <w:tcPr>
            <w:tcW w:w="712" w:type="pct"/>
            <w:tcBorders>
              <w:top w:val="nil"/>
              <w:bottom w:val="nil"/>
            </w:tcBorders>
            <w:vAlign w:val="center"/>
          </w:tcPr>
          <w:p w14:paraId="701B6531"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66060C1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σ=0.167</w:t>
            </w:r>
          </w:p>
          <w:p w14:paraId="110A17BC"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4B3D512D"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nil"/>
              <w:bottom w:val="nil"/>
            </w:tcBorders>
            <w:vAlign w:val="center"/>
          </w:tcPr>
          <w:p w14:paraId="0A6008F0"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1.6</w:t>
            </w:r>
          </w:p>
          <w:p w14:paraId="21438DA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σ=0.181</w:t>
            </w:r>
          </w:p>
          <w:p w14:paraId="379DBE1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39927FAD"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szCs w:val="20"/>
                <w:lang w:val="en-GB"/>
              </w:rPr>
              <w:t>Max=1.9</w:t>
            </w:r>
          </w:p>
        </w:tc>
        <w:tc>
          <w:tcPr>
            <w:tcW w:w="714" w:type="pct"/>
            <w:tcBorders>
              <w:top w:val="nil"/>
              <w:bottom w:val="nil"/>
              <w:right w:val="single" w:sz="4" w:space="0" w:color="auto"/>
            </w:tcBorders>
            <w:vAlign w:val="center"/>
          </w:tcPr>
          <w:p w14:paraId="4438EB56" w14:textId="77777777" w:rsidR="006C1055" w:rsidRPr="00A2171C" w:rsidRDefault="006C1055" w:rsidP="002252C6">
            <w:pPr>
              <w:spacing w:after="0" w:line="240" w:lineRule="auto"/>
              <w:jc w:val="center"/>
              <w:rPr>
                <w:rFonts w:eastAsia="Times New Roman" w:cs="Times New Roman"/>
                <w:b/>
                <w:szCs w:val="20"/>
                <w:lang w:val="en-GB"/>
              </w:rPr>
            </w:pPr>
            <w:r w:rsidRPr="00A2171C">
              <w:rPr>
                <w:rFonts w:eastAsia="Times New Roman" w:cs="Times New Roman"/>
                <w:b/>
                <w:szCs w:val="20"/>
                <w:lang w:val="en-GB"/>
              </w:rPr>
              <w:t>1.4</w:t>
            </w:r>
          </w:p>
          <w:p w14:paraId="56A913C3"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σ=0.090</w:t>
            </w:r>
          </w:p>
          <w:p w14:paraId="2F6811A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Min=1.1</w:t>
            </w:r>
          </w:p>
          <w:p w14:paraId="467A308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Max=1.5</w:t>
            </w:r>
          </w:p>
        </w:tc>
      </w:tr>
      <w:tr w:rsidR="00A2171C" w:rsidRPr="00A2171C" w14:paraId="76D85040" w14:textId="77777777" w:rsidTr="002252C6">
        <w:trPr>
          <w:trHeight w:val="20"/>
          <w:jc w:val="center"/>
        </w:trPr>
        <w:tc>
          <w:tcPr>
            <w:tcW w:w="494" w:type="pct"/>
            <w:vMerge/>
            <w:tcBorders>
              <w:left w:val="single" w:sz="4" w:space="0" w:color="auto"/>
            </w:tcBorders>
            <w:shd w:val="clear" w:color="auto" w:fill="D9D9D9" w:themeFill="background1" w:themeFillShade="D9"/>
          </w:tcPr>
          <w:p w14:paraId="10134CE3" w14:textId="77777777" w:rsidR="006C1055" w:rsidRPr="00A2171C" w:rsidRDefault="006C1055" w:rsidP="002252C6">
            <w:pPr>
              <w:spacing w:after="0" w:line="240" w:lineRule="auto"/>
              <w:jc w:val="center"/>
              <w:rPr>
                <w:rFonts w:eastAsia="Times New Roman" w:cs="Times New Roman"/>
                <w:szCs w:val="20"/>
                <w:lang w:val="en-GB"/>
              </w:rPr>
            </w:pPr>
          </w:p>
        </w:tc>
        <w:tc>
          <w:tcPr>
            <w:tcW w:w="848" w:type="pct"/>
            <w:tcBorders>
              <w:top w:val="nil"/>
              <w:bottom w:val="single" w:sz="4" w:space="0" w:color="auto"/>
              <w:right w:val="single" w:sz="4" w:space="0" w:color="auto"/>
            </w:tcBorders>
            <w:shd w:val="clear" w:color="auto" w:fill="auto"/>
            <w:vAlign w:val="center"/>
          </w:tcPr>
          <w:p w14:paraId="4F795DD5" w14:textId="77777777" w:rsidR="006C1055" w:rsidRPr="00A2171C" w:rsidRDefault="006C1055" w:rsidP="002252C6">
            <w:pPr>
              <w:spacing w:after="0" w:line="240" w:lineRule="auto"/>
              <w:jc w:val="right"/>
              <w:rPr>
                <w:rFonts w:eastAsia="Times New Roman" w:cs="Times New Roman"/>
                <w:szCs w:val="20"/>
                <w:lang w:val="en-GB"/>
              </w:rPr>
            </w:pPr>
            <w:r w:rsidRPr="00A2171C">
              <w:rPr>
                <w:rFonts w:eastAsia="Times New Roman" w:cs="Times New Roman"/>
                <w:szCs w:val="20"/>
                <w:lang w:val="en-GB"/>
              </w:rPr>
              <w:t>Empty</w:t>
            </w:r>
          </w:p>
          <w:p w14:paraId="7E118526" w14:textId="77777777" w:rsidR="006C1055" w:rsidRPr="00A2171C" w:rsidRDefault="006C1055" w:rsidP="002252C6">
            <w:pPr>
              <w:spacing w:after="0" w:line="240" w:lineRule="auto"/>
              <w:jc w:val="right"/>
              <w:rPr>
                <w:rFonts w:eastAsia="Times New Roman" w:cs="Times New Roman"/>
                <w:szCs w:val="20"/>
                <w:lang w:val="en-GB"/>
              </w:rPr>
            </w:pPr>
          </w:p>
          <w:p w14:paraId="012DFBAB" w14:textId="77777777" w:rsidR="006C1055" w:rsidRPr="00A2171C" w:rsidRDefault="006C1055" w:rsidP="002252C6">
            <w:pPr>
              <w:spacing w:after="0" w:line="240" w:lineRule="auto"/>
              <w:jc w:val="right"/>
              <w:rPr>
                <w:rFonts w:eastAsia="Times New Roman" w:cs="Times New Roman"/>
                <w:szCs w:val="20"/>
                <w:lang w:val="en-GB"/>
              </w:rPr>
            </w:pPr>
          </w:p>
          <w:p w14:paraId="5C1C8225" w14:textId="77777777" w:rsidR="006C1055" w:rsidRPr="00A2171C" w:rsidRDefault="006C1055" w:rsidP="002252C6">
            <w:pPr>
              <w:spacing w:after="0" w:line="240" w:lineRule="auto"/>
              <w:jc w:val="right"/>
              <w:rPr>
                <w:rFonts w:eastAsia="Times New Roman" w:cs="Times New Roman"/>
                <w:szCs w:val="20"/>
                <w:lang w:val="en-GB"/>
              </w:rPr>
            </w:pPr>
          </w:p>
        </w:tc>
        <w:tc>
          <w:tcPr>
            <w:tcW w:w="728" w:type="pct"/>
            <w:tcBorders>
              <w:top w:val="nil"/>
              <w:left w:val="single" w:sz="4" w:space="0" w:color="auto"/>
              <w:bottom w:val="single" w:sz="4" w:space="0" w:color="auto"/>
            </w:tcBorders>
            <w:vAlign w:val="center"/>
          </w:tcPr>
          <w:p w14:paraId="4CB9BA0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1.40</w:t>
            </w:r>
          </w:p>
          <w:p w14:paraId="0C229C20"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σ=0.072</w:t>
            </w:r>
          </w:p>
          <w:p w14:paraId="26CC3B96"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Min=1.22</w:t>
            </w:r>
          </w:p>
          <w:p w14:paraId="0416B9A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Max=1.51</w:t>
            </w:r>
          </w:p>
        </w:tc>
        <w:tc>
          <w:tcPr>
            <w:tcW w:w="791" w:type="pct"/>
            <w:tcBorders>
              <w:top w:val="nil"/>
              <w:bottom w:val="single" w:sz="4" w:space="0" w:color="auto"/>
            </w:tcBorders>
            <w:vAlign w:val="center"/>
          </w:tcPr>
          <w:p w14:paraId="76DD963B" w14:textId="77777777" w:rsidR="006C1055" w:rsidRPr="00A2171C" w:rsidRDefault="006C1055" w:rsidP="002252C6">
            <w:pPr>
              <w:spacing w:after="0" w:line="240" w:lineRule="auto"/>
              <w:jc w:val="center"/>
              <w:rPr>
                <w:rFonts w:eastAsia="Times New Roman" w:cs="Times New Roman"/>
                <w:b/>
                <w:bCs/>
                <w:szCs w:val="20"/>
                <w:lang w:val="en-GB"/>
              </w:rPr>
            </w:pPr>
            <w:r w:rsidRPr="00A2171C">
              <w:rPr>
                <w:rFonts w:eastAsia="Times New Roman" w:cs="Times New Roman"/>
                <w:b/>
                <w:bCs/>
                <w:szCs w:val="20"/>
                <w:lang w:val="en-GB"/>
              </w:rPr>
              <w:t>1.8</w:t>
            </w:r>
          </w:p>
          <w:p w14:paraId="2DD94FB8"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σ=0.086</w:t>
            </w:r>
          </w:p>
          <w:p w14:paraId="04D40A1B"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Min=1.5</w:t>
            </w:r>
          </w:p>
          <w:p w14:paraId="5594737E"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Max=1.8</w:t>
            </w:r>
          </w:p>
        </w:tc>
        <w:tc>
          <w:tcPr>
            <w:tcW w:w="712" w:type="pct"/>
            <w:tcBorders>
              <w:top w:val="nil"/>
              <w:bottom w:val="single" w:sz="4" w:space="0" w:color="auto"/>
            </w:tcBorders>
            <w:vAlign w:val="center"/>
          </w:tcPr>
          <w:p w14:paraId="3B1F7FC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 xml:space="preserve">1.2 </w:t>
            </w:r>
          </w:p>
          <w:p w14:paraId="4275579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σ=0.157</w:t>
            </w:r>
          </w:p>
          <w:p w14:paraId="2AAF4B4D"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21E888F7"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2" w:type="pct"/>
            <w:tcBorders>
              <w:top w:val="nil"/>
              <w:bottom w:val="single" w:sz="4" w:space="0" w:color="auto"/>
            </w:tcBorders>
            <w:vAlign w:val="center"/>
          </w:tcPr>
          <w:p w14:paraId="70DB23D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 xml:space="preserve">1.4 </w:t>
            </w:r>
          </w:p>
          <w:p w14:paraId="21FB3DE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σ=0.169</w:t>
            </w:r>
          </w:p>
          <w:p w14:paraId="3E82D3B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Min=1.4</w:t>
            </w:r>
          </w:p>
          <w:p w14:paraId="3C00AC35"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Max=1.9</w:t>
            </w:r>
          </w:p>
        </w:tc>
        <w:tc>
          <w:tcPr>
            <w:tcW w:w="714" w:type="pct"/>
            <w:tcBorders>
              <w:top w:val="nil"/>
              <w:bottom w:val="single" w:sz="4" w:space="0" w:color="auto"/>
              <w:right w:val="single" w:sz="4" w:space="0" w:color="auto"/>
            </w:tcBorders>
            <w:vAlign w:val="center"/>
          </w:tcPr>
          <w:p w14:paraId="00DB44D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 xml:space="preserve">1.3 </w:t>
            </w:r>
          </w:p>
          <w:p w14:paraId="76ECF944"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σ=0.056</w:t>
            </w:r>
          </w:p>
          <w:p w14:paraId="7C23ADFF"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Min=1.2</w:t>
            </w:r>
          </w:p>
          <w:p w14:paraId="7FD70499" w14:textId="77777777" w:rsidR="006C1055" w:rsidRPr="00A2171C" w:rsidRDefault="006C1055" w:rsidP="002252C6">
            <w:pPr>
              <w:spacing w:after="0" w:line="240" w:lineRule="auto"/>
              <w:jc w:val="center"/>
              <w:rPr>
                <w:rFonts w:eastAsia="Times New Roman" w:cs="Times New Roman"/>
                <w:szCs w:val="20"/>
                <w:lang w:val="en-GB"/>
              </w:rPr>
            </w:pPr>
            <w:r w:rsidRPr="00A2171C">
              <w:rPr>
                <w:rFonts w:eastAsia="Times New Roman" w:cs="Times New Roman"/>
                <w:szCs w:val="20"/>
                <w:lang w:val="en-GB"/>
              </w:rPr>
              <w:t>Max=1.6</w:t>
            </w:r>
          </w:p>
        </w:tc>
      </w:tr>
    </w:tbl>
    <w:p w14:paraId="626BFCA9" w14:textId="1EDF966B" w:rsidR="00A46867" w:rsidRPr="00A2171C" w:rsidRDefault="009E7744" w:rsidP="006C1055">
      <w:pPr>
        <w:pStyle w:val="Caption"/>
        <w:spacing w:before="240" w:after="0" w:line="360" w:lineRule="auto"/>
        <w:rPr>
          <w:rFonts w:eastAsia="Times New Roman" w:cs="Times New Roman"/>
          <w:color w:val="auto"/>
          <w:szCs w:val="20"/>
          <w:lang w:val="en-GB"/>
        </w:rPr>
      </w:pPr>
      <w:r w:rsidRPr="00A2171C">
        <w:rPr>
          <w:rFonts w:eastAsia="Times New Roman" w:cs="Times New Roman"/>
          <w:i w:val="0"/>
          <w:iCs w:val="0"/>
          <w:color w:val="auto"/>
          <w:sz w:val="20"/>
          <w:szCs w:val="20"/>
          <w:lang w:val="en-GB"/>
        </w:rPr>
        <w:t xml:space="preserve">Buildings with moderate, high, or extreme fire risk levels are </w:t>
      </w:r>
      <w:r w:rsidRPr="00A2171C">
        <w:rPr>
          <w:rFonts w:eastAsia="Times New Roman" w:cs="Times New Roman"/>
          <w:i w:val="0"/>
          <w:iCs w:val="0"/>
          <w:color w:val="auto"/>
          <w:sz w:val="22"/>
          <w:szCs w:val="22"/>
          <w:lang w:val="en-GB"/>
        </w:rPr>
        <w:t>represented in</w:t>
      </w:r>
      <w:r w:rsidR="00C36D81" w:rsidRPr="00A2171C">
        <w:rPr>
          <w:rFonts w:eastAsia="Times New Roman" w:cs="Times New Roman"/>
          <w:i w:val="0"/>
          <w:iCs w:val="0"/>
          <w:color w:val="auto"/>
          <w:sz w:val="22"/>
          <w:szCs w:val="22"/>
          <w:lang w:val="en-GB"/>
        </w:rPr>
        <w:t xml:space="preserve"> Figure 7.</w:t>
      </w:r>
      <w:r w:rsidRPr="00A2171C">
        <w:rPr>
          <w:rFonts w:eastAsia="Times New Roman" w:cs="Times New Roman"/>
          <w:i w:val="0"/>
          <w:iCs w:val="0"/>
          <w:color w:val="auto"/>
          <w:sz w:val="22"/>
          <w:szCs w:val="22"/>
          <w:lang w:val="en-GB"/>
        </w:rPr>
        <w:t xml:space="preserve"> Also, in this Figure, h</w:t>
      </w:r>
      <w:r w:rsidR="00A46867" w:rsidRPr="00A2171C">
        <w:rPr>
          <w:rFonts w:eastAsia="Times New Roman" w:cs="Times New Roman"/>
          <w:i w:val="0"/>
          <w:iCs w:val="0"/>
          <w:color w:val="auto"/>
          <w:sz w:val="22"/>
          <w:szCs w:val="22"/>
          <w:lang w:val="en-GB"/>
        </w:rPr>
        <w:t>istorical events</w:t>
      </w:r>
      <w:r w:rsidRPr="00A2171C">
        <w:rPr>
          <w:rFonts w:eastAsia="Times New Roman" w:cs="Times New Roman"/>
          <w:i w:val="0"/>
          <w:iCs w:val="0"/>
          <w:color w:val="auto"/>
          <w:sz w:val="22"/>
          <w:szCs w:val="22"/>
          <w:lang w:val="en-GB"/>
        </w:rPr>
        <w:t xml:space="preserve"> of </w:t>
      </w:r>
      <w:r w:rsidR="00A46867" w:rsidRPr="00A2171C">
        <w:rPr>
          <w:rFonts w:eastAsia="Times New Roman" w:cs="Times New Roman"/>
          <w:i w:val="0"/>
          <w:iCs w:val="0"/>
          <w:color w:val="auto"/>
          <w:sz w:val="22"/>
          <w:szCs w:val="22"/>
          <w:lang w:val="en-GB"/>
        </w:rPr>
        <w:t>fires between the year 2016 and 2020</w:t>
      </w:r>
      <w:r w:rsidRPr="00A2171C">
        <w:rPr>
          <w:rFonts w:eastAsia="Times New Roman" w:cs="Times New Roman"/>
          <w:i w:val="0"/>
          <w:iCs w:val="0"/>
          <w:color w:val="auto"/>
          <w:sz w:val="22"/>
          <w:szCs w:val="22"/>
          <w:lang w:val="en-GB"/>
        </w:rPr>
        <w:t xml:space="preserve"> are indicated in</w:t>
      </w:r>
      <w:r w:rsidR="00A46867" w:rsidRPr="00A2171C">
        <w:rPr>
          <w:rFonts w:eastAsia="Times New Roman" w:cs="Times New Roman"/>
          <w:i w:val="0"/>
          <w:iCs w:val="0"/>
          <w:color w:val="auto"/>
          <w:sz w:val="22"/>
          <w:szCs w:val="22"/>
          <w:lang w:val="en-GB"/>
        </w:rPr>
        <w:t xml:space="preserve"> black </w:t>
      </w:r>
      <w:r w:rsidRPr="00A2171C">
        <w:rPr>
          <w:rFonts w:eastAsia="Times New Roman" w:cs="Times New Roman"/>
          <w:i w:val="0"/>
          <w:iCs w:val="0"/>
          <w:color w:val="auto"/>
          <w:sz w:val="22"/>
          <w:szCs w:val="22"/>
          <w:lang w:val="en-GB"/>
        </w:rPr>
        <w:t xml:space="preserve">dots. </w:t>
      </w:r>
      <w:r w:rsidR="00225830" w:rsidRPr="00A2171C">
        <w:rPr>
          <w:rFonts w:eastAsia="Times New Roman" w:cs="Times New Roman"/>
          <w:i w:val="0"/>
          <w:iCs w:val="0"/>
          <w:color w:val="auto"/>
          <w:sz w:val="22"/>
          <w:szCs w:val="22"/>
          <w:lang w:val="en-GB"/>
        </w:rPr>
        <w:t xml:space="preserve">A total of </w:t>
      </w:r>
      <w:r w:rsidR="00A46867" w:rsidRPr="00A2171C">
        <w:rPr>
          <w:rFonts w:eastAsia="Times New Roman" w:cs="Times New Roman"/>
          <w:i w:val="0"/>
          <w:iCs w:val="0"/>
          <w:color w:val="auto"/>
          <w:sz w:val="22"/>
          <w:szCs w:val="22"/>
          <w:lang w:val="en-GB"/>
        </w:rPr>
        <w:t xml:space="preserve">75% of </w:t>
      </w:r>
      <w:r w:rsidR="00225830" w:rsidRPr="00A2171C">
        <w:rPr>
          <w:rFonts w:eastAsia="Times New Roman" w:cs="Times New Roman"/>
          <w:i w:val="0"/>
          <w:iCs w:val="0"/>
          <w:color w:val="auto"/>
          <w:sz w:val="22"/>
          <w:szCs w:val="22"/>
          <w:lang w:val="en-GB"/>
        </w:rPr>
        <w:t xml:space="preserve">the </w:t>
      </w:r>
      <w:r w:rsidR="00A46867" w:rsidRPr="00A2171C">
        <w:rPr>
          <w:rFonts w:eastAsia="Times New Roman" w:cs="Times New Roman"/>
          <w:i w:val="0"/>
          <w:iCs w:val="0"/>
          <w:color w:val="auto"/>
          <w:sz w:val="22"/>
          <w:szCs w:val="22"/>
          <w:lang w:val="en-GB"/>
        </w:rPr>
        <w:t xml:space="preserve">historical fires occurred </w:t>
      </w:r>
      <w:r w:rsidR="00225830" w:rsidRPr="00A2171C">
        <w:rPr>
          <w:rFonts w:eastAsia="Times New Roman" w:cs="Times New Roman"/>
          <w:i w:val="0"/>
          <w:iCs w:val="0"/>
          <w:color w:val="auto"/>
          <w:sz w:val="22"/>
          <w:szCs w:val="22"/>
          <w:lang w:val="en-GB"/>
        </w:rPr>
        <w:t>in</w:t>
      </w:r>
      <w:r w:rsidR="00A46867" w:rsidRPr="00A2171C">
        <w:rPr>
          <w:rFonts w:eastAsia="Times New Roman" w:cs="Times New Roman"/>
          <w:i w:val="0"/>
          <w:iCs w:val="0"/>
          <w:color w:val="auto"/>
          <w:sz w:val="22"/>
          <w:szCs w:val="22"/>
          <w:lang w:val="en-GB"/>
        </w:rPr>
        <w:t xml:space="preserve"> high fire risk structures, while 25% </w:t>
      </w:r>
      <w:r w:rsidR="00225830" w:rsidRPr="00A2171C">
        <w:rPr>
          <w:rFonts w:eastAsia="Times New Roman" w:cs="Times New Roman"/>
          <w:i w:val="0"/>
          <w:iCs w:val="0"/>
          <w:color w:val="auto"/>
          <w:sz w:val="22"/>
          <w:szCs w:val="22"/>
          <w:lang w:val="en-GB"/>
        </w:rPr>
        <w:t>in</w:t>
      </w:r>
      <w:r w:rsidR="00A46867" w:rsidRPr="00A2171C">
        <w:rPr>
          <w:rFonts w:eastAsia="Times New Roman" w:cs="Times New Roman"/>
          <w:i w:val="0"/>
          <w:iCs w:val="0"/>
          <w:color w:val="auto"/>
          <w:sz w:val="22"/>
          <w:szCs w:val="22"/>
          <w:lang w:val="en-GB"/>
        </w:rPr>
        <w:t xml:space="preserve"> moderate risk </w:t>
      </w:r>
      <w:r w:rsidR="00225830" w:rsidRPr="00A2171C">
        <w:rPr>
          <w:rFonts w:eastAsia="Times New Roman" w:cs="Times New Roman"/>
          <w:i w:val="0"/>
          <w:iCs w:val="0"/>
          <w:color w:val="auto"/>
          <w:sz w:val="22"/>
          <w:szCs w:val="22"/>
          <w:lang w:val="en-GB"/>
        </w:rPr>
        <w:t>SUs</w:t>
      </w:r>
      <w:r w:rsidR="00A46867" w:rsidRPr="00A2171C">
        <w:rPr>
          <w:rFonts w:eastAsia="Times New Roman" w:cs="Times New Roman"/>
          <w:i w:val="0"/>
          <w:iCs w:val="0"/>
          <w:color w:val="auto"/>
          <w:sz w:val="22"/>
          <w:szCs w:val="22"/>
          <w:lang w:val="en-GB"/>
        </w:rPr>
        <w:t xml:space="preserve">. Thus, </w:t>
      </w:r>
      <w:r w:rsidR="00225830" w:rsidRPr="00A2171C">
        <w:rPr>
          <w:rFonts w:eastAsia="Times New Roman" w:cs="Times New Roman"/>
          <w:i w:val="0"/>
          <w:iCs w:val="0"/>
          <w:color w:val="auto"/>
          <w:sz w:val="22"/>
          <w:szCs w:val="22"/>
          <w:lang w:val="en-GB"/>
        </w:rPr>
        <w:t xml:space="preserve">it is apparent that the </w:t>
      </w:r>
      <w:r w:rsidR="00A46867" w:rsidRPr="00A2171C">
        <w:rPr>
          <w:rFonts w:eastAsia="Times New Roman" w:cs="Times New Roman"/>
          <w:i w:val="0"/>
          <w:iCs w:val="0"/>
          <w:color w:val="auto"/>
          <w:sz w:val="22"/>
          <w:szCs w:val="22"/>
          <w:lang w:val="en-GB"/>
        </w:rPr>
        <w:t xml:space="preserve">FRI index can be considered a </w:t>
      </w:r>
      <w:r w:rsidR="00225830" w:rsidRPr="00A2171C">
        <w:rPr>
          <w:rFonts w:eastAsia="Times New Roman" w:cs="Times New Roman"/>
          <w:i w:val="0"/>
          <w:iCs w:val="0"/>
          <w:color w:val="auto"/>
          <w:sz w:val="22"/>
          <w:szCs w:val="22"/>
          <w:lang w:val="en-GB"/>
        </w:rPr>
        <w:t xml:space="preserve">relevant </w:t>
      </w:r>
      <w:r w:rsidR="00A46867" w:rsidRPr="00A2171C">
        <w:rPr>
          <w:rFonts w:eastAsia="Times New Roman" w:cs="Times New Roman"/>
          <w:i w:val="0"/>
          <w:iCs w:val="0"/>
          <w:color w:val="auto"/>
          <w:sz w:val="22"/>
          <w:szCs w:val="22"/>
          <w:lang w:val="en-GB"/>
        </w:rPr>
        <w:t>indicator</w:t>
      </w:r>
      <w:r w:rsidR="00225830" w:rsidRPr="00A2171C">
        <w:rPr>
          <w:rFonts w:eastAsia="Times New Roman" w:cs="Times New Roman"/>
          <w:i w:val="0"/>
          <w:iCs w:val="0"/>
          <w:color w:val="auto"/>
          <w:sz w:val="22"/>
          <w:szCs w:val="22"/>
          <w:lang w:val="en-GB"/>
        </w:rPr>
        <w:t xml:space="preserve"> of higher risk and predictor</w:t>
      </w:r>
      <w:r w:rsidR="00A46867" w:rsidRPr="00A2171C">
        <w:rPr>
          <w:rFonts w:eastAsia="Times New Roman" w:cs="Times New Roman"/>
          <w:i w:val="0"/>
          <w:iCs w:val="0"/>
          <w:color w:val="auto"/>
          <w:sz w:val="22"/>
          <w:szCs w:val="22"/>
          <w:lang w:val="en-GB"/>
        </w:rPr>
        <w:t xml:space="preserve"> for future fire</w:t>
      </w:r>
      <w:r w:rsidR="00225830" w:rsidRPr="00A2171C">
        <w:rPr>
          <w:rFonts w:eastAsia="Times New Roman" w:cs="Times New Roman"/>
          <w:i w:val="0"/>
          <w:iCs w:val="0"/>
          <w:color w:val="auto"/>
          <w:sz w:val="22"/>
          <w:szCs w:val="22"/>
          <w:lang w:val="en-GB"/>
        </w:rPr>
        <w:t>s</w:t>
      </w:r>
      <w:r w:rsidR="00A46867" w:rsidRPr="00A2171C">
        <w:rPr>
          <w:rFonts w:eastAsia="Times New Roman" w:cs="Times New Roman"/>
          <w:i w:val="0"/>
          <w:iCs w:val="0"/>
          <w:color w:val="auto"/>
          <w:sz w:val="22"/>
          <w:szCs w:val="22"/>
          <w:lang w:val="en-GB"/>
        </w:rPr>
        <w:t>.</w:t>
      </w:r>
      <w:r w:rsidR="00A46867" w:rsidRPr="00A2171C">
        <w:rPr>
          <w:rFonts w:eastAsia="Times New Roman" w:cs="Times New Roman"/>
          <w:color w:val="auto"/>
          <w:szCs w:val="20"/>
          <w:lang w:val="en-GB"/>
        </w:rPr>
        <w:t xml:space="preserve"> </w:t>
      </w:r>
    </w:p>
    <w:p w14:paraId="0E2A419B" w14:textId="77777777" w:rsidR="006C1055" w:rsidRPr="00A2171C" w:rsidRDefault="006C1055" w:rsidP="006C1055">
      <w:pPr>
        <w:spacing w:after="0"/>
        <w:rPr>
          <w:rFonts w:eastAsia="Times New Roman" w:cs="Times New Roman"/>
          <w:szCs w:val="20"/>
          <w:lang w:val="en-GB"/>
        </w:rPr>
      </w:pPr>
    </w:p>
    <w:p w14:paraId="029A3CE6" w14:textId="77777777" w:rsidR="006C1055" w:rsidRPr="00A2171C" w:rsidRDefault="006C1055" w:rsidP="006C1055">
      <w:pPr>
        <w:rPr>
          <w:lang w:val="en-GB"/>
        </w:rPr>
      </w:pPr>
    </w:p>
    <w:p w14:paraId="0ED7B86F" w14:textId="04CB2ACF" w:rsidR="005446E0" w:rsidRPr="00A2171C" w:rsidRDefault="005446E0" w:rsidP="005446E0">
      <w:pPr>
        <w:pStyle w:val="Caption"/>
        <w:spacing w:after="0"/>
        <w:jc w:val="center"/>
        <w:rPr>
          <w:color w:val="auto"/>
          <w:lang w:val="en-US"/>
        </w:rPr>
      </w:pPr>
      <w:bookmarkStart w:id="27" w:name="_Ref116578997"/>
      <w:r w:rsidRPr="00A2171C">
        <w:rPr>
          <w:noProof/>
          <w:color w:val="auto"/>
        </w:rPr>
        <w:lastRenderedPageBreak/>
        <w:drawing>
          <wp:inline distT="0" distB="0" distL="0" distR="0" wp14:anchorId="0135E852" wp14:editId="76C81430">
            <wp:extent cx="4591716" cy="3257810"/>
            <wp:effectExtent l="19050" t="19050" r="1841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932" t="18724" r="33965" b="9212"/>
                    <a:stretch/>
                  </pic:blipFill>
                  <pic:spPr bwMode="auto">
                    <a:xfrm>
                      <a:off x="0" y="0"/>
                      <a:ext cx="4592834" cy="325860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bookmarkEnd w:id="27"/>
    <w:p w14:paraId="0B501367" w14:textId="34CF245F" w:rsidR="00A46867" w:rsidRPr="00A2171C" w:rsidRDefault="00227B34" w:rsidP="00227B34">
      <w:pPr>
        <w:pStyle w:val="Caption"/>
        <w:jc w:val="center"/>
        <w:rPr>
          <w:rFonts w:eastAsia="Times New Roman" w:cs="Times New Roman"/>
          <w:i w:val="0"/>
          <w:iCs w:val="0"/>
          <w:color w:val="auto"/>
          <w:szCs w:val="20"/>
          <w:lang w:val="en-GB"/>
        </w:rPr>
      </w:pPr>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7</w:t>
      </w:r>
      <w:r w:rsidRPr="00A2171C">
        <w:rPr>
          <w:color w:val="auto"/>
        </w:rPr>
        <w:fldChar w:fldCharType="end"/>
      </w:r>
      <w:r w:rsidR="00A46867" w:rsidRPr="00A2171C">
        <w:rPr>
          <w:color w:val="auto"/>
          <w:lang w:val="en-US"/>
        </w:rPr>
        <w:t>:  Past fire events vs FRI index in Yungay typical zone</w:t>
      </w:r>
    </w:p>
    <w:p w14:paraId="1A050939" w14:textId="77777777" w:rsidR="00A46867" w:rsidRPr="00A2171C" w:rsidRDefault="00A46867" w:rsidP="00A46867">
      <w:pPr>
        <w:pStyle w:val="Heading2"/>
        <w:spacing w:before="240"/>
        <w:ind w:firstLine="708"/>
        <w:rPr>
          <w:rFonts w:eastAsia="Times New Roman"/>
          <w:color w:val="auto"/>
          <w:sz w:val="24"/>
          <w:szCs w:val="24"/>
          <w:lang w:val="en-GB"/>
        </w:rPr>
      </w:pPr>
      <w:r w:rsidRPr="00A2171C">
        <w:rPr>
          <w:rFonts w:eastAsia="Times New Roman"/>
          <w:color w:val="auto"/>
          <w:sz w:val="24"/>
          <w:szCs w:val="24"/>
          <w:lang w:val="en-GB"/>
        </w:rPr>
        <w:t>3.1 Fire ignition risk [</w:t>
      </w:r>
      <w:r w:rsidRPr="00A2171C">
        <w:rPr>
          <w:rFonts w:eastAsia="Times New Roman"/>
          <w:i/>
          <w:color w:val="auto"/>
          <w:sz w:val="24"/>
          <w:szCs w:val="24"/>
          <w:lang w:val="en-GB"/>
        </w:rPr>
        <w:t>SF</w:t>
      </w:r>
      <w:r w:rsidRPr="00A2171C">
        <w:rPr>
          <w:rFonts w:eastAsia="Times New Roman"/>
          <w:i/>
          <w:color w:val="auto"/>
          <w:sz w:val="24"/>
          <w:szCs w:val="24"/>
          <w:vertAlign w:val="subscript"/>
          <w:lang w:val="en-GB"/>
        </w:rPr>
        <w:t>I</w:t>
      </w:r>
      <w:r w:rsidRPr="00A2171C">
        <w:rPr>
          <w:rFonts w:eastAsia="Times New Roman"/>
          <w:color w:val="auto"/>
          <w:sz w:val="24"/>
          <w:szCs w:val="24"/>
          <w:lang w:val="en-GB"/>
        </w:rPr>
        <w:t>]</w:t>
      </w:r>
    </w:p>
    <w:p w14:paraId="4E3F8907" w14:textId="5C7F0B7D" w:rsidR="00A46867" w:rsidRPr="00A2171C" w:rsidRDefault="00A46867" w:rsidP="00A46867">
      <w:pPr>
        <w:pBdr>
          <w:top w:val="nil"/>
          <w:left w:val="nil"/>
          <w:bottom w:val="nil"/>
          <w:right w:val="nil"/>
          <w:between w:val="nil"/>
        </w:pBdr>
        <w:spacing w:after="0"/>
        <w:rPr>
          <w:rFonts w:eastAsia="Times New Roman" w:cs="Times New Roman"/>
          <w:szCs w:val="20"/>
          <w:lang w:val="en-US"/>
        </w:rPr>
      </w:pPr>
      <w:r w:rsidRPr="00A2171C">
        <w:rPr>
          <w:rFonts w:eastAsia="Times New Roman" w:cs="Times New Roman"/>
          <w:szCs w:val="20"/>
          <w:lang w:val="en-GB"/>
        </w:rPr>
        <w:t xml:space="preserve">The results for the ignition risk factor presented in </w:t>
      </w:r>
      <w:r w:rsidR="00436C61" w:rsidRPr="00A2171C">
        <w:rPr>
          <w:rFonts w:eastAsia="Times New Roman" w:cs="Times New Roman"/>
          <w:szCs w:val="20"/>
          <w:lang w:val="en-GB"/>
        </w:rPr>
        <w:fldChar w:fldCharType="begin"/>
      </w:r>
      <w:r w:rsidR="00436C61" w:rsidRPr="00A2171C">
        <w:rPr>
          <w:rFonts w:eastAsia="Times New Roman" w:cs="Times New Roman"/>
          <w:szCs w:val="20"/>
          <w:lang w:val="en-GB"/>
        </w:rPr>
        <w:instrText xml:space="preserve"> REF _Ref121160441 \h </w:instrText>
      </w:r>
      <w:r w:rsidR="00436C61" w:rsidRPr="00A2171C">
        <w:rPr>
          <w:rFonts w:eastAsia="Times New Roman" w:cs="Times New Roman"/>
          <w:szCs w:val="20"/>
          <w:lang w:val="en-GB"/>
        </w:rPr>
      </w:r>
      <w:r w:rsidR="00436C61"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8</w:t>
      </w:r>
      <w:r w:rsidR="00436C61" w:rsidRPr="00A2171C">
        <w:rPr>
          <w:rFonts w:eastAsia="Times New Roman" w:cs="Times New Roman"/>
          <w:szCs w:val="20"/>
          <w:lang w:val="en-GB"/>
        </w:rPr>
        <w:fldChar w:fldCharType="end"/>
      </w:r>
      <w:r w:rsidRPr="00A2171C">
        <w:rPr>
          <w:rFonts w:eastAsia="Times New Roman" w:cs="Times New Roman"/>
          <w:szCs w:val="20"/>
          <w:lang w:val="en-GB"/>
        </w:rPr>
        <w:t>a are alarming, because several vulnerabilities were identified as potential contributors for increasing fire ignition probability, such as: a poor conservation state of the buildings, existence of old and overloaded electrical installations with a lack of maintenance, use of non-</w:t>
      </w:r>
      <w:r w:rsidR="00225830" w:rsidRPr="00A2171C">
        <w:rPr>
          <w:rFonts w:eastAsia="Times New Roman" w:cs="Times New Roman"/>
          <w:szCs w:val="20"/>
          <w:lang w:val="en-GB"/>
        </w:rPr>
        <w:t xml:space="preserve">certified </w:t>
      </w:r>
      <w:r w:rsidRPr="00A2171C">
        <w:rPr>
          <w:rFonts w:eastAsia="Times New Roman" w:cs="Times New Roman"/>
          <w:szCs w:val="20"/>
          <w:lang w:val="en-GB"/>
        </w:rPr>
        <w:t xml:space="preserve">power bars which could overload the electrical circuit, and of gas cylinders placed inside buildings in non-ventilated areas. </w:t>
      </w:r>
      <w:r w:rsidR="00436C61" w:rsidRPr="00A2171C">
        <w:rPr>
          <w:rFonts w:eastAsia="Times New Roman" w:cs="Times New Roman"/>
          <w:szCs w:val="20"/>
          <w:lang w:val="en-GB"/>
        </w:rPr>
        <w:fldChar w:fldCharType="begin"/>
      </w:r>
      <w:r w:rsidR="00436C61" w:rsidRPr="00A2171C">
        <w:rPr>
          <w:rFonts w:eastAsia="Times New Roman" w:cs="Times New Roman"/>
          <w:szCs w:val="20"/>
          <w:lang w:val="en-GB"/>
        </w:rPr>
        <w:instrText xml:space="preserve"> REF _Ref121160441 \h </w:instrText>
      </w:r>
      <w:r w:rsidR="00436C61" w:rsidRPr="00A2171C">
        <w:rPr>
          <w:rFonts w:eastAsia="Times New Roman" w:cs="Times New Roman"/>
          <w:szCs w:val="20"/>
          <w:lang w:val="en-GB"/>
        </w:rPr>
      </w:r>
      <w:r w:rsidR="00436C61"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8</w:t>
      </w:r>
      <w:r w:rsidR="00436C61" w:rsidRPr="00A2171C">
        <w:rPr>
          <w:rFonts w:eastAsia="Times New Roman" w:cs="Times New Roman"/>
          <w:szCs w:val="20"/>
          <w:lang w:val="en-GB"/>
        </w:rPr>
        <w:fldChar w:fldCharType="end"/>
      </w:r>
      <w:r w:rsidRPr="00A2171C">
        <w:rPr>
          <w:rFonts w:eastAsia="Times New Roman" w:cs="Times New Roman"/>
          <w:szCs w:val="20"/>
          <w:lang w:val="en-GB"/>
        </w:rPr>
        <w:t xml:space="preserve">b shows the value of </w:t>
      </w:r>
      <w:r w:rsidR="00225830" w:rsidRPr="00A2171C">
        <w:rPr>
          <w:rFonts w:eastAsia="Times New Roman" w:cs="Times New Roman"/>
          <w:szCs w:val="20"/>
          <w:lang w:val="en-GB"/>
        </w:rPr>
        <w:t xml:space="preserve">the </w:t>
      </w:r>
      <w:r w:rsidRPr="00A2171C">
        <w:rPr>
          <w:rFonts w:eastAsia="Times New Roman" w:cs="Times New Roman"/>
          <w:i/>
          <w:iCs/>
          <w:szCs w:val="20"/>
          <w:lang w:val="en-GB"/>
        </w:rPr>
        <w:t>SF</w:t>
      </w:r>
      <w:r w:rsidRPr="00A2171C">
        <w:rPr>
          <w:rFonts w:eastAsia="Times New Roman" w:cs="Times New Roman"/>
          <w:i/>
          <w:iCs/>
          <w:szCs w:val="20"/>
          <w:vertAlign w:val="subscript"/>
          <w:lang w:val="en-GB"/>
        </w:rPr>
        <w:t>I</w:t>
      </w:r>
      <w:r w:rsidRPr="00A2171C">
        <w:rPr>
          <w:rFonts w:eastAsia="Times New Roman" w:cs="Times New Roman"/>
          <w:szCs w:val="20"/>
          <w:lang w:val="en-GB"/>
        </w:rPr>
        <w:t xml:space="preserve"> factor for each </w:t>
      </w:r>
      <w:r w:rsidR="00225830" w:rsidRPr="00A2171C">
        <w:rPr>
          <w:rFonts w:eastAsia="Times New Roman" w:cs="Times New Roman"/>
          <w:szCs w:val="20"/>
          <w:lang w:val="en-GB"/>
        </w:rPr>
        <w:t>SU</w:t>
      </w:r>
      <w:r w:rsidRPr="00A2171C">
        <w:rPr>
          <w:rFonts w:eastAsia="Times New Roman" w:cs="Times New Roman"/>
          <w:szCs w:val="20"/>
          <w:lang w:val="en-GB"/>
        </w:rPr>
        <w:t xml:space="preserve">. According to thresholds risk levels defined by </w:t>
      </w:r>
      <w:r w:rsidRPr="00A2171C">
        <w:rPr>
          <w:rFonts w:eastAsia="Times New Roman" w:cs="Times New Roman"/>
          <w:noProof/>
          <w:szCs w:val="20"/>
          <w:lang w:val="en-GB"/>
        </w:rPr>
        <w:t xml:space="preserve">Granda &amp; Ferreira (2019a, 2019b) and </w:t>
      </w:r>
      <w:r w:rsidRPr="00A2171C">
        <w:rPr>
          <w:rFonts w:cs="Times New Roman"/>
          <w:szCs w:val="20"/>
          <w:lang w:val="en-US"/>
        </w:rPr>
        <w:t xml:space="preserve">Renfroe &amp; Smith (2016), </w:t>
      </w:r>
      <w:r w:rsidRPr="00A2171C">
        <w:rPr>
          <w:rFonts w:eastAsia="Times New Roman" w:cs="Times New Roman"/>
          <w:szCs w:val="20"/>
          <w:lang w:val="en-GB"/>
        </w:rPr>
        <w:t xml:space="preserve">10% (43) of </w:t>
      </w:r>
      <w:r w:rsidR="00225830" w:rsidRPr="00A2171C">
        <w:rPr>
          <w:rFonts w:eastAsia="Times New Roman" w:cs="Times New Roman"/>
          <w:szCs w:val="20"/>
          <w:lang w:val="en-GB"/>
        </w:rPr>
        <w:t xml:space="preserve">the </w:t>
      </w:r>
      <w:r w:rsidRPr="00A2171C">
        <w:rPr>
          <w:rFonts w:eastAsia="Times New Roman" w:cs="Times New Roman"/>
          <w:szCs w:val="20"/>
          <w:lang w:val="en-GB"/>
        </w:rPr>
        <w:t xml:space="preserve">analysed structures present a </w:t>
      </w:r>
      <w:r w:rsidRPr="00A2171C">
        <w:rPr>
          <w:szCs w:val="20"/>
          <w:lang w:val="en-US"/>
        </w:rPr>
        <w:t xml:space="preserve">high-risk level, unacceptable </w:t>
      </w:r>
      <w:r w:rsidR="00225830" w:rsidRPr="00A2171C">
        <w:rPr>
          <w:szCs w:val="20"/>
          <w:lang w:val="en-US"/>
        </w:rPr>
        <w:t xml:space="preserve">conditions </w:t>
      </w:r>
      <w:r w:rsidRPr="00A2171C">
        <w:rPr>
          <w:szCs w:val="20"/>
          <w:lang w:val="en-US"/>
        </w:rPr>
        <w:t xml:space="preserve">that should be reduced or mitigated as soon as possible (red color), while 90% </w:t>
      </w:r>
      <w:r w:rsidR="00225830" w:rsidRPr="00A2171C">
        <w:rPr>
          <w:szCs w:val="20"/>
          <w:lang w:val="en-US"/>
        </w:rPr>
        <w:t xml:space="preserve">present </w:t>
      </w:r>
      <w:r w:rsidRPr="00A2171C">
        <w:rPr>
          <w:szCs w:val="20"/>
          <w:lang w:val="en-US"/>
        </w:rPr>
        <w:t>low to moderate risk.</w:t>
      </w:r>
      <w:r w:rsidRPr="00A2171C">
        <w:rPr>
          <w:rFonts w:eastAsia="Times New Roman" w:cs="Times New Roman"/>
          <w:szCs w:val="20"/>
          <w:lang w:val="en-GB"/>
        </w:rPr>
        <w:t xml:space="preserve"> </w:t>
      </w:r>
    </w:p>
    <w:p w14:paraId="2A7AC236" w14:textId="1B536AA6" w:rsidR="00A85F43" w:rsidRPr="00A2171C" w:rsidRDefault="00225830" w:rsidP="006C1055">
      <w:pPr>
        <w:pBdr>
          <w:top w:val="nil"/>
          <w:left w:val="nil"/>
          <w:bottom w:val="nil"/>
          <w:right w:val="nil"/>
          <w:between w:val="nil"/>
        </w:pBdr>
        <w:spacing w:after="0"/>
        <w:rPr>
          <w:rFonts w:eastAsia="Times New Roman" w:cs="Times New Roman"/>
          <w:szCs w:val="20"/>
          <w:lang w:val="en-GB"/>
        </w:rPr>
      </w:pPr>
      <w:r w:rsidRPr="00A2171C">
        <w:rPr>
          <w:rFonts w:eastAsia="Times New Roman" w:cs="Times New Roman"/>
          <w:szCs w:val="20"/>
          <w:lang w:val="en-GB"/>
        </w:rPr>
        <w:t xml:space="preserve">A total of </w:t>
      </w:r>
      <w:r w:rsidR="00A46867" w:rsidRPr="00A2171C">
        <w:rPr>
          <w:rFonts w:eastAsia="Times New Roman" w:cs="Times New Roman"/>
          <w:szCs w:val="20"/>
          <w:lang w:val="en-GB"/>
        </w:rPr>
        <w:t xml:space="preserve">22.8% of </w:t>
      </w:r>
      <w:r w:rsidRPr="00A2171C">
        <w:rPr>
          <w:rFonts w:eastAsia="Times New Roman" w:cs="Times New Roman"/>
          <w:szCs w:val="20"/>
          <w:lang w:val="en-GB"/>
        </w:rPr>
        <w:t xml:space="preserve">the </w:t>
      </w:r>
      <w:r w:rsidR="00A46867" w:rsidRPr="00A2171C">
        <w:rPr>
          <w:rFonts w:eastAsia="Times New Roman" w:cs="Times New Roman"/>
          <w:szCs w:val="20"/>
          <w:lang w:val="en-GB"/>
        </w:rPr>
        <w:t xml:space="preserve">analysed structures (101) </w:t>
      </w:r>
      <w:r w:rsidRPr="00A2171C">
        <w:rPr>
          <w:rFonts w:eastAsia="Times New Roman" w:cs="Times New Roman"/>
          <w:szCs w:val="20"/>
          <w:lang w:val="en-GB"/>
        </w:rPr>
        <w:t xml:space="preserve">were </w:t>
      </w:r>
      <w:r w:rsidR="00A46867" w:rsidRPr="00A2171C">
        <w:rPr>
          <w:rFonts w:eastAsia="Times New Roman" w:cs="Times New Roman"/>
          <w:szCs w:val="20"/>
          <w:lang w:val="en-GB"/>
        </w:rPr>
        <w:t>classified as having a good conservation state, due to restoration and consolidation interventions after the 2010 and 1985</w:t>
      </w:r>
      <w:r w:rsidRPr="00A2171C">
        <w:rPr>
          <w:rFonts w:eastAsia="Times New Roman" w:cs="Times New Roman"/>
          <w:szCs w:val="20"/>
          <w:lang w:val="en-GB"/>
        </w:rPr>
        <w:t>, Chile</w:t>
      </w:r>
      <w:r w:rsidR="00A46867" w:rsidRPr="00A2171C">
        <w:rPr>
          <w:rFonts w:eastAsia="Times New Roman" w:cs="Times New Roman"/>
          <w:szCs w:val="20"/>
          <w:lang w:val="en-GB"/>
        </w:rPr>
        <w:t xml:space="preserve"> earthquakes, and regular maintenance of the facades. </w:t>
      </w:r>
      <w:r w:rsidRPr="00A2171C">
        <w:rPr>
          <w:rFonts w:eastAsia="Times New Roman" w:cs="Times New Roman"/>
          <w:szCs w:val="20"/>
          <w:lang w:val="en-GB"/>
        </w:rPr>
        <w:t xml:space="preserve">Another </w:t>
      </w:r>
      <w:r w:rsidR="00A46867" w:rsidRPr="00A2171C">
        <w:rPr>
          <w:rFonts w:eastAsia="Times New Roman" w:cs="Times New Roman"/>
          <w:szCs w:val="20"/>
          <w:lang w:val="en-GB"/>
        </w:rPr>
        <w:t xml:space="preserve">50.8% of </w:t>
      </w:r>
      <w:r w:rsidRPr="00A2171C">
        <w:rPr>
          <w:rFonts w:eastAsia="Times New Roman" w:cs="Times New Roman"/>
          <w:szCs w:val="20"/>
          <w:lang w:val="en-GB"/>
        </w:rPr>
        <w:t xml:space="preserve">the </w:t>
      </w:r>
      <w:r w:rsidR="00A46867" w:rsidRPr="00A2171C">
        <w:rPr>
          <w:rFonts w:eastAsia="Times New Roman" w:cs="Times New Roman"/>
          <w:szCs w:val="20"/>
          <w:lang w:val="en-GB"/>
        </w:rPr>
        <w:t xml:space="preserve">building stock (225) </w:t>
      </w:r>
      <w:r w:rsidRPr="00A2171C">
        <w:rPr>
          <w:rFonts w:eastAsia="Times New Roman" w:cs="Times New Roman"/>
          <w:szCs w:val="20"/>
          <w:lang w:val="en-GB"/>
        </w:rPr>
        <w:t xml:space="preserve">was classified as having </w:t>
      </w:r>
      <w:r w:rsidR="00A46867" w:rsidRPr="00A2171C">
        <w:rPr>
          <w:rFonts w:eastAsia="Times New Roman" w:cs="Times New Roman"/>
          <w:szCs w:val="20"/>
          <w:lang w:val="en-GB"/>
        </w:rPr>
        <w:t xml:space="preserve">a reasonable conservation state with </w:t>
      </w:r>
      <w:r w:rsidRPr="00A2171C">
        <w:rPr>
          <w:rFonts w:eastAsia="Times New Roman" w:cs="Times New Roman"/>
          <w:szCs w:val="20"/>
          <w:lang w:val="en-GB"/>
        </w:rPr>
        <w:t xml:space="preserve">some </w:t>
      </w:r>
      <w:r w:rsidR="00A46867" w:rsidRPr="00A2171C">
        <w:rPr>
          <w:rFonts w:eastAsia="Times New Roman" w:cs="Times New Roman"/>
          <w:szCs w:val="20"/>
          <w:lang w:val="en-GB"/>
        </w:rPr>
        <w:t xml:space="preserve">damage that does not structurally compromise the safety of inhabitants, </w:t>
      </w:r>
      <w:r w:rsidR="00AB3422" w:rsidRPr="00A2171C">
        <w:rPr>
          <w:rFonts w:eastAsia="Times New Roman" w:cs="Times New Roman"/>
          <w:szCs w:val="20"/>
          <w:lang w:val="en-GB"/>
        </w:rPr>
        <w:t xml:space="preserve">while </w:t>
      </w:r>
      <w:r w:rsidR="00A46867" w:rsidRPr="00A2171C">
        <w:rPr>
          <w:rFonts w:eastAsia="Times New Roman" w:cs="Times New Roman"/>
          <w:szCs w:val="20"/>
          <w:lang w:val="en-GB"/>
        </w:rPr>
        <w:t xml:space="preserve">26.4% (117) present a bad state of conservation, not </w:t>
      </w:r>
      <w:r w:rsidR="00AB3422" w:rsidRPr="00A2171C">
        <w:rPr>
          <w:rFonts w:eastAsia="Times New Roman" w:cs="Times New Roman"/>
          <w:szCs w:val="20"/>
          <w:lang w:val="en-GB"/>
        </w:rPr>
        <w:t xml:space="preserve">having </w:t>
      </w:r>
      <w:r w:rsidR="00A46867" w:rsidRPr="00A2171C">
        <w:rPr>
          <w:rFonts w:eastAsia="Times New Roman" w:cs="Times New Roman"/>
          <w:szCs w:val="20"/>
          <w:lang w:val="en-GB"/>
        </w:rPr>
        <w:t xml:space="preserve">being repaired, </w:t>
      </w:r>
      <w:r w:rsidR="00AB3422" w:rsidRPr="00A2171C">
        <w:rPr>
          <w:rFonts w:eastAsia="Times New Roman" w:cs="Times New Roman"/>
          <w:szCs w:val="20"/>
          <w:lang w:val="en-GB"/>
        </w:rPr>
        <w:t xml:space="preserve">it is </w:t>
      </w:r>
      <w:r w:rsidR="00A46867" w:rsidRPr="00A2171C">
        <w:rPr>
          <w:rFonts w:eastAsia="Times New Roman" w:cs="Times New Roman"/>
          <w:szCs w:val="20"/>
          <w:lang w:val="en-GB"/>
        </w:rPr>
        <w:t xml:space="preserve">abandoned, </w:t>
      </w:r>
      <w:r w:rsidR="00AB3422" w:rsidRPr="00A2171C">
        <w:rPr>
          <w:rFonts w:eastAsia="Times New Roman" w:cs="Times New Roman"/>
          <w:szCs w:val="20"/>
          <w:lang w:val="en-GB"/>
        </w:rPr>
        <w:t xml:space="preserve">or was converted </w:t>
      </w:r>
      <w:r w:rsidR="00A46867" w:rsidRPr="00A2171C">
        <w:rPr>
          <w:rFonts w:eastAsia="Times New Roman" w:cs="Times New Roman"/>
          <w:szCs w:val="20"/>
          <w:lang w:val="en-GB"/>
        </w:rPr>
        <w:t xml:space="preserve">into parking lots or reused in poor condition after </w:t>
      </w:r>
      <w:r w:rsidR="00AB3422" w:rsidRPr="00A2171C">
        <w:rPr>
          <w:rFonts w:eastAsia="Times New Roman" w:cs="Times New Roman"/>
          <w:szCs w:val="20"/>
          <w:lang w:val="en-GB"/>
        </w:rPr>
        <w:t xml:space="preserve">previous </w:t>
      </w:r>
      <w:r w:rsidR="00A46867" w:rsidRPr="00A2171C">
        <w:rPr>
          <w:rFonts w:eastAsia="Times New Roman" w:cs="Times New Roman"/>
          <w:szCs w:val="20"/>
          <w:lang w:val="en-GB"/>
        </w:rPr>
        <w:t xml:space="preserve">seismic and fire events. </w:t>
      </w:r>
    </w:p>
    <w:p w14:paraId="7E7358E2" w14:textId="07794996" w:rsidR="00A46867" w:rsidRPr="00A2171C" w:rsidRDefault="00A46867" w:rsidP="006C1055">
      <w:pPr>
        <w:pBdr>
          <w:top w:val="nil"/>
          <w:left w:val="nil"/>
          <w:bottom w:val="nil"/>
          <w:right w:val="nil"/>
          <w:between w:val="nil"/>
        </w:pBdr>
        <w:spacing w:after="0"/>
        <w:rPr>
          <w:rFonts w:cs="Times New Roman"/>
          <w:lang w:val="en-GB"/>
        </w:rPr>
      </w:pPr>
      <w:r w:rsidRPr="00A2171C">
        <w:rPr>
          <w:rFonts w:eastAsia="Times New Roman" w:cs="Times New Roman"/>
          <w:szCs w:val="20"/>
          <w:lang w:val="en-GB"/>
        </w:rPr>
        <w:t>Also, the results regarding basic electrical installation conditions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C</m:t>
            </m:r>
          </m:e>
          <m:sub>
            <m:r>
              <w:rPr>
                <w:rFonts w:ascii="Cambria Math" w:eastAsia="Times New Roman" w:hAnsi="Cambria Math" w:cs="Times New Roman"/>
                <w:szCs w:val="20"/>
                <w:lang w:val="en-GB"/>
              </w:rPr>
              <m:t>e,1</m:t>
            </m:r>
          </m:sub>
        </m:sSub>
      </m:oMath>
      <w:r w:rsidRPr="00A2171C">
        <w:rPr>
          <w:rFonts w:eastAsia="Times New Roman" w:cs="Times New Roman"/>
          <w:szCs w:val="20"/>
          <w:lang w:val="en-GB"/>
        </w:rPr>
        <w:t>) are worrying: only 4.7% of the electrical systems in buildings (21) have been remodelled</w:t>
      </w:r>
      <w:r w:rsidR="00AB3422" w:rsidRPr="00A2171C">
        <w:rPr>
          <w:rFonts w:eastAsia="Times New Roman" w:cs="Times New Roman"/>
          <w:szCs w:val="20"/>
          <w:lang w:val="en-GB"/>
        </w:rPr>
        <w:t>,</w:t>
      </w:r>
      <w:r w:rsidRPr="00A2171C">
        <w:rPr>
          <w:rFonts w:eastAsia="Times New Roman" w:cs="Times New Roman"/>
          <w:szCs w:val="20"/>
          <w:lang w:val="en-GB"/>
        </w:rPr>
        <w:t xml:space="preserve"> </w:t>
      </w:r>
      <w:r w:rsidR="00AB3422" w:rsidRPr="00A2171C">
        <w:rPr>
          <w:rFonts w:eastAsia="Times New Roman" w:cs="Times New Roman"/>
          <w:szCs w:val="20"/>
          <w:lang w:val="en-GB"/>
        </w:rPr>
        <w:t xml:space="preserve">and </w:t>
      </w:r>
      <w:r w:rsidRPr="00A2171C">
        <w:rPr>
          <w:rFonts w:eastAsia="Times New Roman" w:cs="Times New Roman"/>
          <w:szCs w:val="20"/>
          <w:lang w:val="en-GB"/>
        </w:rPr>
        <w:t>partially remodelled</w:t>
      </w:r>
      <w:r w:rsidR="00AB3422" w:rsidRPr="00A2171C">
        <w:rPr>
          <w:rFonts w:eastAsia="Times New Roman" w:cs="Times New Roman"/>
          <w:szCs w:val="20"/>
          <w:lang w:val="en-GB"/>
        </w:rPr>
        <w:t xml:space="preserve"> (15.8%, 70)</w:t>
      </w:r>
      <w:r w:rsidRPr="00A2171C">
        <w:rPr>
          <w:rFonts w:eastAsia="Times New Roman" w:cs="Times New Roman"/>
          <w:szCs w:val="20"/>
          <w:lang w:val="en-GB"/>
        </w:rPr>
        <w:t xml:space="preserve">, while 79.5% (352) </w:t>
      </w:r>
      <w:r w:rsidR="00AB3422" w:rsidRPr="00A2171C">
        <w:rPr>
          <w:rFonts w:eastAsia="Times New Roman" w:cs="Times New Roman"/>
          <w:szCs w:val="20"/>
          <w:lang w:val="en-GB"/>
        </w:rPr>
        <w:t>are old</w:t>
      </w:r>
      <w:r w:rsidRPr="00A2171C">
        <w:rPr>
          <w:rFonts w:eastAsia="Times New Roman" w:cs="Times New Roman"/>
          <w:szCs w:val="20"/>
          <w:lang w:val="en-GB"/>
        </w:rPr>
        <w:t xml:space="preserve">. Another important problem with the electrical system is the use of non-compliant devices (power bars and electrical extension cords) to which household appliances are connected, </w:t>
      </w:r>
      <w:r w:rsidR="00AB3422" w:rsidRPr="00A2171C">
        <w:rPr>
          <w:rFonts w:eastAsia="Times New Roman" w:cs="Times New Roman"/>
          <w:szCs w:val="20"/>
          <w:lang w:val="en-GB"/>
        </w:rPr>
        <w:t xml:space="preserve">risking an </w:t>
      </w:r>
      <w:r w:rsidRPr="00A2171C">
        <w:rPr>
          <w:rFonts w:eastAsia="Times New Roman" w:cs="Times New Roman"/>
          <w:szCs w:val="20"/>
          <w:lang w:val="en-GB"/>
        </w:rPr>
        <w:t>overload</w:t>
      </w:r>
      <w:r w:rsidR="00AB3422" w:rsidRPr="00A2171C">
        <w:rPr>
          <w:rFonts w:eastAsia="Times New Roman" w:cs="Times New Roman"/>
          <w:szCs w:val="20"/>
          <w:lang w:val="en-GB"/>
        </w:rPr>
        <w:t xml:space="preserve"> of</w:t>
      </w:r>
      <w:r w:rsidRPr="00A2171C">
        <w:rPr>
          <w:rFonts w:eastAsia="Times New Roman" w:cs="Times New Roman"/>
          <w:szCs w:val="20"/>
          <w:lang w:val="en-GB"/>
        </w:rPr>
        <w:t xml:space="preserve"> the basic electrical installation. In the analysed buildings 73.1% (324) use non-compliant power bars and electrical extension cords (without </w:t>
      </w:r>
      <w:r w:rsidR="00AB3422" w:rsidRPr="00A2171C">
        <w:rPr>
          <w:rFonts w:eastAsia="Times New Roman" w:cs="Times New Roman"/>
          <w:szCs w:val="20"/>
          <w:lang w:val="en-GB"/>
        </w:rPr>
        <w:t xml:space="preserve">a </w:t>
      </w:r>
      <w:r w:rsidRPr="00A2171C">
        <w:rPr>
          <w:rFonts w:eastAsia="Times New Roman" w:cs="Times New Roman"/>
          <w:szCs w:val="20"/>
          <w:lang w:val="en-GB"/>
        </w:rPr>
        <w:t>SEC approval certificate)</w:t>
      </w:r>
      <w:r w:rsidR="00AB3422" w:rsidRPr="00A2171C">
        <w:rPr>
          <w:rFonts w:eastAsia="Times New Roman" w:cs="Times New Roman"/>
          <w:szCs w:val="20"/>
          <w:lang w:val="en-GB"/>
        </w:rPr>
        <w:t>,</w:t>
      </w:r>
      <w:r w:rsidRPr="00A2171C">
        <w:rPr>
          <w:rFonts w:eastAsia="Times New Roman" w:cs="Times New Roman"/>
          <w:szCs w:val="20"/>
          <w:lang w:val="en-GB"/>
        </w:rPr>
        <w:t xml:space="preserve"> and 51.2% (277) </w:t>
      </w:r>
      <w:r w:rsidR="00AB3422" w:rsidRPr="00A2171C">
        <w:rPr>
          <w:rFonts w:eastAsia="Times New Roman" w:cs="Times New Roman"/>
          <w:szCs w:val="20"/>
          <w:lang w:val="en-GB"/>
        </w:rPr>
        <w:t>have</w:t>
      </w:r>
      <w:r w:rsidRPr="00A2171C">
        <w:rPr>
          <w:rFonts w:eastAsia="Times New Roman" w:cs="Times New Roman"/>
          <w:szCs w:val="20"/>
          <w:lang w:val="en-GB"/>
        </w:rPr>
        <w:t xml:space="preserve"> two or more household appliances</w:t>
      </w:r>
      <w:r w:rsidR="00AB3422" w:rsidRPr="00A2171C">
        <w:rPr>
          <w:rFonts w:eastAsia="Times New Roman" w:cs="Times New Roman"/>
          <w:szCs w:val="20"/>
          <w:lang w:val="en-GB"/>
        </w:rPr>
        <w:t xml:space="preserve"> </w:t>
      </w:r>
      <w:r w:rsidR="00AB3422" w:rsidRPr="00A2171C">
        <w:rPr>
          <w:rFonts w:eastAsia="Times New Roman" w:cs="Times New Roman"/>
          <w:szCs w:val="20"/>
          <w:lang w:val="en-GB"/>
        </w:rPr>
        <w:lastRenderedPageBreak/>
        <w:t>connected</w:t>
      </w:r>
      <w:r w:rsidRPr="00A2171C">
        <w:rPr>
          <w:rFonts w:eastAsia="Times New Roman" w:cs="Times New Roman"/>
          <w:szCs w:val="20"/>
          <w:lang w:val="en-GB"/>
        </w:rPr>
        <w:t xml:space="preserve">. The evaluation of </w:t>
      </w:r>
      <w:r w:rsidR="00AB3422" w:rsidRPr="00A2171C">
        <w:rPr>
          <w:rFonts w:eastAsia="Times New Roman" w:cs="Times New Roman"/>
          <w:szCs w:val="20"/>
          <w:lang w:val="en-GB"/>
        </w:rPr>
        <w:t xml:space="preserve">the </w:t>
      </w:r>
      <w:r w:rsidRPr="00A2171C">
        <w:rPr>
          <w:rFonts w:eastAsia="Times New Roman" w:cs="Times New Roman"/>
          <w:szCs w:val="20"/>
          <w:lang w:val="en-GB"/>
        </w:rPr>
        <w:t xml:space="preserve">gas system shows that the 10.4% (46) of </w:t>
      </w:r>
      <w:r w:rsidR="00AB3422" w:rsidRPr="00A2171C">
        <w:rPr>
          <w:rFonts w:eastAsia="Times New Roman" w:cs="Times New Roman"/>
          <w:szCs w:val="20"/>
          <w:lang w:val="en-GB"/>
        </w:rPr>
        <w:t>SUs</w:t>
      </w:r>
      <w:r w:rsidRPr="00A2171C">
        <w:rPr>
          <w:rFonts w:eastAsia="Times New Roman" w:cs="Times New Roman"/>
          <w:szCs w:val="20"/>
          <w:lang w:val="en-GB"/>
        </w:rPr>
        <w:t xml:space="preserve"> have pipeline gas, 12.6% (56) outdoor cylinder</w:t>
      </w:r>
      <w:r w:rsidR="00AB3422" w:rsidRPr="00A2171C">
        <w:rPr>
          <w:rFonts w:eastAsia="Times New Roman" w:cs="Times New Roman"/>
          <w:szCs w:val="20"/>
          <w:lang w:val="en-GB"/>
        </w:rPr>
        <w:t>s</w:t>
      </w:r>
      <w:r w:rsidRPr="00A2171C">
        <w:rPr>
          <w:rFonts w:eastAsia="Times New Roman" w:cs="Times New Roman"/>
          <w:szCs w:val="20"/>
          <w:lang w:val="en-GB"/>
        </w:rPr>
        <w:t>, 22.8% (101) indoor cylinder</w:t>
      </w:r>
      <w:r w:rsidR="00AB3422" w:rsidRPr="00A2171C">
        <w:rPr>
          <w:rFonts w:eastAsia="Times New Roman" w:cs="Times New Roman"/>
          <w:szCs w:val="20"/>
          <w:lang w:val="en-GB"/>
        </w:rPr>
        <w:t>s</w:t>
      </w:r>
      <w:r w:rsidRPr="00A2171C">
        <w:rPr>
          <w:rFonts w:eastAsia="Times New Roman" w:cs="Times New Roman"/>
          <w:szCs w:val="20"/>
          <w:lang w:val="en-GB"/>
        </w:rPr>
        <w:t xml:space="preserve"> in a ventilated location, </w:t>
      </w:r>
      <w:r w:rsidR="00AB3422" w:rsidRPr="00A2171C">
        <w:rPr>
          <w:rFonts w:eastAsia="Times New Roman" w:cs="Times New Roman"/>
          <w:szCs w:val="20"/>
          <w:lang w:val="en-GB"/>
        </w:rPr>
        <w:t xml:space="preserve">and </w:t>
      </w:r>
      <w:r w:rsidRPr="00A2171C">
        <w:rPr>
          <w:rFonts w:eastAsia="Times New Roman" w:cs="Times New Roman"/>
          <w:szCs w:val="20"/>
          <w:lang w:val="en-GB"/>
        </w:rPr>
        <w:t>82.2% (364) indoor cylinder</w:t>
      </w:r>
      <w:r w:rsidR="00AB3422" w:rsidRPr="00A2171C">
        <w:rPr>
          <w:rFonts w:eastAsia="Times New Roman" w:cs="Times New Roman"/>
          <w:szCs w:val="20"/>
          <w:lang w:val="en-GB"/>
        </w:rPr>
        <w:t>s</w:t>
      </w:r>
      <w:r w:rsidRPr="00A2171C">
        <w:rPr>
          <w:rFonts w:eastAsia="Times New Roman" w:cs="Times New Roman"/>
          <w:szCs w:val="20"/>
          <w:lang w:val="en-GB"/>
        </w:rPr>
        <w:t xml:space="preserve"> in unventilated location</w:t>
      </w:r>
      <w:r w:rsidR="00AB3422" w:rsidRPr="00A2171C">
        <w:rPr>
          <w:rFonts w:eastAsia="Times New Roman" w:cs="Times New Roman"/>
          <w:szCs w:val="20"/>
          <w:lang w:val="en-GB"/>
        </w:rPr>
        <w:t>s,</w:t>
      </w:r>
      <w:r w:rsidRPr="00A2171C">
        <w:rPr>
          <w:rFonts w:eastAsia="Times New Roman" w:cs="Times New Roman"/>
          <w:szCs w:val="20"/>
          <w:lang w:val="en-GB"/>
        </w:rPr>
        <w:t xml:space="preserve"> and </w:t>
      </w:r>
      <w:r w:rsidR="00D97A16" w:rsidRPr="00A2171C">
        <w:rPr>
          <w:rFonts w:eastAsia="Times New Roman" w:cs="Times New Roman"/>
          <w:szCs w:val="20"/>
          <w:lang w:val="en-GB"/>
        </w:rPr>
        <w:t>18.3</w:t>
      </w:r>
      <w:r w:rsidRPr="00A2171C">
        <w:rPr>
          <w:rFonts w:eastAsia="Times New Roman" w:cs="Times New Roman"/>
          <w:szCs w:val="20"/>
          <w:lang w:val="en-GB"/>
        </w:rPr>
        <w:t>% (81) do not use any system. Finally, the lowest </w:t>
      </w:r>
      <w:hyperlink r:id="rId23">
        <w:r w:rsidRPr="00A2171C">
          <w:rPr>
            <w:rFonts w:eastAsia="Times New Roman" w:cs="Times New Roman"/>
            <w:szCs w:val="20"/>
            <w:lang w:val="en-GB"/>
          </w:rPr>
          <w:t>temperature</w:t>
        </w:r>
      </w:hyperlink>
      <w:r w:rsidRPr="00A2171C">
        <w:rPr>
          <w:rFonts w:eastAsia="Times New Roman" w:cs="Times New Roman"/>
          <w:szCs w:val="20"/>
          <w:lang w:val="en-GB"/>
        </w:rPr>
        <w:t> </w:t>
      </w:r>
      <w:r w:rsidR="00AB3422" w:rsidRPr="00A2171C">
        <w:rPr>
          <w:rFonts w:eastAsia="Times New Roman" w:cs="Times New Roman"/>
          <w:szCs w:val="20"/>
          <w:lang w:val="en-GB"/>
        </w:rPr>
        <w:t>of ignition of</w:t>
      </w:r>
      <w:r w:rsidRPr="00A2171C">
        <w:rPr>
          <w:rFonts w:eastAsia="Times New Roman" w:cs="Times New Roman"/>
          <w:szCs w:val="20"/>
          <w:lang w:val="en-GB"/>
        </w:rPr>
        <w:t xml:space="preserve"> predominant materials–considering structure and warehouses</w:t>
      </w:r>
      <w:r w:rsidR="00AB3422" w:rsidRPr="00A2171C">
        <w:rPr>
          <w:rFonts w:eastAsia="Times New Roman" w:cs="Times New Roman"/>
          <w:szCs w:val="20"/>
          <w:lang w:val="en-GB"/>
        </w:rPr>
        <w:t xml:space="preserve">—are </w:t>
      </w:r>
      <w:r w:rsidRPr="00A2171C">
        <w:rPr>
          <w:rFonts w:eastAsia="Times New Roman" w:cs="Times New Roman"/>
          <w:szCs w:val="20"/>
          <w:lang w:val="en-GB"/>
        </w:rPr>
        <w:t xml:space="preserve">&gt;200°C in 75.6 % </w:t>
      </w:r>
      <w:r w:rsidR="00AB3422" w:rsidRPr="00A2171C">
        <w:rPr>
          <w:rFonts w:eastAsia="Times New Roman" w:cs="Times New Roman"/>
          <w:szCs w:val="20"/>
          <w:lang w:val="en-GB"/>
        </w:rPr>
        <w:t xml:space="preserve">of the cases </w:t>
      </w:r>
      <w:r w:rsidRPr="00A2171C">
        <w:rPr>
          <w:rFonts w:eastAsia="Times New Roman" w:cs="Times New Roman"/>
          <w:szCs w:val="20"/>
          <w:lang w:val="en-GB"/>
        </w:rPr>
        <w:t>(335), &lt;</w:t>
      </w:r>
      <w:r w:rsidR="00AB3422" w:rsidRPr="00A2171C">
        <w:rPr>
          <w:rFonts w:eastAsia="Times New Roman" w:cs="Times New Roman"/>
          <w:szCs w:val="20"/>
          <w:lang w:val="en-GB"/>
        </w:rPr>
        <w:t xml:space="preserve"> </w:t>
      </w:r>
      <w:r w:rsidRPr="00A2171C">
        <w:rPr>
          <w:rFonts w:eastAsia="Times New Roman" w:cs="Times New Roman"/>
          <w:szCs w:val="20"/>
          <w:lang w:val="en-GB"/>
        </w:rPr>
        <w:t xml:space="preserve">200°C in 11.1% </w:t>
      </w:r>
      <w:r w:rsidR="00AB3422" w:rsidRPr="00A2171C">
        <w:rPr>
          <w:rFonts w:eastAsia="Times New Roman" w:cs="Times New Roman"/>
          <w:szCs w:val="20"/>
          <w:lang w:val="en-GB"/>
        </w:rPr>
        <w:t xml:space="preserve">of the cases </w:t>
      </w:r>
      <w:r w:rsidRPr="00A2171C">
        <w:rPr>
          <w:rFonts w:eastAsia="Times New Roman" w:cs="Times New Roman"/>
          <w:szCs w:val="20"/>
          <w:lang w:val="en-GB"/>
        </w:rPr>
        <w:t>(49), and 100</w:t>
      </w:r>
      <w:r w:rsidR="00AB3422" w:rsidRPr="00A2171C">
        <w:rPr>
          <w:rFonts w:eastAsia="Times New Roman" w:cs="Times New Roman"/>
          <w:szCs w:val="20"/>
          <w:lang w:val="en-GB"/>
        </w:rPr>
        <w:t xml:space="preserve"> </w:t>
      </w:r>
      <w:r w:rsidRPr="00A2171C">
        <w:rPr>
          <w:rFonts w:eastAsia="Times New Roman" w:cs="Times New Roman"/>
          <w:szCs w:val="20"/>
          <w:lang w:val="en-GB"/>
        </w:rPr>
        <w:t>≤</w:t>
      </w:r>
      <w:r w:rsidR="00AB3422" w:rsidRPr="00A2171C">
        <w:rPr>
          <w:rFonts w:eastAsia="Times New Roman" w:cs="Times New Roman"/>
          <w:szCs w:val="20"/>
          <w:lang w:val="en-GB"/>
        </w:rPr>
        <w:t xml:space="preserve"> </w:t>
      </w:r>
      <w:r w:rsidRPr="00A2171C">
        <w:rPr>
          <w:rFonts w:eastAsia="Times New Roman" w:cs="Times New Roman"/>
          <w:szCs w:val="20"/>
          <w:lang w:val="en-GB"/>
        </w:rPr>
        <w:t>Ci</w:t>
      </w:r>
      <w:r w:rsidR="00AB3422" w:rsidRPr="00A2171C">
        <w:rPr>
          <w:rFonts w:eastAsia="Times New Roman" w:cs="Times New Roman"/>
          <w:szCs w:val="20"/>
          <w:lang w:val="en-GB"/>
        </w:rPr>
        <w:t xml:space="preserve"> </w:t>
      </w:r>
      <w:r w:rsidRPr="00A2171C">
        <w:rPr>
          <w:rFonts w:eastAsia="Times New Roman" w:cs="Times New Roman"/>
          <w:szCs w:val="20"/>
          <w:lang w:val="en-GB"/>
        </w:rPr>
        <w:t>≤</w:t>
      </w:r>
      <w:r w:rsidR="00AB3422" w:rsidRPr="00A2171C">
        <w:rPr>
          <w:rFonts w:eastAsia="Times New Roman" w:cs="Times New Roman"/>
          <w:szCs w:val="20"/>
          <w:lang w:val="en-GB"/>
        </w:rPr>
        <w:t xml:space="preserve"> </w:t>
      </w:r>
      <w:r w:rsidRPr="00A2171C">
        <w:rPr>
          <w:rFonts w:eastAsia="Times New Roman" w:cs="Times New Roman"/>
          <w:szCs w:val="20"/>
          <w:lang w:val="en-GB"/>
        </w:rPr>
        <w:t xml:space="preserve">200°C in 13.3% (59) </w:t>
      </w:r>
      <w:r w:rsidR="00AB3422" w:rsidRPr="00A2171C">
        <w:rPr>
          <w:rFonts w:eastAsia="Times New Roman" w:cs="Times New Roman"/>
          <w:szCs w:val="20"/>
          <w:lang w:val="en-GB"/>
        </w:rPr>
        <w:t xml:space="preserve">of the </w:t>
      </w:r>
      <w:r w:rsidRPr="00A2171C">
        <w:rPr>
          <w:rFonts w:eastAsia="Times New Roman" w:cs="Times New Roman"/>
          <w:szCs w:val="20"/>
          <w:lang w:val="en-GB"/>
        </w:rPr>
        <w:t>cases. The ignition susceptibility-depending on the main use of the building</w:t>
      </w:r>
      <w:r w:rsidR="00AB3422" w:rsidRPr="00A2171C">
        <w:rPr>
          <w:rFonts w:eastAsia="Times New Roman" w:cs="Times New Roman"/>
          <w:szCs w:val="20"/>
          <w:lang w:val="en-GB"/>
        </w:rPr>
        <w:t xml:space="preserve">—shows </w:t>
      </w:r>
      <w:r w:rsidRPr="00A2171C">
        <w:rPr>
          <w:rFonts w:eastAsia="Times New Roman" w:cs="Times New Roman"/>
          <w:szCs w:val="20"/>
          <w:lang w:val="en-GB"/>
        </w:rPr>
        <w:t xml:space="preserve">a low activation coefficient in 82.8% (311) of </w:t>
      </w:r>
      <w:r w:rsidR="00AB3422" w:rsidRPr="00A2171C">
        <w:rPr>
          <w:rFonts w:eastAsia="Times New Roman" w:cs="Times New Roman"/>
          <w:szCs w:val="20"/>
          <w:lang w:val="en-GB"/>
        </w:rPr>
        <w:t xml:space="preserve">the </w:t>
      </w:r>
      <w:r w:rsidRPr="00A2171C">
        <w:rPr>
          <w:rFonts w:eastAsia="Times New Roman" w:cs="Times New Roman"/>
          <w:szCs w:val="20"/>
          <w:lang w:val="en-GB"/>
        </w:rPr>
        <w:t>cases</w:t>
      </w:r>
      <w:r w:rsidR="00AB3422" w:rsidRPr="00A2171C">
        <w:rPr>
          <w:rFonts w:eastAsia="Times New Roman" w:cs="Times New Roman"/>
          <w:szCs w:val="20"/>
          <w:lang w:val="en-GB"/>
        </w:rPr>
        <w:t>,</w:t>
      </w:r>
      <w:r w:rsidRPr="00A2171C">
        <w:rPr>
          <w:rFonts w:eastAsia="Times New Roman" w:cs="Times New Roman"/>
          <w:szCs w:val="20"/>
          <w:lang w:val="en-GB"/>
        </w:rPr>
        <w:t xml:space="preserve"> and a medium activation coefficient </w:t>
      </w:r>
      <w:r w:rsidR="00AB3422" w:rsidRPr="00A2171C">
        <w:rPr>
          <w:rFonts w:eastAsia="Times New Roman" w:cs="Times New Roman"/>
          <w:szCs w:val="20"/>
          <w:lang w:val="en-GB"/>
        </w:rPr>
        <w:t xml:space="preserve">in </w:t>
      </w:r>
      <w:r w:rsidRPr="00A2171C">
        <w:rPr>
          <w:rFonts w:eastAsia="Times New Roman" w:cs="Times New Roman"/>
          <w:szCs w:val="20"/>
          <w:lang w:val="en-GB"/>
        </w:rPr>
        <w:t xml:space="preserve">17.2% </w:t>
      </w:r>
      <w:r w:rsidR="00AB3422" w:rsidRPr="00A2171C">
        <w:rPr>
          <w:rFonts w:eastAsia="Times New Roman" w:cs="Times New Roman"/>
          <w:szCs w:val="20"/>
          <w:lang w:val="en-GB"/>
        </w:rPr>
        <w:t xml:space="preserve">of the cases </w:t>
      </w:r>
      <w:r w:rsidRPr="00A2171C">
        <w:rPr>
          <w:rFonts w:eastAsia="Times New Roman" w:cs="Times New Roman"/>
          <w:szCs w:val="20"/>
          <w:lang w:val="en-GB"/>
        </w:rPr>
        <w:t>(96).</w:t>
      </w:r>
      <w:r w:rsidR="007347A1" w:rsidRPr="00A2171C">
        <w:rPr>
          <w:rFonts w:cs="Times New Roman"/>
          <w:szCs w:val="20"/>
          <w:lang w:val="en-GB"/>
        </w:rPr>
        <w:t xml:space="preserve"> </w:t>
      </w:r>
      <w:r w:rsidR="0030464D" w:rsidRPr="00A2171C">
        <w:rPr>
          <w:rFonts w:cs="Times New Roman"/>
          <w:lang w:val="en-GB"/>
        </w:rPr>
        <w:t>According to the results of the application of the methodology it is recommended to pay special attention to the electrical installations, as in almost 80% of the buildings they have not been renovated. It is also recommended to inform the community about possible problems related to the use and recharging of non-compliant devices (power strips and extension cords.</w:t>
      </w:r>
    </w:p>
    <w:tbl>
      <w:tblPr>
        <w:tblStyle w:val="TableGrid"/>
        <w:tblW w:w="0" w:type="auto"/>
        <w:tblLook w:val="04A0" w:firstRow="1" w:lastRow="0" w:firstColumn="1" w:lastColumn="0" w:noHBand="0" w:noVBand="1"/>
      </w:tblPr>
      <w:tblGrid>
        <w:gridCol w:w="7236"/>
        <w:gridCol w:w="1592"/>
      </w:tblGrid>
      <w:tr w:rsidR="00A2171C" w:rsidRPr="00A2171C" w14:paraId="1988683D" w14:textId="77777777" w:rsidTr="002252C6">
        <w:tc>
          <w:tcPr>
            <w:tcW w:w="7236" w:type="dxa"/>
          </w:tcPr>
          <w:p w14:paraId="279D5EFA" w14:textId="77777777" w:rsidR="006C1055" w:rsidRPr="00A2171C" w:rsidRDefault="006C1055" w:rsidP="002252C6">
            <w:pPr>
              <w:spacing w:line="240" w:lineRule="auto"/>
              <w:rPr>
                <w:rFonts w:eastAsia="Times New Roman" w:cs="Times New Roman"/>
                <w:noProof/>
                <w:szCs w:val="20"/>
                <w:lang w:val="en-GB"/>
              </w:rPr>
            </w:pPr>
          </w:p>
          <w:p w14:paraId="5B51546A" w14:textId="77777777" w:rsidR="006C1055" w:rsidRPr="00A2171C" w:rsidRDefault="006C1055" w:rsidP="002252C6">
            <w:pPr>
              <w:rPr>
                <w:rFonts w:eastAsia="Times New Roman" w:cs="Times New Roman"/>
                <w:szCs w:val="20"/>
                <w:lang w:val="en-GB"/>
              </w:rPr>
            </w:pPr>
            <w:r w:rsidRPr="00A2171C">
              <w:rPr>
                <w:noProof/>
                <w:lang w:val="en-GB"/>
              </w:rPr>
              <w:drawing>
                <wp:inline distT="0" distB="0" distL="0" distR="0" wp14:anchorId="524FC31A" wp14:editId="58FC97EE">
                  <wp:extent cx="4448712" cy="29337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7488" cy="2959271"/>
                          </a:xfrm>
                          <a:prstGeom prst="rect">
                            <a:avLst/>
                          </a:prstGeom>
                          <a:noFill/>
                          <a:ln>
                            <a:noFill/>
                          </a:ln>
                        </pic:spPr>
                      </pic:pic>
                    </a:graphicData>
                  </a:graphic>
                </wp:inline>
              </w:drawing>
            </w:r>
          </w:p>
        </w:tc>
        <w:tc>
          <w:tcPr>
            <w:tcW w:w="1592" w:type="dxa"/>
          </w:tcPr>
          <w:p w14:paraId="5A205E2B" w14:textId="77777777" w:rsidR="006C1055" w:rsidRPr="00A2171C" w:rsidRDefault="006C1055" w:rsidP="002252C6">
            <w:pPr>
              <w:spacing w:line="240" w:lineRule="auto"/>
              <w:jc w:val="center"/>
              <w:rPr>
                <w:rFonts w:eastAsia="Times New Roman" w:cs="Times New Roman"/>
                <w:noProof/>
                <w:sz w:val="14"/>
                <w:szCs w:val="14"/>
                <w:lang w:val="en-GB"/>
              </w:rPr>
            </w:pPr>
          </w:p>
          <w:p w14:paraId="7398B663" w14:textId="77777777" w:rsidR="006C1055" w:rsidRPr="00A2171C" w:rsidRDefault="006C1055" w:rsidP="002252C6">
            <w:pPr>
              <w:spacing w:line="240" w:lineRule="auto"/>
              <w:jc w:val="center"/>
              <w:rPr>
                <w:rFonts w:eastAsia="Times New Roman" w:cs="Times New Roman"/>
                <w:szCs w:val="20"/>
                <w:lang w:val="en-GB"/>
              </w:rPr>
            </w:pPr>
            <w:r w:rsidRPr="00A2171C">
              <w:rPr>
                <w:rFonts w:eastAsia="Times New Roman" w:cs="Times New Roman"/>
                <w:noProof/>
                <w:szCs w:val="20"/>
                <w:lang w:val="en-GB"/>
              </w:rPr>
              <w:drawing>
                <wp:inline distT="0" distB="0" distL="0" distR="0" wp14:anchorId="6D5D7D58" wp14:editId="369E8AC9">
                  <wp:extent cx="751205" cy="306495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7512" b="2162"/>
                          <a:stretch/>
                        </pic:blipFill>
                        <pic:spPr bwMode="auto">
                          <a:xfrm>
                            <a:off x="0" y="0"/>
                            <a:ext cx="759243" cy="3097751"/>
                          </a:xfrm>
                          <a:prstGeom prst="rect">
                            <a:avLst/>
                          </a:prstGeom>
                          <a:noFill/>
                          <a:ln>
                            <a:noFill/>
                          </a:ln>
                          <a:extLst>
                            <a:ext uri="{53640926-AAD7-44D8-BBD7-CCE9431645EC}">
                              <a14:shadowObscured xmlns:a14="http://schemas.microsoft.com/office/drawing/2010/main"/>
                            </a:ext>
                          </a:extLst>
                        </pic:spPr>
                      </pic:pic>
                    </a:graphicData>
                  </a:graphic>
                </wp:inline>
              </w:drawing>
            </w:r>
          </w:p>
          <w:p w14:paraId="26C97489" w14:textId="04D8288F" w:rsidR="00C802B8" w:rsidRPr="00A2171C" w:rsidRDefault="00C802B8" w:rsidP="002252C6">
            <w:pPr>
              <w:spacing w:line="240" w:lineRule="auto"/>
              <w:jc w:val="center"/>
              <w:rPr>
                <w:rFonts w:eastAsia="Times New Roman" w:cs="Times New Roman"/>
                <w:sz w:val="4"/>
                <w:szCs w:val="4"/>
                <w:lang w:val="en-GB"/>
              </w:rPr>
            </w:pPr>
          </w:p>
        </w:tc>
      </w:tr>
      <w:tr w:rsidR="00A2171C" w:rsidRPr="00A2171C" w14:paraId="60F2E829" w14:textId="77777777" w:rsidTr="002252C6">
        <w:tc>
          <w:tcPr>
            <w:tcW w:w="7236" w:type="dxa"/>
          </w:tcPr>
          <w:p w14:paraId="2113B60B" w14:textId="77777777" w:rsidR="006C1055" w:rsidRPr="00A2171C" w:rsidRDefault="006C1055" w:rsidP="002252C6">
            <w:pPr>
              <w:spacing w:line="240" w:lineRule="auto"/>
              <w:jc w:val="center"/>
              <w:rPr>
                <w:rFonts w:eastAsia="Times New Roman" w:cs="Times New Roman"/>
                <w:noProof/>
                <w:szCs w:val="20"/>
                <w:lang w:val="en-GB"/>
              </w:rPr>
            </w:pPr>
            <w:r w:rsidRPr="00A2171C">
              <w:rPr>
                <w:rFonts w:eastAsia="Times New Roman" w:cs="Times New Roman"/>
                <w:noProof/>
                <w:szCs w:val="20"/>
                <w:lang w:val="en-GB"/>
              </w:rPr>
              <w:t>(a)</w:t>
            </w:r>
          </w:p>
        </w:tc>
        <w:tc>
          <w:tcPr>
            <w:tcW w:w="1592" w:type="dxa"/>
          </w:tcPr>
          <w:p w14:paraId="0C3B7B39" w14:textId="77777777" w:rsidR="006C1055" w:rsidRPr="00A2171C" w:rsidRDefault="006C1055" w:rsidP="002252C6">
            <w:pPr>
              <w:keepNext/>
              <w:spacing w:line="240" w:lineRule="auto"/>
              <w:jc w:val="center"/>
              <w:rPr>
                <w:rFonts w:eastAsia="Times New Roman" w:cs="Times New Roman"/>
                <w:noProof/>
                <w:szCs w:val="20"/>
                <w:lang w:val="en-GB"/>
              </w:rPr>
            </w:pPr>
            <w:r w:rsidRPr="00A2171C">
              <w:rPr>
                <w:rFonts w:eastAsia="Times New Roman" w:cs="Times New Roman"/>
                <w:noProof/>
                <w:szCs w:val="20"/>
                <w:lang w:val="en-GB"/>
              </w:rPr>
              <w:t>(b)</w:t>
            </w:r>
          </w:p>
        </w:tc>
      </w:tr>
    </w:tbl>
    <w:p w14:paraId="61C15E69" w14:textId="77777777" w:rsidR="006C1055" w:rsidRPr="00A2171C" w:rsidRDefault="006C1055" w:rsidP="006C1055">
      <w:pPr>
        <w:pStyle w:val="Caption"/>
        <w:jc w:val="center"/>
        <w:rPr>
          <w:rFonts w:eastAsia="Times New Roman" w:cs="Times New Roman"/>
          <w:color w:val="auto"/>
          <w:szCs w:val="20"/>
          <w:lang w:val="en-GB"/>
        </w:rPr>
      </w:pPr>
      <w:bookmarkStart w:id="28" w:name="_Ref121160441"/>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Pr="00A2171C">
        <w:rPr>
          <w:noProof/>
          <w:color w:val="auto"/>
          <w:lang w:val="en-US"/>
        </w:rPr>
        <w:t>8</w:t>
      </w:r>
      <w:r w:rsidRPr="00A2171C">
        <w:rPr>
          <w:color w:val="auto"/>
        </w:rPr>
        <w:fldChar w:fldCharType="end"/>
      </w:r>
      <w:bookmarkEnd w:id="28"/>
      <w:r w:rsidRPr="00A2171C">
        <w:rPr>
          <w:color w:val="auto"/>
          <w:lang w:val="en-US"/>
        </w:rPr>
        <w:t>:</w:t>
      </w:r>
      <w:r w:rsidRPr="00A2171C">
        <w:rPr>
          <w:color w:val="auto"/>
          <w:szCs w:val="20"/>
          <w:lang w:val="en-GB"/>
        </w:rPr>
        <w:t xml:space="preserve"> </w:t>
      </w:r>
      <w:r w:rsidRPr="00A2171C">
        <w:rPr>
          <w:rFonts w:eastAsia="Times New Roman" w:cs="Times New Roman"/>
          <w:color w:val="auto"/>
          <w:szCs w:val="20"/>
          <w:lang w:val="en-GB"/>
        </w:rPr>
        <w:t>(a) Mapping and (b) results of fire ignition analysis of Yungay typical zone</w:t>
      </w:r>
    </w:p>
    <w:p w14:paraId="2A25C599" w14:textId="77777777" w:rsidR="00A46867" w:rsidRPr="00A2171C" w:rsidRDefault="00A46867" w:rsidP="00A46867">
      <w:pPr>
        <w:pStyle w:val="Heading2"/>
        <w:ind w:firstLine="708"/>
        <w:rPr>
          <w:color w:val="auto"/>
          <w:sz w:val="24"/>
          <w:szCs w:val="24"/>
          <w:lang w:val="en-GB"/>
        </w:rPr>
      </w:pPr>
      <w:r w:rsidRPr="00A2171C">
        <w:rPr>
          <w:rFonts w:eastAsia="Times New Roman"/>
          <w:color w:val="auto"/>
          <w:sz w:val="24"/>
          <w:szCs w:val="24"/>
          <w:lang w:val="en-GB"/>
        </w:rPr>
        <w:t>3.2 Fire propagation condition [S</w:t>
      </w:r>
      <w:r w:rsidRPr="00A2171C">
        <w:rPr>
          <w:rFonts w:eastAsia="Times New Roman"/>
          <w:iCs/>
          <w:color w:val="auto"/>
          <w:sz w:val="24"/>
          <w:szCs w:val="24"/>
          <w:lang w:val="en-GB"/>
        </w:rPr>
        <w:t>F</w:t>
      </w:r>
      <w:r w:rsidRPr="00A2171C">
        <w:rPr>
          <w:rFonts w:eastAsia="Times New Roman"/>
          <w:iCs/>
          <w:color w:val="auto"/>
          <w:sz w:val="24"/>
          <w:szCs w:val="24"/>
          <w:vertAlign w:val="subscript"/>
          <w:lang w:val="en-GB"/>
        </w:rPr>
        <w:t>P</w:t>
      </w:r>
      <w:r w:rsidRPr="00A2171C">
        <w:rPr>
          <w:rFonts w:eastAsia="Times New Roman"/>
          <w:color w:val="auto"/>
          <w:sz w:val="24"/>
          <w:szCs w:val="24"/>
          <w:lang w:val="en-GB"/>
        </w:rPr>
        <w:t>]</w:t>
      </w:r>
    </w:p>
    <w:p w14:paraId="061A4864" w14:textId="7B80859B" w:rsidR="00A46867" w:rsidRPr="00A2171C" w:rsidRDefault="00A46867" w:rsidP="00A46867">
      <w:pPr>
        <w:pBdr>
          <w:top w:val="nil"/>
          <w:left w:val="nil"/>
          <w:bottom w:val="nil"/>
          <w:right w:val="nil"/>
          <w:between w:val="nil"/>
        </w:pBdr>
        <w:spacing w:after="0"/>
        <w:rPr>
          <w:rFonts w:eastAsia="Times New Roman" w:cs="Times New Roman"/>
          <w:szCs w:val="20"/>
          <w:lang w:val="en-GB"/>
        </w:rPr>
      </w:pPr>
      <w:r w:rsidRPr="00A2171C">
        <w:rPr>
          <w:rFonts w:eastAsia="Times New Roman" w:cs="Times New Roman"/>
          <w:szCs w:val="20"/>
          <w:lang w:val="en-GB"/>
        </w:rPr>
        <w:t xml:space="preserve">The propagation speed is one of the main causes of high fire risk </w:t>
      </w:r>
      <w:r w:rsidR="00C27E6B" w:rsidRPr="00A2171C">
        <w:rPr>
          <w:rFonts w:eastAsia="Times New Roman" w:cs="Times New Roman"/>
          <w:szCs w:val="20"/>
          <w:lang w:val="en-GB"/>
        </w:rPr>
        <w:t>in this</w:t>
      </w:r>
      <w:r w:rsidRPr="00A2171C">
        <w:rPr>
          <w:rFonts w:eastAsia="Times New Roman" w:cs="Times New Roman"/>
          <w:szCs w:val="20"/>
          <w:lang w:val="en-GB"/>
        </w:rPr>
        <w:t xml:space="preserve"> neighbourhood, and is responsible for most of the </w:t>
      </w:r>
      <w:r w:rsidR="00C27E6B" w:rsidRPr="00A2171C">
        <w:rPr>
          <w:rFonts w:eastAsia="Times New Roman" w:cs="Times New Roman"/>
          <w:szCs w:val="20"/>
          <w:lang w:val="en-GB"/>
        </w:rPr>
        <w:t xml:space="preserve">past </w:t>
      </w:r>
      <w:r w:rsidRPr="00A2171C">
        <w:rPr>
          <w:rFonts w:eastAsia="Times New Roman" w:cs="Times New Roman"/>
          <w:szCs w:val="20"/>
          <w:lang w:val="en-GB"/>
        </w:rPr>
        <w:t xml:space="preserve">losses. </w:t>
      </w:r>
      <w:r w:rsidR="00C27E6B" w:rsidRPr="00A2171C">
        <w:rPr>
          <w:rFonts w:eastAsia="Times New Roman" w:cs="Times New Roman"/>
          <w:szCs w:val="20"/>
          <w:lang w:val="en-GB"/>
        </w:rPr>
        <w:t>It is apparent</w:t>
      </w:r>
      <w:r w:rsidRPr="00A2171C">
        <w:rPr>
          <w:rFonts w:eastAsia="Times New Roman" w:cs="Times New Roman"/>
          <w:szCs w:val="20"/>
          <w:lang w:val="en-GB"/>
        </w:rPr>
        <w:t xml:space="preserve"> in </w:t>
      </w:r>
      <w:r w:rsidR="00150362" w:rsidRPr="00A2171C">
        <w:rPr>
          <w:rFonts w:eastAsia="Times New Roman" w:cs="Times New Roman"/>
          <w:szCs w:val="20"/>
          <w:lang w:val="en-GB"/>
        </w:rPr>
        <w:fldChar w:fldCharType="begin"/>
      </w:r>
      <w:r w:rsidR="00150362" w:rsidRPr="00A2171C">
        <w:rPr>
          <w:rFonts w:eastAsia="Times New Roman" w:cs="Times New Roman"/>
          <w:szCs w:val="20"/>
          <w:lang w:val="en-GB"/>
        </w:rPr>
        <w:instrText xml:space="preserve"> REF _Ref121160518 \h </w:instrText>
      </w:r>
      <w:r w:rsidR="00150362" w:rsidRPr="00A2171C">
        <w:rPr>
          <w:rFonts w:eastAsia="Times New Roman" w:cs="Times New Roman"/>
          <w:szCs w:val="20"/>
          <w:lang w:val="en-GB"/>
        </w:rPr>
      </w:r>
      <w:r w:rsidR="00150362"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9</w:t>
      </w:r>
      <w:r w:rsidR="00150362" w:rsidRPr="00A2171C">
        <w:rPr>
          <w:rFonts w:eastAsia="Times New Roman" w:cs="Times New Roman"/>
          <w:szCs w:val="20"/>
          <w:lang w:val="en-GB"/>
        </w:rPr>
        <w:fldChar w:fldCharType="end"/>
      </w:r>
      <w:r w:rsidR="00620951" w:rsidRPr="00A2171C">
        <w:rPr>
          <w:rFonts w:eastAsia="Times New Roman" w:cs="Times New Roman"/>
          <w:szCs w:val="20"/>
          <w:lang w:val="en-GB"/>
        </w:rPr>
        <w:t>(</w:t>
      </w:r>
      <w:r w:rsidRPr="00A2171C">
        <w:rPr>
          <w:rFonts w:eastAsia="Times New Roman" w:cs="Times New Roman"/>
          <w:iCs/>
          <w:szCs w:val="20"/>
          <w:lang w:val="en-GB"/>
        </w:rPr>
        <w:t>a</w:t>
      </w:r>
      <w:r w:rsidR="00620951" w:rsidRPr="00A2171C">
        <w:rPr>
          <w:rFonts w:eastAsia="Times New Roman" w:cs="Times New Roman"/>
          <w:iCs/>
          <w:szCs w:val="20"/>
          <w:lang w:val="en-GB"/>
        </w:rPr>
        <w:t>)</w:t>
      </w:r>
      <w:r w:rsidRPr="00A2171C">
        <w:rPr>
          <w:rFonts w:eastAsia="Times New Roman" w:cs="Times New Roman"/>
          <w:szCs w:val="20"/>
          <w:lang w:val="en-GB"/>
        </w:rPr>
        <w:t xml:space="preserve"> and </w:t>
      </w:r>
      <w:r w:rsidR="00620951" w:rsidRPr="00A2171C">
        <w:rPr>
          <w:rFonts w:eastAsia="Times New Roman" w:cs="Times New Roman"/>
          <w:szCs w:val="20"/>
          <w:lang w:val="en-GB"/>
        </w:rPr>
        <w:t>(</w:t>
      </w:r>
      <w:r w:rsidRPr="00A2171C">
        <w:rPr>
          <w:rFonts w:eastAsia="Times New Roman" w:cs="Times New Roman"/>
          <w:iCs/>
          <w:szCs w:val="20"/>
          <w:lang w:val="en-GB"/>
        </w:rPr>
        <w:t>b</w:t>
      </w:r>
      <w:r w:rsidR="00620951" w:rsidRPr="00A2171C">
        <w:rPr>
          <w:rFonts w:eastAsia="Times New Roman" w:cs="Times New Roman"/>
          <w:iCs/>
          <w:szCs w:val="20"/>
          <w:lang w:val="en-GB"/>
        </w:rPr>
        <w:t>)</w:t>
      </w:r>
      <w:r w:rsidR="00C27E6B" w:rsidRPr="00A2171C">
        <w:rPr>
          <w:rFonts w:eastAsia="Times New Roman" w:cs="Times New Roman"/>
          <w:szCs w:val="20"/>
          <w:lang w:val="en-GB"/>
        </w:rPr>
        <w:t xml:space="preserve"> that</w:t>
      </w:r>
      <w:r w:rsidRPr="00A2171C">
        <w:rPr>
          <w:rFonts w:eastAsia="Times New Roman" w:cs="Times New Roman"/>
          <w:szCs w:val="20"/>
          <w:lang w:val="en-GB"/>
        </w:rPr>
        <w:t xml:space="preserve"> only 1.6% (7) of</w:t>
      </w:r>
      <w:r w:rsidR="00C27E6B" w:rsidRPr="00A2171C">
        <w:rPr>
          <w:rFonts w:eastAsia="Times New Roman" w:cs="Times New Roman"/>
          <w:szCs w:val="20"/>
          <w:lang w:val="en-GB"/>
        </w:rPr>
        <w:t xml:space="preserve"> the</w:t>
      </w:r>
      <w:r w:rsidRPr="00A2171C">
        <w:rPr>
          <w:rFonts w:eastAsia="Times New Roman" w:cs="Times New Roman"/>
          <w:szCs w:val="20"/>
          <w:lang w:val="en-GB"/>
        </w:rPr>
        <w:t xml:space="preserve"> building stock present</w:t>
      </w:r>
      <w:r w:rsidR="00C27E6B" w:rsidRPr="00A2171C">
        <w:rPr>
          <w:rFonts w:eastAsia="Times New Roman" w:cs="Times New Roman"/>
          <w:szCs w:val="20"/>
          <w:lang w:val="en-GB"/>
        </w:rPr>
        <w:t>s</w:t>
      </w:r>
      <w:r w:rsidRPr="00A2171C">
        <w:rPr>
          <w:rFonts w:eastAsia="Times New Roman" w:cs="Times New Roman"/>
          <w:szCs w:val="20"/>
          <w:lang w:val="en-GB"/>
        </w:rPr>
        <w:t xml:space="preserve"> a moderate propagation risk. </w:t>
      </w:r>
      <w:r w:rsidR="00C27E6B" w:rsidRPr="00A2171C">
        <w:rPr>
          <w:rFonts w:eastAsia="Times New Roman" w:cs="Times New Roman"/>
          <w:szCs w:val="20"/>
          <w:lang w:val="en-GB"/>
        </w:rPr>
        <w:t xml:space="preserve">A total of </w:t>
      </w:r>
      <w:r w:rsidRPr="00A2171C">
        <w:rPr>
          <w:rFonts w:eastAsia="Times New Roman" w:cs="Times New Roman"/>
          <w:szCs w:val="20"/>
          <w:lang w:val="en-GB"/>
        </w:rPr>
        <w:t xml:space="preserve">89.6% (388) and 11.1% (214) of </w:t>
      </w:r>
      <w:r w:rsidR="00C27E6B" w:rsidRPr="00A2171C">
        <w:rPr>
          <w:rFonts w:eastAsia="Times New Roman" w:cs="Times New Roman"/>
          <w:szCs w:val="20"/>
          <w:lang w:val="en-GB"/>
        </w:rPr>
        <w:t>SUs</w:t>
      </w:r>
      <w:r w:rsidRPr="00A2171C">
        <w:rPr>
          <w:rFonts w:eastAsia="Times New Roman" w:cs="Times New Roman"/>
          <w:szCs w:val="20"/>
          <w:lang w:val="en-GB"/>
        </w:rPr>
        <w:t xml:space="preserve"> have high and extreme risk levels</w:t>
      </w:r>
      <w:r w:rsidR="00C27E6B" w:rsidRPr="00A2171C">
        <w:rPr>
          <w:rFonts w:eastAsia="Times New Roman" w:cs="Times New Roman"/>
          <w:szCs w:val="20"/>
          <w:lang w:val="en-GB"/>
        </w:rPr>
        <w:t>,</w:t>
      </w:r>
      <w:r w:rsidRPr="00A2171C">
        <w:rPr>
          <w:rFonts w:eastAsia="Times New Roman" w:cs="Times New Roman"/>
          <w:szCs w:val="20"/>
          <w:lang w:val="en-GB"/>
        </w:rPr>
        <w:t xml:space="preserve"> </w:t>
      </w:r>
      <w:r w:rsidR="00CD7D74" w:rsidRPr="00A2171C">
        <w:rPr>
          <w:rFonts w:eastAsia="Times New Roman" w:cs="Times New Roman"/>
          <w:szCs w:val="20"/>
          <w:lang w:val="en-GB"/>
        </w:rPr>
        <w:t>which is a high and unacceptable risk condition</w:t>
      </w:r>
      <w:r w:rsidRPr="00A2171C">
        <w:rPr>
          <w:rFonts w:eastAsia="Times New Roman" w:cs="Times New Roman"/>
          <w:szCs w:val="20"/>
          <w:lang w:val="en-GB"/>
        </w:rPr>
        <w:t xml:space="preserve"> (</w:t>
      </w:r>
      <w:r w:rsidRPr="00A2171C">
        <w:rPr>
          <w:rFonts w:eastAsia="Times New Roman" w:cs="Times New Roman"/>
          <w:noProof/>
          <w:szCs w:val="20"/>
          <w:lang w:val="en-GB"/>
        </w:rPr>
        <w:t>Granda &amp; Ferreira</w:t>
      </w:r>
      <w:r w:rsidR="00F25DA4" w:rsidRPr="00A2171C">
        <w:rPr>
          <w:rFonts w:eastAsia="Times New Roman" w:cs="Times New Roman"/>
          <w:noProof/>
          <w:szCs w:val="20"/>
          <w:lang w:val="en-GB"/>
        </w:rPr>
        <w:t>,</w:t>
      </w:r>
      <w:r w:rsidRPr="00A2171C">
        <w:rPr>
          <w:rFonts w:eastAsia="Times New Roman" w:cs="Times New Roman"/>
          <w:noProof/>
          <w:szCs w:val="20"/>
          <w:lang w:val="en-GB"/>
        </w:rPr>
        <w:t xml:space="preserve"> 2019a, 2019b</w:t>
      </w:r>
      <w:r w:rsidR="00CD7D74" w:rsidRPr="00A2171C">
        <w:rPr>
          <w:rFonts w:eastAsia="Times New Roman" w:cs="Times New Roman"/>
          <w:noProof/>
          <w:szCs w:val="20"/>
          <w:lang w:val="en-GB"/>
        </w:rPr>
        <w:t>;</w:t>
      </w:r>
      <w:r w:rsidRPr="00A2171C">
        <w:rPr>
          <w:rFonts w:eastAsia="Times New Roman" w:cs="Times New Roman"/>
          <w:noProof/>
          <w:szCs w:val="20"/>
          <w:lang w:val="en-GB"/>
        </w:rPr>
        <w:t xml:space="preserve"> </w:t>
      </w:r>
      <w:r w:rsidRPr="00A2171C">
        <w:rPr>
          <w:rFonts w:cs="Times New Roman"/>
          <w:szCs w:val="20"/>
          <w:lang w:val="en-US"/>
        </w:rPr>
        <w:t>Renfroe &amp; Smith 2016</w:t>
      </w:r>
      <w:r w:rsidR="00CD7D74" w:rsidRPr="00A2171C">
        <w:rPr>
          <w:rFonts w:cs="Times New Roman"/>
          <w:szCs w:val="20"/>
          <w:lang w:val="en-US"/>
        </w:rPr>
        <w:t>)</w:t>
      </w:r>
      <w:r w:rsidRPr="00A2171C">
        <w:rPr>
          <w:rFonts w:cs="Times New Roman"/>
          <w:szCs w:val="20"/>
          <w:lang w:val="en-US"/>
        </w:rPr>
        <w:t>,</w:t>
      </w:r>
      <w:r w:rsidRPr="00A2171C">
        <w:rPr>
          <w:rFonts w:eastAsia="Times New Roman" w:cs="Times New Roman"/>
          <w:szCs w:val="20"/>
          <w:lang w:val="en-GB"/>
        </w:rPr>
        <w:t xml:space="preserve"> </w:t>
      </w:r>
      <w:r w:rsidRPr="00A2171C">
        <w:rPr>
          <w:szCs w:val="20"/>
          <w:lang w:val="en-US"/>
        </w:rPr>
        <w:t xml:space="preserve">which should be immediately </w:t>
      </w:r>
      <w:r w:rsidR="00CD7D74" w:rsidRPr="00A2171C">
        <w:rPr>
          <w:szCs w:val="20"/>
          <w:lang w:val="en-US"/>
        </w:rPr>
        <w:t>corrected</w:t>
      </w:r>
      <w:r w:rsidRPr="00A2171C">
        <w:rPr>
          <w:rFonts w:eastAsia="Times New Roman" w:cs="Times New Roman"/>
          <w:szCs w:val="20"/>
          <w:lang w:val="en-GB"/>
        </w:rPr>
        <w:t xml:space="preserve">. The </w:t>
      </w:r>
      <w:r w:rsidRPr="00A2171C">
        <w:rPr>
          <w:rFonts w:eastAsia="Times New Roman" w:cs="Times New Roman"/>
          <w:i/>
          <w:szCs w:val="20"/>
          <w:lang w:val="en-GB"/>
        </w:rPr>
        <w:t>SF</w:t>
      </w:r>
      <w:r w:rsidRPr="00A2171C">
        <w:rPr>
          <w:rFonts w:eastAsia="Times New Roman" w:cs="Times New Roman"/>
          <w:i/>
          <w:szCs w:val="20"/>
          <w:vertAlign w:val="subscript"/>
          <w:lang w:val="en-GB"/>
        </w:rPr>
        <w:t>P</w:t>
      </w:r>
      <w:r w:rsidRPr="00A2171C">
        <w:rPr>
          <w:rFonts w:eastAsia="Times New Roman" w:cs="Times New Roman"/>
          <w:szCs w:val="20"/>
          <w:lang w:val="en-GB"/>
        </w:rPr>
        <w:t xml:space="preserve"> factor results </w:t>
      </w:r>
      <w:r w:rsidR="00CD7D74" w:rsidRPr="00A2171C">
        <w:rPr>
          <w:rFonts w:eastAsia="Times New Roman" w:cs="Times New Roman"/>
          <w:szCs w:val="20"/>
          <w:lang w:val="en-GB"/>
        </w:rPr>
        <w:t>(</w:t>
      </w:r>
      <w:r w:rsidR="002E6659" w:rsidRPr="00A2171C">
        <w:rPr>
          <w:rFonts w:eastAsia="Times New Roman" w:cs="Times New Roman"/>
          <w:szCs w:val="20"/>
          <w:lang w:val="en-GB"/>
        </w:rPr>
        <w:fldChar w:fldCharType="begin"/>
      </w:r>
      <w:r w:rsidR="002E6659" w:rsidRPr="00A2171C">
        <w:rPr>
          <w:rFonts w:eastAsia="Times New Roman" w:cs="Times New Roman"/>
          <w:szCs w:val="20"/>
          <w:lang w:val="en-GB"/>
        </w:rPr>
        <w:instrText xml:space="preserve"> REF _Ref121160257 \h </w:instrText>
      </w:r>
      <w:r w:rsidR="002E6659" w:rsidRPr="00A2171C">
        <w:rPr>
          <w:rFonts w:eastAsia="Times New Roman" w:cs="Times New Roman"/>
          <w:szCs w:val="20"/>
          <w:lang w:val="en-GB"/>
        </w:rPr>
      </w:r>
      <w:r w:rsidR="002E6659" w:rsidRPr="00A2171C">
        <w:rPr>
          <w:rFonts w:eastAsia="Times New Roman" w:cs="Times New Roman"/>
          <w:szCs w:val="20"/>
          <w:lang w:val="en-GB"/>
        </w:rPr>
        <w:fldChar w:fldCharType="separate"/>
      </w:r>
      <w:r w:rsidR="00C20049" w:rsidRPr="00A2171C">
        <w:rPr>
          <w:lang w:val="en-US"/>
        </w:rPr>
        <w:t xml:space="preserve">Table </w:t>
      </w:r>
      <w:r w:rsidR="00C20049" w:rsidRPr="00A2171C">
        <w:rPr>
          <w:noProof/>
          <w:lang w:val="en-US"/>
        </w:rPr>
        <w:t>6</w:t>
      </w:r>
      <w:r w:rsidR="002E6659" w:rsidRPr="00A2171C">
        <w:rPr>
          <w:rFonts w:eastAsia="Times New Roman" w:cs="Times New Roman"/>
          <w:szCs w:val="20"/>
          <w:lang w:val="en-GB"/>
        </w:rPr>
        <w:fldChar w:fldCharType="end"/>
      </w:r>
      <w:r w:rsidR="00CD7D74" w:rsidRPr="00A2171C">
        <w:rPr>
          <w:rFonts w:eastAsia="Times New Roman" w:cs="Times New Roman"/>
          <w:szCs w:val="20"/>
          <w:lang w:val="en-GB"/>
        </w:rPr>
        <w:t xml:space="preserve">) </w:t>
      </w:r>
      <w:r w:rsidRPr="00A2171C">
        <w:rPr>
          <w:rFonts w:eastAsia="Times New Roman" w:cs="Times New Roman"/>
          <w:szCs w:val="20"/>
          <w:lang w:val="en-GB"/>
        </w:rPr>
        <w:t>show that CL&amp;Va structures are more susceptible to fire propagation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w:rPr>
            <w:rFonts w:ascii="Cambria Math" w:eastAsia="Times New Roman" w:hAnsi="Cambria Math" w:cs="Times New Roman"/>
            <w:szCs w:val="20"/>
            <w:lang w:val="en-GB"/>
          </w:rPr>
          <m:t>=1.77</m:t>
        </m:r>
      </m:oMath>
      <w:r w:rsidRPr="00A2171C">
        <w:rPr>
          <w:rFonts w:eastAsia="Times New Roman" w:cs="Times New Roman"/>
          <w:szCs w:val="20"/>
          <w:lang w:val="en-GB"/>
        </w:rPr>
        <w:t xml:space="preserve"> corresponding to high risk level) than CD buildings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w:rPr>
            <w:rFonts w:ascii="Cambria Math" w:eastAsia="Times New Roman" w:hAnsi="Cambria Math" w:cs="Times New Roman"/>
            <w:szCs w:val="20"/>
            <w:lang w:val="en-GB"/>
          </w:rPr>
          <m:t>=1.67</m:t>
        </m:r>
      </m:oMath>
      <w:r w:rsidRPr="00A2171C">
        <w:rPr>
          <w:rFonts w:eastAsia="Times New Roman" w:cs="Times New Roman"/>
          <w:szCs w:val="20"/>
          <w:lang w:val="en-GB"/>
        </w:rPr>
        <w:t>)</w:t>
      </w:r>
      <w:r w:rsidR="00CD7D74" w:rsidRPr="00A2171C">
        <w:rPr>
          <w:rFonts w:eastAsia="Times New Roman" w:cs="Times New Roman"/>
          <w:szCs w:val="20"/>
          <w:lang w:val="en-GB"/>
        </w:rPr>
        <w:t xml:space="preserve">. This is </w:t>
      </w:r>
      <w:r w:rsidRPr="00A2171C">
        <w:rPr>
          <w:rFonts w:eastAsia="Times New Roman" w:cs="Times New Roman"/>
          <w:szCs w:val="20"/>
          <w:lang w:val="en-GB"/>
        </w:rPr>
        <w:t>mainly due to</w:t>
      </w:r>
      <w:r w:rsidR="00CD7D74" w:rsidRPr="00A2171C">
        <w:rPr>
          <w:rFonts w:eastAsia="Times New Roman" w:cs="Times New Roman"/>
          <w:szCs w:val="20"/>
          <w:lang w:val="en-GB"/>
        </w:rPr>
        <w:t xml:space="preserve"> (i)</w:t>
      </w:r>
      <w:r w:rsidRPr="00A2171C">
        <w:rPr>
          <w:rFonts w:eastAsia="Times New Roman" w:cs="Times New Roman"/>
          <w:szCs w:val="20"/>
          <w:lang w:val="en-GB"/>
        </w:rPr>
        <w:t xml:space="preserve"> the lack of </w:t>
      </w:r>
      <w:r w:rsidR="00CD7D74" w:rsidRPr="00A2171C">
        <w:rPr>
          <w:rFonts w:eastAsia="Times New Roman" w:cs="Times New Roman"/>
          <w:szCs w:val="20"/>
          <w:lang w:val="en-GB"/>
        </w:rPr>
        <w:t xml:space="preserve">compartmentalisations </w:t>
      </w:r>
      <w:r w:rsidRPr="00A2171C">
        <w:rPr>
          <w:rFonts w:eastAsia="Times New Roman" w:cs="Times New Roman"/>
          <w:szCs w:val="20"/>
          <w:lang w:val="en-GB"/>
        </w:rPr>
        <w:t>and part</w:t>
      </w:r>
      <w:r w:rsidR="00CD7D74" w:rsidRPr="00A2171C">
        <w:rPr>
          <w:rFonts w:eastAsia="Times New Roman" w:cs="Times New Roman"/>
          <w:szCs w:val="20"/>
          <w:lang w:val="en-GB"/>
        </w:rPr>
        <w:t>ition</w:t>
      </w:r>
      <w:r w:rsidRPr="00A2171C">
        <w:rPr>
          <w:rFonts w:eastAsia="Times New Roman" w:cs="Times New Roman"/>
          <w:szCs w:val="20"/>
          <w:lang w:val="en-GB"/>
        </w:rPr>
        <w:t xml:space="preserve"> firewalls (CL&amp;Va_T1</w:t>
      </w:r>
      <w:r w:rsidR="00CD7D74" w:rsidRPr="00A2171C">
        <w:rPr>
          <w:rFonts w:eastAsia="Times New Roman" w:cs="Times New Roman"/>
          <w:szCs w:val="20"/>
          <w:lang w:val="en-GB"/>
        </w:rPr>
        <w:t>)</w:t>
      </w:r>
      <w:r w:rsidRPr="00A2171C">
        <w:rPr>
          <w:rFonts w:eastAsia="Times New Roman" w:cs="Times New Roman"/>
          <w:szCs w:val="20"/>
          <w:lang w:val="en-GB"/>
        </w:rPr>
        <w:t xml:space="preserve"> </w:t>
      </w:r>
      <w:r w:rsidR="00CD7D74" w:rsidRPr="00A2171C">
        <w:rPr>
          <w:rFonts w:eastAsia="Times New Roman" w:cs="Times New Roman"/>
          <w:szCs w:val="20"/>
          <w:lang w:val="en-GB"/>
        </w:rPr>
        <w:t xml:space="preserve">in </w:t>
      </w:r>
      <w:r w:rsidRPr="00A2171C">
        <w:rPr>
          <w:rFonts w:eastAsia="Times New Roman" w:cs="Times New Roman"/>
          <w:szCs w:val="20"/>
          <w:lang w:val="en-GB"/>
        </w:rPr>
        <w:t>dwellings characterized by a first floor built in adobe or brick masonry, and 2</w:t>
      </w:r>
      <w:r w:rsidRPr="00A2171C">
        <w:rPr>
          <w:rFonts w:eastAsia="Times New Roman" w:cs="Times New Roman"/>
          <w:szCs w:val="20"/>
          <w:vertAlign w:val="superscript"/>
          <w:lang w:val="en-GB"/>
        </w:rPr>
        <w:t xml:space="preserve">nd </w:t>
      </w:r>
      <w:r w:rsidRPr="00A2171C">
        <w:rPr>
          <w:rFonts w:eastAsia="Times New Roman" w:cs="Times New Roman"/>
          <w:szCs w:val="20"/>
          <w:lang w:val="en-GB"/>
        </w:rPr>
        <w:t xml:space="preserve">story </w:t>
      </w:r>
      <w:r w:rsidR="00CD7D74" w:rsidRPr="00A2171C">
        <w:rPr>
          <w:rFonts w:eastAsia="Times New Roman" w:cs="Times New Roman"/>
          <w:szCs w:val="20"/>
          <w:lang w:val="en-GB"/>
        </w:rPr>
        <w:t xml:space="preserve">in </w:t>
      </w:r>
      <w:r w:rsidRPr="00A2171C">
        <w:rPr>
          <w:rFonts w:eastAsia="Times New Roman" w:cs="Times New Roman"/>
          <w:szCs w:val="20"/>
          <w:lang w:val="en-GB"/>
        </w:rPr>
        <w:t xml:space="preserve">mixed techniques; </w:t>
      </w:r>
      <w:r w:rsidR="00CD7D74" w:rsidRPr="00A2171C">
        <w:rPr>
          <w:rFonts w:eastAsia="Times New Roman" w:cs="Times New Roman"/>
          <w:szCs w:val="20"/>
          <w:lang w:val="en-GB"/>
        </w:rPr>
        <w:t xml:space="preserve">(ii) </w:t>
      </w:r>
      <w:r w:rsidRPr="00A2171C">
        <w:rPr>
          <w:rFonts w:eastAsia="Times New Roman" w:cs="Times New Roman"/>
          <w:szCs w:val="20"/>
          <w:lang w:val="en-GB"/>
        </w:rPr>
        <w:t xml:space="preserve">the presence of sharing wood roof and </w:t>
      </w:r>
      <w:r w:rsidRPr="00A2171C">
        <w:rPr>
          <w:rFonts w:eastAsia="Times New Roman" w:cs="Times New Roman"/>
          <w:i/>
          <w:szCs w:val="20"/>
          <w:lang w:val="en-GB"/>
        </w:rPr>
        <w:t xml:space="preserve">tabique </w:t>
      </w:r>
      <w:r w:rsidRPr="00A2171C">
        <w:rPr>
          <w:rFonts w:eastAsia="Times New Roman" w:cs="Times New Roman"/>
          <w:szCs w:val="20"/>
          <w:lang w:val="en-GB"/>
        </w:rPr>
        <w:t xml:space="preserve">walls with moderate to high fire load densities; and </w:t>
      </w:r>
      <w:r w:rsidR="00CD7D74" w:rsidRPr="00A2171C">
        <w:rPr>
          <w:rFonts w:eastAsia="Times New Roman" w:cs="Times New Roman"/>
          <w:szCs w:val="20"/>
          <w:lang w:val="en-GB"/>
        </w:rPr>
        <w:t xml:space="preserve">(iii) </w:t>
      </w:r>
      <w:r w:rsidRPr="00A2171C">
        <w:rPr>
          <w:rFonts w:eastAsia="Times New Roman" w:cs="Times New Roman"/>
          <w:szCs w:val="20"/>
          <w:lang w:val="en-GB"/>
        </w:rPr>
        <w:t xml:space="preserve">the absence of detection and alarm systems. </w:t>
      </w:r>
    </w:p>
    <w:tbl>
      <w:tblPr>
        <w:tblStyle w:val="TableGrid"/>
        <w:tblW w:w="9688" w:type="dxa"/>
        <w:jc w:val="center"/>
        <w:tblLook w:val="04A0" w:firstRow="1" w:lastRow="0" w:firstColumn="1" w:lastColumn="0" w:noHBand="0" w:noVBand="1"/>
      </w:tblPr>
      <w:tblGrid>
        <w:gridCol w:w="7994"/>
        <w:gridCol w:w="1694"/>
      </w:tblGrid>
      <w:tr w:rsidR="00A2171C" w:rsidRPr="00A2171C" w14:paraId="5CA0F2C0" w14:textId="77777777" w:rsidTr="004729FD">
        <w:trPr>
          <w:jc w:val="center"/>
        </w:trPr>
        <w:tc>
          <w:tcPr>
            <w:tcW w:w="7994" w:type="dxa"/>
          </w:tcPr>
          <w:p w14:paraId="3957D495" w14:textId="77777777" w:rsidR="00A46867" w:rsidRPr="00A2171C" w:rsidRDefault="00A46867" w:rsidP="00BA2612">
            <w:pPr>
              <w:spacing w:line="240" w:lineRule="auto"/>
              <w:rPr>
                <w:rFonts w:eastAsia="Times New Roman" w:cs="Times New Roman"/>
                <w:noProof/>
                <w:sz w:val="14"/>
                <w:szCs w:val="14"/>
                <w:lang w:val="en-GB"/>
              </w:rPr>
            </w:pPr>
            <w:bookmarkStart w:id="29" w:name="_Ref90127522"/>
          </w:p>
          <w:p w14:paraId="79833111" w14:textId="64184838" w:rsidR="00A46867" w:rsidRPr="00A2171C" w:rsidRDefault="005446E0" w:rsidP="00BA2612">
            <w:pPr>
              <w:rPr>
                <w:rFonts w:eastAsia="Times New Roman" w:cs="Times New Roman"/>
                <w:sz w:val="21"/>
                <w:szCs w:val="21"/>
                <w:lang w:val="en-GB"/>
              </w:rPr>
            </w:pPr>
            <w:r w:rsidRPr="00A2171C">
              <w:rPr>
                <w:rFonts w:eastAsia="Times New Roman" w:cs="Times New Roman"/>
                <w:noProof/>
                <w:szCs w:val="20"/>
                <w:lang w:val="en-GB"/>
              </w:rPr>
              <w:drawing>
                <wp:inline distT="0" distB="0" distL="0" distR="0" wp14:anchorId="129780B6" wp14:editId="59317CF7">
                  <wp:extent cx="4876223" cy="3310759"/>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6897" cy="3324796"/>
                          </a:xfrm>
                          <a:prstGeom prst="rect">
                            <a:avLst/>
                          </a:prstGeom>
                          <a:noFill/>
                          <a:ln>
                            <a:noFill/>
                          </a:ln>
                        </pic:spPr>
                      </pic:pic>
                    </a:graphicData>
                  </a:graphic>
                </wp:inline>
              </w:drawing>
            </w:r>
          </w:p>
        </w:tc>
        <w:tc>
          <w:tcPr>
            <w:tcW w:w="1694" w:type="dxa"/>
          </w:tcPr>
          <w:p w14:paraId="38FE4A51" w14:textId="77777777" w:rsidR="00A46867" w:rsidRPr="00A2171C" w:rsidRDefault="00A46867" w:rsidP="00BA2612">
            <w:pPr>
              <w:spacing w:line="240" w:lineRule="auto"/>
              <w:jc w:val="center"/>
              <w:rPr>
                <w:rFonts w:eastAsia="Times New Roman" w:cs="Times New Roman"/>
                <w:noProof/>
                <w:sz w:val="10"/>
                <w:szCs w:val="10"/>
                <w:lang w:val="en-GB"/>
              </w:rPr>
            </w:pPr>
          </w:p>
          <w:p w14:paraId="3ECBF7A7" w14:textId="77777777" w:rsidR="00A46867" w:rsidRPr="00A2171C" w:rsidRDefault="00A46867" w:rsidP="00BA2612">
            <w:pPr>
              <w:spacing w:line="240" w:lineRule="auto"/>
              <w:jc w:val="center"/>
              <w:rPr>
                <w:rFonts w:eastAsia="Times New Roman" w:cs="Times New Roman"/>
                <w:sz w:val="21"/>
                <w:szCs w:val="21"/>
                <w:lang w:val="en-GB"/>
              </w:rPr>
            </w:pPr>
            <w:r w:rsidRPr="00A2171C">
              <w:rPr>
                <w:rFonts w:eastAsia="Times New Roman" w:cs="Times New Roman"/>
                <w:noProof/>
                <w:sz w:val="21"/>
                <w:szCs w:val="21"/>
                <w:lang w:val="en-GB"/>
              </w:rPr>
              <w:drawing>
                <wp:inline distT="0" distB="0" distL="0" distR="0" wp14:anchorId="1AE626CC" wp14:editId="0A6B1949">
                  <wp:extent cx="839892" cy="3426803"/>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769" r="49743" b="2162"/>
                          <a:stretch/>
                        </pic:blipFill>
                        <pic:spPr bwMode="auto">
                          <a:xfrm>
                            <a:off x="0" y="0"/>
                            <a:ext cx="848195" cy="3460680"/>
                          </a:xfrm>
                          <a:prstGeom prst="rect">
                            <a:avLst/>
                          </a:prstGeom>
                          <a:noFill/>
                          <a:ln>
                            <a:noFill/>
                          </a:ln>
                          <a:extLst>
                            <a:ext uri="{53640926-AAD7-44D8-BBD7-CCE9431645EC}">
                              <a14:shadowObscured xmlns:a14="http://schemas.microsoft.com/office/drawing/2010/main"/>
                            </a:ext>
                          </a:extLst>
                        </pic:spPr>
                      </pic:pic>
                    </a:graphicData>
                  </a:graphic>
                </wp:inline>
              </w:drawing>
            </w:r>
          </w:p>
          <w:p w14:paraId="0E75EA0F" w14:textId="0FF18019" w:rsidR="00C802B8" w:rsidRPr="00A2171C" w:rsidRDefault="00C802B8" w:rsidP="00BA2612">
            <w:pPr>
              <w:spacing w:line="240" w:lineRule="auto"/>
              <w:jc w:val="center"/>
              <w:rPr>
                <w:rFonts w:eastAsia="Times New Roman" w:cs="Times New Roman"/>
                <w:sz w:val="4"/>
                <w:szCs w:val="4"/>
                <w:lang w:val="en-GB"/>
              </w:rPr>
            </w:pPr>
          </w:p>
        </w:tc>
      </w:tr>
      <w:tr w:rsidR="00A2171C" w:rsidRPr="00A2171C" w14:paraId="005D165A" w14:textId="77777777" w:rsidTr="004729FD">
        <w:trPr>
          <w:jc w:val="center"/>
        </w:trPr>
        <w:tc>
          <w:tcPr>
            <w:tcW w:w="7994" w:type="dxa"/>
          </w:tcPr>
          <w:p w14:paraId="258D9D86" w14:textId="77777777" w:rsidR="00A46867" w:rsidRPr="00A2171C" w:rsidRDefault="00A46867" w:rsidP="00BA2612">
            <w:pPr>
              <w:spacing w:line="240" w:lineRule="auto"/>
              <w:jc w:val="center"/>
              <w:rPr>
                <w:rFonts w:eastAsia="Times New Roman" w:cs="Times New Roman"/>
                <w:noProof/>
                <w:szCs w:val="20"/>
                <w:lang w:val="en-GB"/>
              </w:rPr>
            </w:pPr>
            <w:r w:rsidRPr="00A2171C">
              <w:rPr>
                <w:rFonts w:eastAsia="Times New Roman" w:cs="Times New Roman"/>
                <w:noProof/>
                <w:szCs w:val="20"/>
                <w:lang w:val="en-GB"/>
              </w:rPr>
              <w:t>(a)</w:t>
            </w:r>
          </w:p>
        </w:tc>
        <w:tc>
          <w:tcPr>
            <w:tcW w:w="1694" w:type="dxa"/>
          </w:tcPr>
          <w:p w14:paraId="44E0D520" w14:textId="77777777" w:rsidR="00A46867" w:rsidRPr="00A2171C" w:rsidRDefault="00A46867" w:rsidP="00BA2612">
            <w:pPr>
              <w:keepNext/>
              <w:spacing w:line="240" w:lineRule="auto"/>
              <w:jc w:val="center"/>
              <w:rPr>
                <w:rFonts w:eastAsia="Times New Roman" w:cs="Times New Roman"/>
                <w:noProof/>
                <w:szCs w:val="20"/>
                <w:lang w:val="en-GB"/>
              </w:rPr>
            </w:pPr>
            <w:r w:rsidRPr="00A2171C">
              <w:rPr>
                <w:rFonts w:eastAsia="Times New Roman" w:cs="Times New Roman"/>
                <w:noProof/>
                <w:szCs w:val="20"/>
                <w:lang w:val="en-GB"/>
              </w:rPr>
              <w:t>(b)</w:t>
            </w:r>
          </w:p>
        </w:tc>
      </w:tr>
    </w:tbl>
    <w:p w14:paraId="0E2F397D" w14:textId="3185B2B2" w:rsidR="00A46867" w:rsidRPr="00A2171C" w:rsidRDefault="00AC5E9F" w:rsidP="00AC5E9F">
      <w:pPr>
        <w:pStyle w:val="Caption"/>
        <w:jc w:val="center"/>
        <w:rPr>
          <w:rFonts w:eastAsia="Times New Roman" w:cs="Times New Roman"/>
          <w:i w:val="0"/>
          <w:color w:val="auto"/>
          <w:lang w:val="en-GB"/>
        </w:rPr>
      </w:pPr>
      <w:bookmarkStart w:id="30" w:name="_Ref121160518"/>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9</w:t>
      </w:r>
      <w:r w:rsidRPr="00A2171C">
        <w:rPr>
          <w:color w:val="auto"/>
        </w:rPr>
        <w:fldChar w:fldCharType="end"/>
      </w:r>
      <w:bookmarkEnd w:id="30"/>
      <w:r w:rsidRPr="00A2171C">
        <w:rPr>
          <w:color w:val="auto"/>
          <w:lang w:val="en-US"/>
        </w:rPr>
        <w:t>:</w:t>
      </w:r>
      <w:bookmarkEnd w:id="29"/>
      <w:r w:rsidR="00A46867" w:rsidRPr="00A2171C">
        <w:rPr>
          <w:color w:val="auto"/>
          <w:lang w:val="en-GB"/>
        </w:rPr>
        <w:t xml:space="preserve"> </w:t>
      </w:r>
      <w:r w:rsidR="00A46867" w:rsidRPr="00A2171C">
        <w:rPr>
          <w:rFonts w:eastAsia="Times New Roman" w:cs="Times New Roman"/>
          <w:color w:val="auto"/>
          <w:lang w:val="en-GB"/>
        </w:rPr>
        <w:t>(a) Mapping and (b) results of fire propagation analysis of Yungay typical zone</w:t>
      </w:r>
    </w:p>
    <w:p w14:paraId="157024CB" w14:textId="77777777" w:rsidR="0030464D" w:rsidRPr="00A2171C" w:rsidRDefault="00A46867" w:rsidP="008600AE">
      <w:pPr>
        <w:pBdr>
          <w:top w:val="nil"/>
          <w:left w:val="nil"/>
          <w:bottom w:val="nil"/>
          <w:right w:val="nil"/>
          <w:between w:val="nil"/>
        </w:pBdr>
        <w:spacing w:after="0"/>
        <w:rPr>
          <w:rFonts w:eastAsia="Times New Roman" w:cs="Times New Roman"/>
          <w:szCs w:val="20"/>
          <w:lang w:val="en-GB"/>
        </w:rPr>
      </w:pPr>
      <w:r w:rsidRPr="00A2171C">
        <w:rPr>
          <w:rFonts w:eastAsia="Times New Roman" w:cs="Times New Roman"/>
          <w:szCs w:val="20"/>
          <w:lang w:val="en-GB"/>
        </w:rPr>
        <w:t>In particular, regarding the gap between aligned openings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P,1</m:t>
            </m:r>
          </m:sub>
        </m:sSub>
      </m:oMath>
      <w:r w:rsidRPr="00A2171C">
        <w:rPr>
          <w:rFonts w:eastAsia="Times New Roman" w:cs="Times New Roman"/>
          <w:szCs w:val="20"/>
          <w:lang w:val="en-GB"/>
        </w:rPr>
        <w:t xml:space="preserve">), only 1.1% (5) </w:t>
      </w:r>
      <w:r w:rsidR="002176CE" w:rsidRPr="00A2171C">
        <w:rPr>
          <w:rFonts w:eastAsia="Times New Roman" w:cs="Times New Roman"/>
          <w:szCs w:val="20"/>
          <w:lang w:val="en-GB"/>
        </w:rPr>
        <w:t xml:space="preserve">satisfies the </w:t>
      </w:r>
      <w:r w:rsidRPr="00A2171C">
        <w:rPr>
          <w:rFonts w:eastAsia="Times New Roman" w:cs="Times New Roman"/>
          <w:szCs w:val="20"/>
          <w:lang w:val="en-GB"/>
        </w:rPr>
        <w:t xml:space="preserve">FRI requirements, while 34.5% (153) and 64.3% (285) have one or more openings with a vertical gap of less than 1.10m. Even the </w:t>
      </w:r>
      <w:r w:rsidRPr="00A2171C">
        <w:rPr>
          <w:rFonts w:eastAsia="Times New Roman" w:cs="Times New Roman"/>
          <w:i/>
          <w:szCs w:val="20"/>
          <w:lang w:val="en-GB"/>
        </w:rPr>
        <w:t>Cités</w:t>
      </w:r>
      <w:r w:rsidRPr="00A2171C">
        <w:rPr>
          <w:rFonts w:eastAsia="Times New Roman" w:cs="Times New Roman"/>
          <w:szCs w:val="20"/>
          <w:lang w:val="en-GB"/>
        </w:rPr>
        <w:t xml:space="preserve"> of P and D urban blocks present a risk level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w:rPr>
            <w:rFonts w:ascii="Cambria Math" w:eastAsia="Times New Roman" w:hAnsi="Cambria Math" w:cs="Times New Roman"/>
            <w:szCs w:val="20"/>
            <w:lang w:val="en-GB"/>
          </w:rPr>
          <m:t>=1.76</m:t>
        </m:r>
      </m:oMath>
      <w:r w:rsidRPr="00A2171C">
        <w:rPr>
          <w:rFonts w:eastAsia="Times New Roman" w:cs="Times New Roman"/>
          <w:szCs w:val="20"/>
          <w:lang w:val="en-GB"/>
        </w:rPr>
        <w:t>)</w:t>
      </w:r>
      <w:r w:rsidR="002176CE" w:rsidRPr="00A2171C">
        <w:rPr>
          <w:rFonts w:eastAsia="Times New Roman" w:cs="Times New Roman"/>
          <w:szCs w:val="20"/>
          <w:lang w:val="en-GB"/>
        </w:rPr>
        <w:t>, which is</w:t>
      </w:r>
      <w:r w:rsidRPr="00A2171C">
        <w:rPr>
          <w:rFonts w:eastAsia="Times New Roman" w:cs="Times New Roman"/>
          <w:szCs w:val="20"/>
          <w:lang w:val="en-GB"/>
        </w:rPr>
        <w:t xml:space="preserve"> higher than the buildings on closed and less densified blocks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w:rPr>
            <w:rFonts w:ascii="Cambria Math" w:eastAsia="Times New Roman" w:hAnsi="Cambria Math" w:cs="Times New Roman"/>
            <w:szCs w:val="20"/>
            <w:lang w:val="en-GB"/>
          </w:rPr>
          <m:t>=1.71</m:t>
        </m:r>
      </m:oMath>
      <w:r w:rsidRPr="00A2171C">
        <w:rPr>
          <w:rFonts w:eastAsia="Times New Roman" w:cs="Times New Roman"/>
          <w:szCs w:val="20"/>
          <w:lang w:val="en-GB"/>
        </w:rPr>
        <w:t>).</w:t>
      </w:r>
      <w:r w:rsidR="002176CE" w:rsidRPr="00A2171C">
        <w:rPr>
          <w:rFonts w:eastAsia="Times New Roman" w:cs="Times New Roman"/>
          <w:szCs w:val="20"/>
          <w:lang w:val="en-GB"/>
        </w:rPr>
        <w:t xml:space="preserve"> </w:t>
      </w:r>
      <w:r w:rsidRPr="00A2171C">
        <w:rPr>
          <w:rFonts w:eastAsia="Times New Roman" w:cs="Times New Roman"/>
          <w:szCs w:val="20"/>
          <w:lang w:val="en-GB"/>
        </w:rPr>
        <w:t>Generally, high or moderate levels of propagation risk are related to use (non-residential-buildings with lack of fire detection and alarm systems)</w:t>
      </w:r>
      <w:r w:rsidR="002176CE" w:rsidRPr="00A2171C">
        <w:rPr>
          <w:rFonts w:eastAsia="Times New Roman" w:cs="Times New Roman"/>
          <w:szCs w:val="20"/>
          <w:lang w:val="en-GB"/>
        </w:rPr>
        <w:t>.</w:t>
      </w:r>
      <w:r w:rsidRPr="00A2171C">
        <w:rPr>
          <w:rFonts w:eastAsia="Times New Roman" w:cs="Times New Roman"/>
          <w:szCs w:val="20"/>
          <w:lang w:val="en-GB"/>
        </w:rPr>
        <w:t xml:space="preserve"> </w:t>
      </w:r>
      <w:r w:rsidR="002176CE" w:rsidRPr="00A2171C">
        <w:rPr>
          <w:rFonts w:eastAsia="Times New Roman" w:cs="Times New Roman"/>
          <w:szCs w:val="20"/>
          <w:lang w:val="en-GB"/>
        </w:rPr>
        <w:t xml:space="preserve">The </w:t>
      </w:r>
      <w:r w:rsidRPr="00A2171C">
        <w:rPr>
          <w:rFonts w:eastAsia="Times New Roman" w:cs="Times New Roman"/>
          <w:szCs w:val="20"/>
          <w:lang w:val="en-GB"/>
        </w:rPr>
        <w:t xml:space="preserve">destination </w:t>
      </w:r>
      <w:r w:rsidR="002176CE" w:rsidRPr="00A2171C">
        <w:rPr>
          <w:rFonts w:eastAsia="Times New Roman" w:cs="Times New Roman"/>
          <w:szCs w:val="20"/>
          <w:lang w:val="en-GB"/>
        </w:rPr>
        <w:t xml:space="preserve">of the SU </w:t>
      </w:r>
      <w:r w:rsidRPr="00A2171C">
        <w:rPr>
          <w:rFonts w:eastAsia="Times New Roman" w:cs="Times New Roman"/>
          <w:szCs w:val="20"/>
          <w:lang w:val="en-GB"/>
        </w:rPr>
        <w:t xml:space="preserve">is a determining factor in fire propagation (e.g., commercial lots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w:rPr>
            <w:rFonts w:ascii="Cambria Math" w:eastAsia="Times New Roman" w:hAnsi="Cambria Math" w:cs="Times New Roman"/>
            <w:szCs w:val="20"/>
            <w:lang w:val="en-GB"/>
          </w:rPr>
          <m:t>=1.75</m:t>
        </m:r>
      </m:oMath>
      <w:r w:rsidRPr="00A2171C">
        <w:rPr>
          <w:rFonts w:eastAsia="Times New Roman" w:cs="Times New Roman"/>
          <w:szCs w:val="20"/>
          <w:lang w:val="en-GB"/>
        </w:rPr>
        <w:t>)</w:t>
      </w:r>
      <w:r w:rsidR="002176CE" w:rsidRPr="00A2171C">
        <w:rPr>
          <w:rFonts w:eastAsia="Times New Roman" w:cs="Times New Roman"/>
          <w:szCs w:val="20"/>
          <w:lang w:val="en-GB"/>
        </w:rPr>
        <w:t>,</w:t>
      </w:r>
      <w:r w:rsidRPr="00A2171C">
        <w:rPr>
          <w:rFonts w:eastAsia="Times New Roman" w:cs="Times New Roman"/>
          <w:szCs w:val="20"/>
          <w:lang w:val="en-GB"/>
        </w:rPr>
        <w:t xml:space="preserve"> as </w:t>
      </w:r>
      <w:r w:rsidR="002176CE" w:rsidRPr="00A2171C">
        <w:rPr>
          <w:rFonts w:eastAsia="Times New Roman" w:cs="Times New Roman"/>
          <w:szCs w:val="20"/>
          <w:lang w:val="en-GB"/>
        </w:rPr>
        <w:t xml:space="preserve">there are </w:t>
      </w:r>
      <w:r w:rsidRPr="00A2171C">
        <w:rPr>
          <w:rFonts w:eastAsia="Times New Roman" w:cs="Times New Roman"/>
          <w:szCs w:val="20"/>
          <w:lang w:val="en-GB"/>
        </w:rPr>
        <w:t>construction techniques and partitioning systems.</w:t>
      </w:r>
    </w:p>
    <w:p w14:paraId="3DFB1FD3" w14:textId="31A08DB7" w:rsidR="0030464D" w:rsidRPr="00A2171C" w:rsidRDefault="0030464D" w:rsidP="008600AE">
      <w:pPr>
        <w:pBdr>
          <w:top w:val="nil"/>
          <w:left w:val="nil"/>
          <w:bottom w:val="nil"/>
          <w:right w:val="nil"/>
          <w:between w:val="nil"/>
        </w:pBdr>
        <w:spacing w:after="0"/>
        <w:rPr>
          <w:rFonts w:cs="Times New Roman"/>
          <w:lang w:val="en-GB"/>
        </w:rPr>
      </w:pPr>
      <w:r w:rsidRPr="00A2171C">
        <w:rPr>
          <w:rFonts w:eastAsia="Times New Roman" w:cs="Times New Roman"/>
          <w:lang w:val="en-GB"/>
        </w:rPr>
        <w:t>According to the Chilean GUPCL, safety-security teams and active protection systems are not mandatory for residential buildings characterized by 1 or 2-storey facades as it is the case of Yungay. Thus, 81.3% of the analysed buildings (360) do not have pre-arranged groups of individuals in charge of communicating fire ignitions. Consequently, the formation of safety and security groups for urban blocks is considered a useful strategy to reduce fire propagation risks.</w:t>
      </w:r>
    </w:p>
    <w:p w14:paraId="2E0A45D7" w14:textId="77777777" w:rsidR="00A46867" w:rsidRPr="00A2171C" w:rsidRDefault="00A46867" w:rsidP="00A46867">
      <w:pPr>
        <w:pStyle w:val="Heading2"/>
        <w:spacing w:before="240"/>
        <w:ind w:firstLine="708"/>
        <w:rPr>
          <w:bCs/>
          <w:color w:val="auto"/>
          <w:sz w:val="24"/>
          <w:szCs w:val="24"/>
          <w:lang w:val="en-CA"/>
        </w:rPr>
      </w:pPr>
      <w:r w:rsidRPr="00A2171C">
        <w:rPr>
          <w:bCs/>
          <w:color w:val="auto"/>
          <w:sz w:val="24"/>
          <w:szCs w:val="24"/>
          <w:lang w:val="en-CA"/>
        </w:rPr>
        <w:t>3.3 Fire evacuation conditions [SF</w:t>
      </w:r>
      <w:r w:rsidRPr="00A2171C">
        <w:rPr>
          <w:bCs/>
          <w:color w:val="auto"/>
          <w:sz w:val="24"/>
          <w:szCs w:val="24"/>
          <w:vertAlign w:val="subscript"/>
          <w:lang w:val="en-CA"/>
        </w:rPr>
        <w:t>E</w:t>
      </w:r>
      <w:r w:rsidRPr="00A2171C">
        <w:rPr>
          <w:bCs/>
          <w:color w:val="auto"/>
          <w:sz w:val="24"/>
          <w:szCs w:val="24"/>
          <w:lang w:val="en-CA"/>
        </w:rPr>
        <w:t>]</w:t>
      </w:r>
    </w:p>
    <w:p w14:paraId="504C1F43" w14:textId="42DABC67" w:rsidR="0066074D" w:rsidRPr="00A2171C" w:rsidRDefault="00A46867" w:rsidP="004925BF">
      <w:pPr>
        <w:spacing w:after="0"/>
        <w:rPr>
          <w:szCs w:val="20"/>
          <w:lang w:val="en-GB"/>
        </w:rPr>
      </w:pPr>
      <w:r w:rsidRPr="00A2171C">
        <w:rPr>
          <w:rFonts w:eastAsia="Times New Roman" w:cs="Times New Roman"/>
          <w:szCs w:val="20"/>
          <w:lang w:val="en-GB"/>
        </w:rPr>
        <w:t xml:space="preserve">The characteristics and conditions of internal escape routes determine transit flow capacity and evacuation efficiency during a fire. The results obtained for the building evacuation factor have a </w:t>
      </w:r>
      <w:r w:rsidR="0066074D" w:rsidRPr="00A2171C">
        <w:rPr>
          <w:rFonts w:eastAsia="Times New Roman" w:cs="Times New Roman"/>
          <w:szCs w:val="20"/>
          <w:lang w:val="en-GB"/>
        </w:rPr>
        <w:t xml:space="preserve">rather </w:t>
      </w:r>
      <w:r w:rsidRPr="00A2171C">
        <w:rPr>
          <w:rFonts w:eastAsia="Times New Roman" w:cs="Times New Roman"/>
          <w:szCs w:val="20"/>
          <w:lang w:val="en-GB"/>
        </w:rPr>
        <w:t xml:space="preserve">homogeneous distribution as shown in </w:t>
      </w:r>
      <w:r w:rsidR="00136076" w:rsidRPr="00A2171C">
        <w:rPr>
          <w:rFonts w:eastAsia="Times New Roman" w:cs="Times New Roman"/>
          <w:szCs w:val="20"/>
          <w:lang w:val="en-GB"/>
        </w:rPr>
        <w:fldChar w:fldCharType="begin"/>
      </w:r>
      <w:r w:rsidR="00136076" w:rsidRPr="00A2171C">
        <w:rPr>
          <w:rFonts w:eastAsia="Times New Roman" w:cs="Times New Roman"/>
          <w:szCs w:val="20"/>
          <w:lang w:val="en-GB"/>
        </w:rPr>
        <w:instrText xml:space="preserve"> REF _Ref121160709 \h </w:instrText>
      </w:r>
      <w:r w:rsidR="00136076" w:rsidRPr="00A2171C">
        <w:rPr>
          <w:rFonts w:eastAsia="Times New Roman" w:cs="Times New Roman"/>
          <w:szCs w:val="20"/>
          <w:lang w:val="en-GB"/>
        </w:rPr>
      </w:r>
      <w:r w:rsidR="00136076"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10</w:t>
      </w:r>
      <w:r w:rsidR="00136076" w:rsidRPr="00A2171C">
        <w:rPr>
          <w:rFonts w:eastAsia="Times New Roman" w:cs="Times New Roman"/>
          <w:szCs w:val="20"/>
          <w:lang w:val="en-GB"/>
        </w:rPr>
        <w:fldChar w:fldCharType="end"/>
      </w:r>
      <w:r w:rsidR="00620951" w:rsidRPr="00A2171C">
        <w:rPr>
          <w:rFonts w:eastAsia="Times New Roman" w:cs="Times New Roman"/>
          <w:szCs w:val="20"/>
          <w:lang w:val="en-GB"/>
        </w:rPr>
        <w:t xml:space="preserve"> (</w:t>
      </w:r>
      <w:r w:rsidRPr="00A2171C">
        <w:rPr>
          <w:rFonts w:eastAsia="Times New Roman" w:cs="Times New Roman"/>
          <w:szCs w:val="20"/>
          <w:lang w:val="en-US"/>
        </w:rPr>
        <w:t>a</w:t>
      </w:r>
      <w:r w:rsidR="00620951" w:rsidRPr="00A2171C">
        <w:rPr>
          <w:rFonts w:eastAsia="Times New Roman" w:cs="Times New Roman"/>
          <w:szCs w:val="20"/>
          <w:lang w:val="en-US"/>
        </w:rPr>
        <w:t>)</w:t>
      </w:r>
      <w:r w:rsidRPr="00A2171C">
        <w:rPr>
          <w:rFonts w:eastAsia="Times New Roman" w:cs="Times New Roman"/>
          <w:szCs w:val="20"/>
          <w:lang w:val="en-US"/>
        </w:rPr>
        <w:t xml:space="preserve"> and </w:t>
      </w:r>
      <w:r w:rsidR="00620951" w:rsidRPr="00A2171C">
        <w:rPr>
          <w:rFonts w:eastAsia="Times New Roman" w:cs="Times New Roman"/>
          <w:szCs w:val="20"/>
          <w:lang w:val="en-US"/>
        </w:rPr>
        <w:t>(</w:t>
      </w:r>
      <w:r w:rsidRPr="00A2171C">
        <w:rPr>
          <w:rFonts w:eastAsia="Times New Roman" w:cs="Times New Roman"/>
          <w:szCs w:val="20"/>
          <w:lang w:val="en-US"/>
        </w:rPr>
        <w:t>b</w:t>
      </w:r>
      <w:r w:rsidR="00620951" w:rsidRPr="00A2171C">
        <w:rPr>
          <w:rFonts w:eastAsia="Times New Roman" w:cs="Times New Roman"/>
          <w:szCs w:val="20"/>
          <w:lang w:val="en-US"/>
        </w:rPr>
        <w:t>)</w:t>
      </w:r>
      <w:r w:rsidRPr="00A2171C">
        <w:rPr>
          <w:rFonts w:eastAsia="Times New Roman" w:cs="Times New Roman"/>
          <w:szCs w:val="20"/>
          <w:lang w:val="en-US"/>
        </w:rPr>
        <w:t xml:space="preserve">. </w:t>
      </w:r>
      <w:r w:rsidR="0066074D" w:rsidRPr="00A2171C">
        <w:rPr>
          <w:rFonts w:eastAsia="Times New Roman" w:cs="Times New Roman"/>
          <w:szCs w:val="20"/>
          <w:lang w:val="en-GB"/>
        </w:rPr>
        <w:t xml:space="preserve">A total of </w:t>
      </w:r>
      <w:r w:rsidRPr="00A2171C">
        <w:rPr>
          <w:rFonts w:eastAsia="Times New Roman" w:cs="Times New Roman"/>
          <w:szCs w:val="20"/>
          <w:lang w:val="en-GB"/>
        </w:rPr>
        <w:t xml:space="preserve">99.5% (421) of </w:t>
      </w:r>
      <w:r w:rsidR="0066074D" w:rsidRPr="00A2171C">
        <w:rPr>
          <w:rFonts w:eastAsia="Times New Roman" w:cs="Times New Roman"/>
          <w:szCs w:val="20"/>
          <w:lang w:val="en-GB"/>
        </w:rPr>
        <w:t xml:space="preserve">the people </w:t>
      </w:r>
      <w:r w:rsidRPr="00A2171C">
        <w:rPr>
          <w:rFonts w:eastAsia="Times New Roman" w:cs="Times New Roman"/>
          <w:szCs w:val="20"/>
          <w:lang w:val="en-GB"/>
        </w:rPr>
        <w:t xml:space="preserve">in </w:t>
      </w:r>
      <w:r w:rsidR="0066074D" w:rsidRPr="00A2171C">
        <w:rPr>
          <w:rFonts w:eastAsia="Times New Roman" w:cs="Times New Roman"/>
          <w:szCs w:val="20"/>
          <w:lang w:val="en-GB"/>
        </w:rPr>
        <w:t>this neighbourhood</w:t>
      </w:r>
      <w:r w:rsidRPr="00A2171C">
        <w:rPr>
          <w:rFonts w:eastAsia="Times New Roman" w:cs="Times New Roman"/>
          <w:szCs w:val="20"/>
          <w:lang w:val="en-GB"/>
        </w:rPr>
        <w:t xml:space="preserve"> live in buildings with moderate risk </w:t>
      </w:r>
      <w:r w:rsidR="0066074D" w:rsidRPr="00A2171C">
        <w:rPr>
          <w:rFonts w:eastAsia="Times New Roman" w:cs="Times New Roman"/>
          <w:szCs w:val="20"/>
          <w:lang w:val="en-GB"/>
        </w:rPr>
        <w:t>relative</w:t>
      </w:r>
      <w:r w:rsidRPr="00A2171C">
        <w:rPr>
          <w:rFonts w:eastAsia="Times New Roman" w:cs="Times New Roman"/>
          <w:szCs w:val="20"/>
          <w:lang w:val="en-GB"/>
        </w:rPr>
        <w:t xml:space="preserve"> to evacuation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E</m:t>
            </m:r>
          </m:sub>
        </m:sSub>
        <m:r>
          <w:rPr>
            <w:rFonts w:ascii="Cambria Math" w:eastAsia="Times New Roman" w:hAnsi="Cambria Math" w:cs="Times New Roman"/>
            <w:szCs w:val="20"/>
            <w:lang w:val="en-GB"/>
          </w:rPr>
          <m:t>=1.24-1.30</m:t>
        </m:r>
      </m:oMath>
      <w:r w:rsidRPr="00A2171C">
        <w:rPr>
          <w:rFonts w:eastAsia="Times New Roman" w:cs="Times New Roman"/>
          <w:szCs w:val="20"/>
          <w:lang w:val="en-GB"/>
        </w:rPr>
        <w:t xml:space="preserve">), and 0.5% (22) with high to extreme </w:t>
      </w:r>
      <w:r w:rsidRPr="00A2171C">
        <w:rPr>
          <w:rFonts w:eastAsia="Times New Roman" w:cs="Times New Roman"/>
          <w:szCs w:val="20"/>
          <w:lang w:val="en-GB"/>
        </w:rPr>
        <w:lastRenderedPageBreak/>
        <w:t>risk</w:t>
      </w:r>
      <w:r w:rsidR="0066074D" w:rsidRPr="00A2171C">
        <w:rPr>
          <w:rFonts w:eastAsia="Times New Roman" w:cs="Times New Roman"/>
          <w:szCs w:val="20"/>
          <w:lang w:val="en-GB"/>
        </w:rPr>
        <w:t>,</w:t>
      </w:r>
      <w:r w:rsidRPr="00A2171C">
        <w:rPr>
          <w:rFonts w:cs="Times New Roman"/>
          <w:szCs w:val="20"/>
          <w:lang w:val="en-US"/>
        </w:rPr>
        <w:t xml:space="preserve"> </w:t>
      </w:r>
      <w:r w:rsidRPr="00A2171C">
        <w:rPr>
          <w:szCs w:val="20"/>
          <w:lang w:val="en-US"/>
        </w:rPr>
        <w:t>which should be immediately mitigated</w:t>
      </w:r>
      <w:r w:rsidRPr="00A2171C">
        <w:rPr>
          <w:rFonts w:eastAsia="Times New Roman" w:cs="Times New Roman"/>
          <w:szCs w:val="20"/>
          <w:lang w:val="en-GB"/>
        </w:rPr>
        <w:t xml:space="preserve">. </w:t>
      </w:r>
      <w:r w:rsidR="0066074D" w:rsidRPr="00A2171C">
        <w:rPr>
          <w:rFonts w:eastAsia="Times New Roman" w:cs="Times New Roman"/>
          <w:szCs w:val="20"/>
          <w:lang w:val="en-GB"/>
        </w:rPr>
        <w:t xml:space="preserve">It is shown that CL&amp;Va, Cités and 2 or more-storey building values—in terms of fire risk evacuation—are the most unfavourable </w:t>
      </w:r>
      <w:r w:rsidR="007F342C" w:rsidRPr="00A2171C">
        <w:rPr>
          <w:rFonts w:eastAsia="Times New Roman" w:cs="Times New Roman"/>
          <w:szCs w:val="20"/>
          <w:lang w:val="en-GB"/>
        </w:rPr>
        <w:t>(</w:t>
      </w:r>
      <w:r w:rsidR="007F342C" w:rsidRPr="00A2171C">
        <w:rPr>
          <w:rFonts w:eastAsia="Times New Roman" w:cs="Times New Roman"/>
          <w:szCs w:val="20"/>
          <w:lang w:val="en-GB"/>
        </w:rPr>
        <w:fldChar w:fldCharType="begin"/>
      </w:r>
      <w:r w:rsidR="007F342C" w:rsidRPr="00A2171C">
        <w:rPr>
          <w:rFonts w:eastAsia="Times New Roman" w:cs="Times New Roman"/>
          <w:szCs w:val="20"/>
          <w:lang w:val="en-GB"/>
        </w:rPr>
        <w:instrText xml:space="preserve"> REF _Ref121160257 \h </w:instrText>
      </w:r>
      <w:r w:rsidR="00C36D81" w:rsidRPr="00A2171C">
        <w:rPr>
          <w:rFonts w:eastAsia="Times New Roman" w:cs="Times New Roman"/>
          <w:szCs w:val="20"/>
          <w:lang w:val="en-GB"/>
        </w:rPr>
        <w:instrText xml:space="preserve"> \* MERGEFORMAT </w:instrText>
      </w:r>
      <w:r w:rsidR="007F342C" w:rsidRPr="00A2171C">
        <w:rPr>
          <w:rFonts w:eastAsia="Times New Roman" w:cs="Times New Roman"/>
          <w:szCs w:val="20"/>
          <w:lang w:val="en-GB"/>
        </w:rPr>
      </w:r>
      <w:r w:rsidR="007F342C" w:rsidRPr="00A2171C">
        <w:rPr>
          <w:rFonts w:eastAsia="Times New Roman" w:cs="Times New Roman"/>
          <w:szCs w:val="20"/>
          <w:lang w:val="en-GB"/>
        </w:rPr>
        <w:fldChar w:fldCharType="separate"/>
      </w:r>
      <w:r w:rsidR="00C20049" w:rsidRPr="00A2171C">
        <w:rPr>
          <w:lang w:val="en-US"/>
        </w:rPr>
        <w:t xml:space="preserve">Table </w:t>
      </w:r>
      <w:r w:rsidR="00C20049" w:rsidRPr="00A2171C">
        <w:rPr>
          <w:noProof/>
          <w:lang w:val="en-US"/>
        </w:rPr>
        <w:t>6</w:t>
      </w:r>
      <w:r w:rsidR="007F342C" w:rsidRPr="00A2171C">
        <w:rPr>
          <w:rFonts w:eastAsia="Times New Roman" w:cs="Times New Roman"/>
          <w:szCs w:val="20"/>
          <w:lang w:val="en-GB"/>
        </w:rPr>
        <w:fldChar w:fldCharType="end"/>
      </w:r>
      <w:r w:rsidR="0066074D" w:rsidRPr="00A2171C">
        <w:rPr>
          <w:rFonts w:eastAsia="Times New Roman" w:cs="Times New Roman"/>
          <w:szCs w:val="20"/>
          <w:lang w:val="en-GB"/>
        </w:rPr>
        <w:t>).</w:t>
      </w:r>
    </w:p>
    <w:tbl>
      <w:tblPr>
        <w:tblStyle w:val="TableGrid"/>
        <w:tblW w:w="9688" w:type="dxa"/>
        <w:jc w:val="center"/>
        <w:tblLook w:val="04A0" w:firstRow="1" w:lastRow="0" w:firstColumn="1" w:lastColumn="0" w:noHBand="0" w:noVBand="1"/>
      </w:tblPr>
      <w:tblGrid>
        <w:gridCol w:w="7994"/>
        <w:gridCol w:w="1694"/>
      </w:tblGrid>
      <w:tr w:rsidR="00A2171C" w:rsidRPr="00A2171C" w14:paraId="669389EC" w14:textId="77777777" w:rsidTr="004729FD">
        <w:trPr>
          <w:jc w:val="center"/>
        </w:trPr>
        <w:tc>
          <w:tcPr>
            <w:tcW w:w="7994" w:type="dxa"/>
          </w:tcPr>
          <w:p w14:paraId="61D806EB" w14:textId="2046F12D" w:rsidR="00A46867" w:rsidRPr="00A2171C" w:rsidRDefault="0066074D" w:rsidP="00BA2612">
            <w:pPr>
              <w:spacing w:line="240" w:lineRule="auto"/>
              <w:rPr>
                <w:rFonts w:eastAsia="Times New Roman" w:cs="Times New Roman"/>
                <w:noProof/>
                <w:sz w:val="14"/>
                <w:szCs w:val="14"/>
                <w:lang w:val="en-GB"/>
              </w:rPr>
            </w:pPr>
            <w:r w:rsidRPr="00A2171C" w:rsidDel="0066074D">
              <w:rPr>
                <w:rStyle w:val="CommentReference"/>
                <w:rFonts w:eastAsia="Times New Roman" w:cs="Times New Roman"/>
                <w:lang w:val="en-US" w:eastAsia="es-CL"/>
              </w:rPr>
              <w:t xml:space="preserve"> </w:t>
            </w:r>
          </w:p>
          <w:p w14:paraId="378E5D8F" w14:textId="0CDE6610" w:rsidR="00A46867" w:rsidRPr="00A2171C" w:rsidRDefault="005446E0" w:rsidP="00BA2612">
            <w:pPr>
              <w:rPr>
                <w:rFonts w:eastAsia="Times New Roman" w:cs="Times New Roman"/>
                <w:sz w:val="21"/>
                <w:szCs w:val="21"/>
                <w:lang w:val="en-GB"/>
              </w:rPr>
            </w:pPr>
            <w:r w:rsidRPr="00A2171C">
              <w:rPr>
                <w:rFonts w:eastAsia="Times New Roman" w:cs="Times New Roman"/>
                <w:noProof/>
                <w:szCs w:val="20"/>
                <w:lang w:val="en-GB"/>
              </w:rPr>
              <w:drawing>
                <wp:inline distT="0" distB="0" distL="0" distR="0" wp14:anchorId="4AFE2C02" wp14:editId="13EB2B69">
                  <wp:extent cx="4907915" cy="3300248"/>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3891" cy="3317715"/>
                          </a:xfrm>
                          <a:prstGeom prst="rect">
                            <a:avLst/>
                          </a:prstGeom>
                          <a:noFill/>
                          <a:ln>
                            <a:noFill/>
                          </a:ln>
                        </pic:spPr>
                      </pic:pic>
                    </a:graphicData>
                  </a:graphic>
                </wp:inline>
              </w:drawing>
            </w:r>
          </w:p>
        </w:tc>
        <w:tc>
          <w:tcPr>
            <w:tcW w:w="1694" w:type="dxa"/>
          </w:tcPr>
          <w:p w14:paraId="6BA7F7E9" w14:textId="77777777" w:rsidR="00A46867" w:rsidRPr="00A2171C" w:rsidRDefault="00A46867" w:rsidP="00BA2612">
            <w:pPr>
              <w:spacing w:line="240" w:lineRule="auto"/>
              <w:jc w:val="center"/>
              <w:rPr>
                <w:rFonts w:eastAsia="Times New Roman" w:cs="Times New Roman"/>
                <w:noProof/>
                <w:sz w:val="14"/>
                <w:szCs w:val="14"/>
                <w:lang w:val="en-GB"/>
              </w:rPr>
            </w:pPr>
          </w:p>
          <w:p w14:paraId="71FC0603" w14:textId="77777777" w:rsidR="00A46867" w:rsidRPr="00A2171C" w:rsidRDefault="00A46867" w:rsidP="00BA2612">
            <w:pPr>
              <w:spacing w:line="240" w:lineRule="auto"/>
              <w:jc w:val="center"/>
              <w:rPr>
                <w:rFonts w:eastAsia="Times New Roman" w:cs="Times New Roman"/>
                <w:sz w:val="21"/>
                <w:szCs w:val="21"/>
                <w:lang w:val="en-GB"/>
              </w:rPr>
            </w:pPr>
            <w:r w:rsidRPr="00A2171C">
              <w:rPr>
                <w:rFonts w:eastAsia="Times New Roman" w:cs="Times New Roman"/>
                <w:noProof/>
                <w:sz w:val="21"/>
                <w:szCs w:val="21"/>
                <w:lang w:val="en-GB"/>
              </w:rPr>
              <w:drawing>
                <wp:inline distT="0" distB="0" distL="0" distR="0" wp14:anchorId="58DB9CF0" wp14:editId="7C209633">
                  <wp:extent cx="832338" cy="339598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921" r="22591" b="2162"/>
                          <a:stretch/>
                        </pic:blipFill>
                        <pic:spPr bwMode="auto">
                          <a:xfrm>
                            <a:off x="0" y="0"/>
                            <a:ext cx="839987" cy="3427190"/>
                          </a:xfrm>
                          <a:prstGeom prst="rect">
                            <a:avLst/>
                          </a:prstGeom>
                          <a:noFill/>
                          <a:ln>
                            <a:noFill/>
                          </a:ln>
                          <a:extLst>
                            <a:ext uri="{53640926-AAD7-44D8-BBD7-CCE9431645EC}">
                              <a14:shadowObscured xmlns:a14="http://schemas.microsoft.com/office/drawing/2010/main"/>
                            </a:ext>
                          </a:extLst>
                        </pic:spPr>
                      </pic:pic>
                    </a:graphicData>
                  </a:graphic>
                </wp:inline>
              </w:drawing>
            </w:r>
          </w:p>
          <w:p w14:paraId="25DE91FE" w14:textId="72102F85" w:rsidR="00C802B8" w:rsidRPr="00A2171C" w:rsidRDefault="00C802B8" w:rsidP="00BA2612">
            <w:pPr>
              <w:spacing w:line="240" w:lineRule="auto"/>
              <w:jc w:val="center"/>
              <w:rPr>
                <w:rFonts w:eastAsia="Times New Roman" w:cs="Times New Roman"/>
                <w:sz w:val="4"/>
                <w:szCs w:val="4"/>
                <w:lang w:val="en-GB"/>
              </w:rPr>
            </w:pPr>
          </w:p>
        </w:tc>
      </w:tr>
      <w:tr w:rsidR="00A2171C" w:rsidRPr="00A2171C" w14:paraId="498DB37B" w14:textId="77777777" w:rsidTr="004729FD">
        <w:trPr>
          <w:jc w:val="center"/>
        </w:trPr>
        <w:tc>
          <w:tcPr>
            <w:tcW w:w="7994" w:type="dxa"/>
          </w:tcPr>
          <w:p w14:paraId="451F1BF8" w14:textId="77777777" w:rsidR="00A46867" w:rsidRPr="00A2171C" w:rsidRDefault="00A46867" w:rsidP="00BA2612">
            <w:pPr>
              <w:spacing w:line="240" w:lineRule="auto"/>
              <w:jc w:val="center"/>
              <w:rPr>
                <w:rFonts w:eastAsia="Times New Roman" w:cs="Times New Roman"/>
                <w:noProof/>
                <w:szCs w:val="20"/>
                <w:lang w:val="en-GB"/>
              </w:rPr>
            </w:pPr>
            <w:r w:rsidRPr="00A2171C">
              <w:rPr>
                <w:rFonts w:eastAsia="Times New Roman" w:cs="Times New Roman"/>
                <w:noProof/>
                <w:szCs w:val="20"/>
                <w:lang w:val="en-GB"/>
              </w:rPr>
              <w:t>(a)</w:t>
            </w:r>
          </w:p>
        </w:tc>
        <w:tc>
          <w:tcPr>
            <w:tcW w:w="1694" w:type="dxa"/>
          </w:tcPr>
          <w:p w14:paraId="5580CEE3" w14:textId="77777777" w:rsidR="00A46867" w:rsidRPr="00A2171C" w:rsidRDefault="00A46867" w:rsidP="00BA2612">
            <w:pPr>
              <w:keepNext/>
              <w:spacing w:line="240" w:lineRule="auto"/>
              <w:jc w:val="center"/>
              <w:rPr>
                <w:rFonts w:eastAsia="Times New Roman" w:cs="Times New Roman"/>
                <w:noProof/>
                <w:szCs w:val="20"/>
                <w:lang w:val="en-GB"/>
              </w:rPr>
            </w:pPr>
            <w:r w:rsidRPr="00A2171C">
              <w:rPr>
                <w:rFonts w:eastAsia="Times New Roman" w:cs="Times New Roman"/>
                <w:noProof/>
                <w:szCs w:val="20"/>
                <w:lang w:val="en-GB"/>
              </w:rPr>
              <w:t>(b)</w:t>
            </w:r>
          </w:p>
        </w:tc>
      </w:tr>
    </w:tbl>
    <w:p w14:paraId="5C2B476E" w14:textId="3A69C8DB" w:rsidR="00A46867" w:rsidRPr="00A2171C" w:rsidRDefault="00A21560" w:rsidP="00A21560">
      <w:pPr>
        <w:pStyle w:val="Caption"/>
        <w:jc w:val="center"/>
        <w:rPr>
          <w:rFonts w:eastAsia="Times New Roman" w:cs="Times New Roman"/>
          <w:i w:val="0"/>
          <w:color w:val="auto"/>
          <w:lang w:val="en-GB"/>
        </w:rPr>
      </w:pPr>
      <w:bookmarkStart w:id="31" w:name="_Ref121160709"/>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10</w:t>
      </w:r>
      <w:r w:rsidRPr="00A2171C">
        <w:rPr>
          <w:color w:val="auto"/>
        </w:rPr>
        <w:fldChar w:fldCharType="end"/>
      </w:r>
      <w:bookmarkEnd w:id="31"/>
      <w:r w:rsidR="00A46867" w:rsidRPr="00A2171C">
        <w:rPr>
          <w:color w:val="auto"/>
          <w:lang w:val="en-US"/>
        </w:rPr>
        <w:t xml:space="preserve">: </w:t>
      </w:r>
      <w:r w:rsidR="00A46867" w:rsidRPr="00A2171C">
        <w:rPr>
          <w:rFonts w:eastAsia="Times New Roman" w:cs="Times New Roman"/>
          <w:color w:val="auto"/>
          <w:lang w:val="en-GB"/>
        </w:rPr>
        <w:t>(a) Mapping and (b) results of fire evacuation analysis of Yungay typical zone</w:t>
      </w:r>
    </w:p>
    <w:p w14:paraId="6866A351" w14:textId="5E0585CA" w:rsidR="00A46867" w:rsidRPr="00A2171C" w:rsidRDefault="00A46867" w:rsidP="00A46867">
      <w:pPr>
        <w:spacing w:after="0"/>
        <w:rPr>
          <w:rFonts w:eastAsia="Times New Roman" w:cs="Times New Roman"/>
          <w:szCs w:val="20"/>
          <w:lang w:val="en-GB"/>
        </w:rPr>
      </w:pPr>
      <w:r w:rsidRPr="00A2171C">
        <w:rPr>
          <w:rFonts w:eastAsia="Times New Roman" w:cs="Times New Roman"/>
          <w:szCs w:val="20"/>
          <w:lang w:val="en-GB"/>
        </w:rPr>
        <w:t xml:space="preserve">The typical architectural layout of CL&amp;Va and 2 or more-storey structures make the evacuation difficult due to steep wooden stairs, often in a precarious state of conservation, and </w:t>
      </w:r>
      <w:r w:rsidR="0066074D" w:rsidRPr="00A2171C">
        <w:rPr>
          <w:rFonts w:eastAsia="Times New Roman" w:cs="Times New Roman"/>
          <w:szCs w:val="20"/>
          <w:lang w:val="en-GB"/>
        </w:rPr>
        <w:t xml:space="preserve">with a </w:t>
      </w:r>
      <w:r w:rsidRPr="00A2171C">
        <w:rPr>
          <w:rFonts w:eastAsia="Times New Roman" w:cs="Times New Roman"/>
          <w:szCs w:val="20"/>
          <w:lang w:val="en-GB"/>
        </w:rPr>
        <w:t>high degree of overcrowding. These features increase the evacuation time of buildings, especially for people with reduced mobility (</w:t>
      </w:r>
      <w:r w:rsidR="00EA1E7F" w:rsidRPr="00A2171C">
        <w:rPr>
          <w:rFonts w:eastAsia="Times New Roman" w:cs="Times New Roman"/>
          <w:szCs w:val="20"/>
          <w:lang w:val="en-GB"/>
        </w:rPr>
        <w:fldChar w:fldCharType="begin"/>
      </w:r>
      <w:r w:rsidR="00EA1E7F" w:rsidRPr="00A2171C">
        <w:rPr>
          <w:rFonts w:eastAsia="Times New Roman" w:cs="Times New Roman"/>
          <w:szCs w:val="20"/>
          <w:lang w:val="en-GB"/>
        </w:rPr>
        <w:instrText xml:space="preserve"> REF _Ref121160709 \h </w:instrText>
      </w:r>
      <w:r w:rsidR="00EA1E7F" w:rsidRPr="00A2171C">
        <w:rPr>
          <w:rFonts w:eastAsia="Times New Roman" w:cs="Times New Roman"/>
          <w:szCs w:val="20"/>
          <w:lang w:val="en-GB"/>
        </w:rPr>
      </w:r>
      <w:r w:rsidR="00EA1E7F"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10</w:t>
      </w:r>
      <w:r w:rsidR="00EA1E7F" w:rsidRPr="00A2171C">
        <w:rPr>
          <w:rFonts w:eastAsia="Times New Roman" w:cs="Times New Roman"/>
          <w:szCs w:val="20"/>
          <w:lang w:val="en-GB"/>
        </w:rPr>
        <w:fldChar w:fldCharType="end"/>
      </w:r>
      <w:r w:rsidRPr="00A2171C">
        <w:rPr>
          <w:rFonts w:eastAsia="Times New Roman" w:cs="Times New Roman"/>
          <w:szCs w:val="20"/>
          <w:lang w:val="en-GB"/>
        </w:rPr>
        <w:t xml:space="preserve">), leading to evacuation factors equal to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E</m:t>
            </m:r>
          </m:sub>
        </m:sSub>
        <m:r>
          <w:rPr>
            <w:rFonts w:ascii="Cambria Math" w:eastAsia="Times New Roman" w:hAnsi="Cambria Math" w:cs="Times New Roman"/>
            <w:szCs w:val="20"/>
            <w:lang w:val="en-GB"/>
          </w:rPr>
          <m:t>=1.38</m:t>
        </m:r>
      </m:oMath>
      <w:r w:rsidRPr="00A2171C">
        <w:rPr>
          <w:rFonts w:eastAsia="Times New Roman" w:cs="Times New Roman"/>
          <w:szCs w:val="20"/>
          <w:lang w:val="en-GB"/>
        </w:rPr>
        <w:t xml:space="preserve"> and </w:t>
      </w:r>
      <m:oMath>
        <m:r>
          <w:rPr>
            <w:rFonts w:ascii="Cambria Math" w:eastAsia="Times New Roman" w:hAnsi="Cambria Math" w:cs="Times New Roman"/>
            <w:szCs w:val="20"/>
            <w:lang w:val="en-GB"/>
          </w:rPr>
          <m:t>1.39</m:t>
        </m:r>
      </m:oMath>
      <w:r w:rsidRPr="00A2171C">
        <w:rPr>
          <w:rFonts w:eastAsia="Times New Roman" w:cs="Times New Roman"/>
          <w:szCs w:val="20"/>
          <w:lang w:val="en-GB"/>
        </w:rPr>
        <w:t xml:space="preserve"> (moderate risk levels), respectively. Also, in the case of </w:t>
      </w:r>
      <w:r w:rsidRPr="00A2171C">
        <w:rPr>
          <w:rFonts w:eastAsia="Times New Roman" w:cs="Times New Roman"/>
          <w:i/>
          <w:szCs w:val="20"/>
          <w:lang w:val="en-GB"/>
        </w:rPr>
        <w:t>Cités</w:t>
      </w:r>
      <w:r w:rsidRPr="00A2171C">
        <w:rPr>
          <w:rFonts w:eastAsia="Times New Roman" w:cs="Times New Roman"/>
          <w:szCs w:val="20"/>
          <w:lang w:val="en-GB"/>
        </w:rPr>
        <w:t xml:space="preserve"> in penetrated urban blocks, the vulnerability with respect to evacuation capacity and times during a fire is greater than that of the other historic buildings in the quarter</w:t>
      </w:r>
      <w:r w:rsidR="0066074D" w:rsidRPr="00A2171C">
        <w:rPr>
          <w:rFonts w:eastAsia="Times New Roman" w:cs="Times New Roman"/>
          <w:szCs w:val="20"/>
          <w:lang w:val="en-GB"/>
        </w:rPr>
        <w:t>.</w:t>
      </w:r>
      <w:r w:rsidRPr="00A2171C">
        <w:rPr>
          <w:rFonts w:eastAsia="Times New Roman" w:cs="Times New Roman"/>
          <w:szCs w:val="20"/>
          <w:lang w:val="en-GB"/>
        </w:rPr>
        <w:t xml:space="preserve"> </w:t>
      </w:r>
      <w:r w:rsidR="0066074D" w:rsidRPr="00A2171C">
        <w:rPr>
          <w:rFonts w:eastAsia="Times New Roman" w:cs="Times New Roman"/>
          <w:szCs w:val="20"/>
          <w:lang w:val="en-GB"/>
        </w:rPr>
        <w:t>In this case</w:t>
      </w:r>
      <w:r w:rsidRPr="00A2171C">
        <w:rPr>
          <w:rFonts w:eastAsia="Times New Roman" w:cs="Times New Roman"/>
          <w:szCs w:val="20"/>
          <w:lang w:val="en-GB"/>
        </w:rPr>
        <w:t xml:space="preserve">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E</m:t>
            </m:r>
          </m:sub>
        </m:sSub>
        <m:r>
          <w:rPr>
            <w:rFonts w:ascii="Cambria Math" w:eastAsia="Times New Roman" w:hAnsi="Cambria Math" w:cs="Times New Roman"/>
            <w:szCs w:val="20"/>
            <w:lang w:val="en-GB"/>
          </w:rPr>
          <m:t>=1.36</m:t>
        </m:r>
      </m:oMath>
      <w:r w:rsidR="0066074D" w:rsidRPr="00A2171C">
        <w:rPr>
          <w:rFonts w:eastAsia="Times New Roman" w:cs="Times New Roman"/>
          <w:szCs w:val="20"/>
          <w:lang w:val="en-GB"/>
        </w:rPr>
        <w:t xml:space="preserve">, which </w:t>
      </w:r>
      <w:r w:rsidRPr="00A2171C">
        <w:rPr>
          <w:rFonts w:eastAsia="Times New Roman" w:cs="Times New Roman"/>
          <w:szCs w:val="20"/>
          <w:lang w:val="en-GB"/>
        </w:rPr>
        <w:t>correspond</w:t>
      </w:r>
      <w:r w:rsidR="0066074D" w:rsidRPr="00A2171C">
        <w:rPr>
          <w:rFonts w:eastAsia="Times New Roman" w:cs="Times New Roman"/>
          <w:szCs w:val="20"/>
          <w:lang w:val="en-GB"/>
        </w:rPr>
        <w:t>s</w:t>
      </w:r>
      <w:r w:rsidRPr="00A2171C">
        <w:rPr>
          <w:rFonts w:eastAsia="Times New Roman" w:cs="Times New Roman"/>
          <w:szCs w:val="20"/>
          <w:lang w:val="en-GB"/>
        </w:rPr>
        <w:t xml:space="preserve"> to a moderate risk level. This group of aggregate dwellings, composed of several social housing units</w:t>
      </w:r>
      <w:r w:rsidR="0066074D" w:rsidRPr="00A2171C">
        <w:rPr>
          <w:rFonts w:eastAsia="Times New Roman" w:cs="Times New Roman"/>
          <w:szCs w:val="20"/>
          <w:lang w:val="en-GB"/>
        </w:rPr>
        <w:t xml:space="preserve">—with </w:t>
      </w:r>
      <w:r w:rsidRPr="00A2171C">
        <w:rPr>
          <w:rFonts w:eastAsia="Times New Roman" w:cs="Times New Roman"/>
          <w:szCs w:val="20"/>
          <w:lang w:val="en-GB"/>
        </w:rPr>
        <w:t>high land occupation levels (70-90%)</w:t>
      </w:r>
      <w:r w:rsidR="0066074D" w:rsidRPr="00A2171C">
        <w:rPr>
          <w:rFonts w:eastAsia="Times New Roman" w:cs="Times New Roman"/>
          <w:szCs w:val="20"/>
          <w:lang w:val="en-GB"/>
        </w:rPr>
        <w:t xml:space="preserve">—and </w:t>
      </w:r>
      <w:r w:rsidRPr="00A2171C">
        <w:rPr>
          <w:rFonts w:eastAsia="Times New Roman" w:cs="Times New Roman"/>
          <w:szCs w:val="20"/>
          <w:lang w:val="en-GB"/>
        </w:rPr>
        <w:t>organized around a narrow central or lateral alley, present deficient evacuation escape routes and a lack of detection</w:t>
      </w:r>
      <w:r w:rsidR="0066074D" w:rsidRPr="00A2171C">
        <w:rPr>
          <w:rFonts w:eastAsia="Times New Roman" w:cs="Times New Roman"/>
          <w:szCs w:val="20"/>
          <w:lang w:val="en-GB"/>
        </w:rPr>
        <w:t xml:space="preserve"> and</w:t>
      </w:r>
      <w:r w:rsidRPr="00A2171C">
        <w:rPr>
          <w:rFonts w:eastAsia="Times New Roman" w:cs="Times New Roman"/>
          <w:szCs w:val="20"/>
          <w:lang w:val="en-GB"/>
        </w:rPr>
        <w:t xml:space="preserve"> alarms systems.</w:t>
      </w:r>
      <w:r w:rsidR="0066074D" w:rsidRPr="00A2171C">
        <w:rPr>
          <w:rFonts w:eastAsia="Times New Roman" w:cs="Times New Roman"/>
          <w:szCs w:val="20"/>
          <w:lang w:val="en-GB"/>
        </w:rPr>
        <w:t xml:space="preserve"> </w:t>
      </w:r>
      <w:r w:rsidRPr="00A2171C">
        <w:rPr>
          <w:rFonts w:eastAsia="Times New Roman" w:cs="Times New Roman"/>
          <w:szCs w:val="20"/>
          <w:lang w:val="en-GB"/>
        </w:rPr>
        <w:t xml:space="preserve">Since the risk factors associated with the evacuation phase are limited to certain types of urban lots and urban block types, specific interventions can be pointed out for increasing evacuation time. </w:t>
      </w:r>
      <w:r w:rsidR="0030464D" w:rsidRPr="00A2171C">
        <w:rPr>
          <w:rFonts w:cs="Times New Roman"/>
          <w:lang w:val="en-CA"/>
        </w:rPr>
        <w:t>As it is difficult to change the width of doors or the inclination of openings, special consideration should be given to improving fire detection and fire alarm installations or through the implementation of fire drills with the community.</w:t>
      </w:r>
    </w:p>
    <w:p w14:paraId="4494493F" w14:textId="77777777" w:rsidR="00A46867" w:rsidRPr="00A2171C" w:rsidRDefault="00A46867" w:rsidP="00A46867">
      <w:pPr>
        <w:pStyle w:val="Heading2"/>
        <w:spacing w:before="240"/>
        <w:ind w:firstLine="708"/>
        <w:rPr>
          <w:bCs/>
          <w:color w:val="auto"/>
          <w:sz w:val="24"/>
          <w:szCs w:val="24"/>
          <w:lang w:val="en-CA"/>
        </w:rPr>
      </w:pPr>
      <w:r w:rsidRPr="00A2171C">
        <w:rPr>
          <w:bCs/>
          <w:color w:val="auto"/>
          <w:sz w:val="24"/>
          <w:szCs w:val="24"/>
          <w:lang w:val="en-CA"/>
        </w:rPr>
        <w:t>3.4 Fire combat efficiency [SF</w:t>
      </w:r>
      <w:r w:rsidRPr="00A2171C">
        <w:rPr>
          <w:bCs/>
          <w:color w:val="auto"/>
          <w:sz w:val="24"/>
          <w:szCs w:val="24"/>
          <w:vertAlign w:val="subscript"/>
          <w:lang w:val="en-CA"/>
        </w:rPr>
        <w:t>C</w:t>
      </w:r>
      <w:r w:rsidRPr="00A2171C">
        <w:rPr>
          <w:bCs/>
          <w:color w:val="auto"/>
          <w:sz w:val="24"/>
          <w:szCs w:val="24"/>
          <w:lang w:val="en-CA"/>
        </w:rPr>
        <w:t>]</w:t>
      </w:r>
    </w:p>
    <w:p w14:paraId="11E33317" w14:textId="19F92719" w:rsidR="00E0282F" w:rsidRPr="00A2171C" w:rsidRDefault="004925BF" w:rsidP="00A46867">
      <w:pPr>
        <w:rPr>
          <w:rFonts w:eastAsia="Times New Roman" w:cs="Times New Roman"/>
          <w:szCs w:val="20"/>
          <w:lang w:val="en-GB"/>
        </w:rPr>
      </w:pPr>
      <w:r w:rsidRPr="00A2171C">
        <w:rPr>
          <w:rFonts w:eastAsia="Times New Roman" w:cs="Times New Roman"/>
          <w:szCs w:val="20"/>
          <w:lang w:val="en-GB"/>
        </w:rPr>
        <w:t>As</w:t>
      </w:r>
      <w:r w:rsidR="00A46867" w:rsidRPr="00A2171C">
        <w:rPr>
          <w:rFonts w:eastAsia="Times New Roman" w:cs="Times New Roman"/>
          <w:szCs w:val="20"/>
          <w:lang w:val="en-GB"/>
        </w:rPr>
        <w:t xml:space="preserve"> shown in </w:t>
      </w:r>
      <w:r w:rsidR="00CD14E9" w:rsidRPr="00A2171C">
        <w:rPr>
          <w:rFonts w:eastAsia="Times New Roman" w:cs="Times New Roman"/>
          <w:szCs w:val="20"/>
          <w:lang w:val="en-GB"/>
        </w:rPr>
        <w:fldChar w:fldCharType="begin"/>
      </w:r>
      <w:r w:rsidR="00CD14E9" w:rsidRPr="00A2171C">
        <w:rPr>
          <w:rFonts w:eastAsia="Times New Roman" w:cs="Times New Roman"/>
          <w:szCs w:val="20"/>
          <w:lang w:val="en-GB"/>
        </w:rPr>
        <w:instrText xml:space="preserve"> REF _Ref121160909 \h </w:instrText>
      </w:r>
      <w:r w:rsidR="00CD14E9" w:rsidRPr="00A2171C">
        <w:rPr>
          <w:rFonts w:eastAsia="Times New Roman" w:cs="Times New Roman"/>
          <w:szCs w:val="20"/>
          <w:lang w:val="en-GB"/>
        </w:rPr>
      </w:r>
      <w:r w:rsidR="00CD14E9"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11</w:t>
      </w:r>
      <w:r w:rsidR="00CD14E9" w:rsidRPr="00A2171C">
        <w:rPr>
          <w:rFonts w:eastAsia="Times New Roman" w:cs="Times New Roman"/>
          <w:szCs w:val="20"/>
          <w:lang w:val="en-GB"/>
        </w:rPr>
        <w:fldChar w:fldCharType="end"/>
      </w:r>
      <w:r w:rsidR="00CD14E9" w:rsidRPr="00A2171C">
        <w:rPr>
          <w:rFonts w:eastAsia="Times New Roman" w:cs="Times New Roman"/>
          <w:szCs w:val="20"/>
          <w:lang w:val="en-GB"/>
        </w:rPr>
        <w:t xml:space="preserve"> </w:t>
      </w:r>
      <w:r w:rsidR="00A46867" w:rsidRPr="00A2171C">
        <w:rPr>
          <w:rFonts w:eastAsia="Times New Roman" w:cs="Times New Roman"/>
          <w:szCs w:val="20"/>
          <w:lang w:val="en-GB"/>
        </w:rPr>
        <w:t>(a) and (b), the 67.4% (291), 22.2% (96), and 12.9% (56) of the SUs have a conditioned, limited</w:t>
      </w:r>
      <w:r w:rsidR="00C4229E" w:rsidRPr="00A2171C">
        <w:rPr>
          <w:rFonts w:eastAsia="Times New Roman" w:cs="Times New Roman"/>
          <w:szCs w:val="20"/>
          <w:lang w:val="en-GB"/>
        </w:rPr>
        <w:t>,</w:t>
      </w:r>
      <w:r w:rsidR="00A46867" w:rsidRPr="00A2171C">
        <w:rPr>
          <w:rFonts w:eastAsia="Times New Roman" w:cs="Times New Roman"/>
          <w:szCs w:val="20"/>
          <w:lang w:val="en-GB"/>
        </w:rPr>
        <w:t xml:space="preserve"> or extremely limited fire combat capacity, respectively, </w:t>
      </w:r>
      <w:r w:rsidR="00C4229E" w:rsidRPr="00A2171C">
        <w:rPr>
          <w:rFonts w:eastAsia="Times New Roman" w:cs="Times New Roman"/>
          <w:szCs w:val="20"/>
          <w:lang w:val="en-GB"/>
        </w:rPr>
        <w:t>which is</w:t>
      </w:r>
      <w:r w:rsidR="00A46867" w:rsidRPr="00A2171C">
        <w:rPr>
          <w:rFonts w:eastAsia="Times New Roman" w:cs="Times New Roman"/>
          <w:szCs w:val="20"/>
          <w:lang w:val="en-GB"/>
        </w:rPr>
        <w:t xml:space="preserve"> unacceptable and totally unacceptable risk according to thresholds risk levels defined </w:t>
      </w:r>
      <w:r w:rsidR="00C4229E" w:rsidRPr="00A2171C">
        <w:rPr>
          <w:rFonts w:eastAsia="Times New Roman" w:cs="Times New Roman"/>
          <w:szCs w:val="20"/>
          <w:lang w:val="en-GB"/>
        </w:rPr>
        <w:t>elsewhere (</w:t>
      </w:r>
      <w:r w:rsidR="00A46867" w:rsidRPr="00A2171C">
        <w:rPr>
          <w:rFonts w:eastAsia="Times New Roman" w:cs="Times New Roman"/>
          <w:noProof/>
          <w:szCs w:val="20"/>
          <w:lang w:val="en-GB"/>
        </w:rPr>
        <w:t>Granda &amp; Ferreira (2019a, 2019b)</w:t>
      </w:r>
      <w:r w:rsidR="00C4229E" w:rsidRPr="00A2171C">
        <w:rPr>
          <w:rFonts w:eastAsia="Times New Roman" w:cs="Times New Roman"/>
          <w:noProof/>
          <w:szCs w:val="20"/>
          <w:lang w:val="en-GB"/>
        </w:rPr>
        <w:t>,</w:t>
      </w:r>
      <w:r w:rsidR="00A46867" w:rsidRPr="00A2171C">
        <w:rPr>
          <w:rFonts w:eastAsia="Times New Roman" w:cs="Times New Roman"/>
          <w:noProof/>
          <w:szCs w:val="20"/>
          <w:lang w:val="en-GB"/>
        </w:rPr>
        <w:t xml:space="preserve"> and </w:t>
      </w:r>
      <w:r w:rsidR="00A46867" w:rsidRPr="00A2171C">
        <w:rPr>
          <w:rFonts w:cs="Times New Roman"/>
          <w:szCs w:val="20"/>
          <w:lang w:val="en-US"/>
        </w:rPr>
        <w:t xml:space="preserve">Renfroe &amp; </w:t>
      </w:r>
      <w:r w:rsidR="00A46867" w:rsidRPr="00A2171C">
        <w:rPr>
          <w:rFonts w:cs="Times New Roman"/>
          <w:szCs w:val="20"/>
          <w:lang w:val="en-US"/>
        </w:rPr>
        <w:lastRenderedPageBreak/>
        <w:t>Smith (2016)</w:t>
      </w:r>
      <w:r w:rsidR="00C4229E" w:rsidRPr="00A2171C">
        <w:rPr>
          <w:rFonts w:cs="Times New Roman"/>
          <w:szCs w:val="20"/>
          <w:lang w:val="en-US"/>
        </w:rPr>
        <w:t>).</w:t>
      </w:r>
      <w:r w:rsidR="00A46867" w:rsidRPr="00A2171C">
        <w:rPr>
          <w:rFonts w:cs="Times New Roman"/>
          <w:szCs w:val="20"/>
          <w:lang w:val="en-US"/>
        </w:rPr>
        <w:t xml:space="preserve"> </w:t>
      </w:r>
      <w:r w:rsidR="00A46867" w:rsidRPr="00A2171C">
        <w:rPr>
          <w:rFonts w:eastAsia="Times New Roman" w:cs="Times New Roman"/>
          <w:szCs w:val="20"/>
          <w:lang w:val="en-GB"/>
        </w:rPr>
        <w:t>This result is related to the inefficiency of hydrants, the accessibility of streets</w:t>
      </w:r>
      <w:r w:rsidR="00C4229E" w:rsidRPr="00A2171C">
        <w:rPr>
          <w:rFonts w:eastAsia="Times New Roman" w:cs="Times New Roman"/>
          <w:szCs w:val="20"/>
          <w:lang w:val="en-GB"/>
        </w:rPr>
        <w:t>,</w:t>
      </w:r>
      <w:r w:rsidR="00A46867" w:rsidRPr="00A2171C">
        <w:rPr>
          <w:rFonts w:eastAsia="Times New Roman" w:cs="Times New Roman"/>
          <w:szCs w:val="20"/>
          <w:lang w:val="en-GB"/>
        </w:rPr>
        <w:t xml:space="preserve"> and the hydrant location.  The requirements of the Chilean Code </w:t>
      </w:r>
      <w:r w:rsidR="00C4229E" w:rsidRPr="00A2171C">
        <w:rPr>
          <w:rFonts w:eastAsia="Times New Roman" w:cs="Times New Roman"/>
          <w:szCs w:val="20"/>
          <w:lang w:val="en-GB"/>
        </w:rPr>
        <w:t xml:space="preserve">relative </w:t>
      </w:r>
      <w:r w:rsidR="00A46867" w:rsidRPr="00A2171C">
        <w:rPr>
          <w:rFonts w:eastAsia="Times New Roman" w:cs="Times New Roman"/>
          <w:szCs w:val="20"/>
          <w:lang w:val="en-GB"/>
        </w:rPr>
        <w:t xml:space="preserve">to hydrant efficiency in terms of </w:t>
      </w:r>
      <w:r w:rsidR="00A46867" w:rsidRPr="00A2171C">
        <w:rPr>
          <w:rFonts w:eastAsia="Times New Roman" w:cs="Times New Roman"/>
          <w:i/>
          <w:szCs w:val="20"/>
          <w:lang w:val="en-GB"/>
        </w:rPr>
        <w:t>fire volume</w:t>
      </w:r>
      <w:r w:rsidR="00A46867" w:rsidRPr="00A2171C">
        <w:rPr>
          <w:rFonts w:eastAsia="Times New Roman" w:cs="Times New Roman"/>
          <w:szCs w:val="20"/>
          <w:lang w:val="en-GB"/>
        </w:rPr>
        <w:t xml:space="preserve"> and </w:t>
      </w:r>
      <w:r w:rsidR="00A46867" w:rsidRPr="00A2171C">
        <w:rPr>
          <w:rFonts w:eastAsia="Times New Roman" w:cs="Times New Roman"/>
          <w:i/>
          <w:szCs w:val="20"/>
          <w:lang w:val="en-GB"/>
        </w:rPr>
        <w:t>static pressure</w:t>
      </w:r>
      <w:r w:rsidR="00A46867" w:rsidRPr="00A2171C">
        <w:rPr>
          <w:rFonts w:eastAsia="Times New Roman" w:cs="Times New Roman"/>
          <w:szCs w:val="20"/>
          <w:lang w:val="en-GB"/>
        </w:rPr>
        <w:t xml:space="preserve"> are </w:t>
      </w:r>
      <w:r w:rsidR="00C4229E" w:rsidRPr="00A2171C">
        <w:rPr>
          <w:rFonts w:eastAsia="Times New Roman" w:cs="Times New Roman"/>
          <w:szCs w:val="20"/>
          <w:lang w:val="en-GB"/>
        </w:rPr>
        <w:t xml:space="preserve">inadequate </w:t>
      </w:r>
      <w:r w:rsidR="00A46867" w:rsidRPr="00A2171C">
        <w:rPr>
          <w:rFonts w:eastAsia="Times New Roman" w:cs="Times New Roman"/>
          <w:szCs w:val="20"/>
          <w:lang w:val="en-GB"/>
        </w:rPr>
        <w:t>if the nature of fire loads of historical structures is considered. In fact, a fire in a 400 square meter historical building requires approx</w:t>
      </w:r>
      <w:r w:rsidR="00C4229E" w:rsidRPr="00A2171C">
        <w:rPr>
          <w:rFonts w:eastAsia="Times New Roman" w:cs="Times New Roman"/>
          <w:szCs w:val="20"/>
          <w:lang w:val="en-GB"/>
        </w:rPr>
        <w:t xml:space="preserve">imately </w:t>
      </w:r>
      <w:r w:rsidR="00A46867" w:rsidRPr="00A2171C">
        <w:rPr>
          <w:rFonts w:eastAsia="Times New Roman" w:cs="Times New Roman"/>
          <w:szCs w:val="20"/>
          <w:lang w:val="en-GB"/>
        </w:rPr>
        <w:t xml:space="preserve">1,080 GPM to be extinguished, respectively. </w:t>
      </w:r>
      <w:r w:rsidR="0092250D" w:rsidRPr="00A2171C">
        <w:rPr>
          <w:rFonts w:eastAsia="Times New Roman" w:cs="Times New Roman"/>
          <w:szCs w:val="20"/>
          <w:lang w:val="en-GB"/>
        </w:rPr>
        <w:t xml:space="preserve">The flow of Chilean hydrants is only 259 GPM per minute (NCh1646.Of98, 1998), therefore it is not </w:t>
      </w:r>
      <w:r w:rsidR="00B87724" w:rsidRPr="00A2171C">
        <w:rPr>
          <w:rFonts w:eastAsia="Times New Roman" w:cs="Times New Roman"/>
          <w:szCs w:val="20"/>
          <w:lang w:val="en-GB"/>
        </w:rPr>
        <w:t>guaranteeing</w:t>
      </w:r>
      <w:r w:rsidR="0092250D" w:rsidRPr="00A2171C">
        <w:rPr>
          <w:rFonts w:eastAsia="Times New Roman" w:cs="Times New Roman"/>
          <w:szCs w:val="20"/>
          <w:lang w:val="en-GB"/>
        </w:rPr>
        <w:t xml:space="preserve"> </w:t>
      </w:r>
      <w:r w:rsidR="00B87724" w:rsidRPr="00A2171C">
        <w:rPr>
          <w:rFonts w:eastAsia="Times New Roman" w:cs="Times New Roman"/>
          <w:szCs w:val="20"/>
          <w:lang w:val="en-GB"/>
        </w:rPr>
        <w:t xml:space="preserve">an </w:t>
      </w:r>
      <w:r w:rsidR="0092250D" w:rsidRPr="00A2171C">
        <w:rPr>
          <w:rFonts w:eastAsia="Times New Roman" w:cs="Times New Roman"/>
          <w:szCs w:val="20"/>
          <w:lang w:val="en-GB"/>
        </w:rPr>
        <w:t>efficient fire combat.</w:t>
      </w:r>
      <w:r w:rsidR="00B87724" w:rsidRPr="00A2171C">
        <w:rPr>
          <w:rFonts w:eastAsia="Times New Roman" w:cs="Times New Roman"/>
          <w:szCs w:val="20"/>
          <w:lang w:val="en-GB"/>
        </w:rPr>
        <w:t xml:space="preserve"> Furthermore,</w:t>
      </w:r>
      <w:r w:rsidR="0092250D" w:rsidRPr="00A2171C">
        <w:rPr>
          <w:rFonts w:eastAsia="Times New Roman" w:cs="Times New Roman"/>
          <w:szCs w:val="20"/>
          <w:lang w:val="en-GB"/>
        </w:rPr>
        <w:t xml:space="preserve"> </w:t>
      </w:r>
      <w:r w:rsidR="00B87724" w:rsidRPr="00A2171C">
        <w:rPr>
          <w:rFonts w:eastAsia="Times New Roman" w:cs="Times New Roman"/>
          <w:szCs w:val="20"/>
          <w:lang w:val="en-GB"/>
        </w:rPr>
        <w:t xml:space="preserve">if </w:t>
      </w:r>
      <w:r w:rsidR="0092250D" w:rsidRPr="00A2171C">
        <w:rPr>
          <w:rFonts w:eastAsia="Times New Roman" w:cs="Times New Roman"/>
          <w:szCs w:val="20"/>
          <w:lang w:val="en-GB"/>
        </w:rPr>
        <w:t xml:space="preserve">two or more fire hydrants of the same flow </w:t>
      </w:r>
      <w:r w:rsidR="00B87724" w:rsidRPr="00A2171C">
        <w:rPr>
          <w:rFonts w:eastAsia="Times New Roman" w:cs="Times New Roman"/>
          <w:szCs w:val="20"/>
          <w:lang w:val="en-GB"/>
        </w:rPr>
        <w:t xml:space="preserve">rate are used simultaneously, </w:t>
      </w:r>
      <w:r w:rsidR="0092250D" w:rsidRPr="00A2171C">
        <w:rPr>
          <w:rFonts w:eastAsia="Times New Roman" w:cs="Times New Roman"/>
          <w:szCs w:val="20"/>
          <w:lang w:val="en-GB"/>
        </w:rPr>
        <w:t xml:space="preserve">a </w:t>
      </w:r>
      <w:r w:rsidR="0092250D" w:rsidRPr="00A2171C">
        <w:rPr>
          <w:rFonts w:eastAsia="Times New Roman" w:cs="Times New Roman"/>
          <w:i/>
          <w:szCs w:val="20"/>
          <w:lang w:val="en-GB"/>
        </w:rPr>
        <w:t>water static pressure</w:t>
      </w:r>
      <w:r w:rsidR="0092250D" w:rsidRPr="00A2171C">
        <w:rPr>
          <w:rFonts w:eastAsia="Times New Roman" w:cs="Times New Roman"/>
          <w:szCs w:val="20"/>
          <w:lang w:val="en-GB"/>
        </w:rPr>
        <w:t xml:space="preserve"> drop </w:t>
      </w:r>
      <w:r w:rsidR="00B87724" w:rsidRPr="00A2171C">
        <w:rPr>
          <w:rFonts w:eastAsia="Times New Roman" w:cs="Times New Roman"/>
          <w:szCs w:val="20"/>
          <w:lang w:val="en-GB"/>
        </w:rPr>
        <w:t xml:space="preserve">is given, </w:t>
      </w:r>
      <w:r w:rsidR="0092250D" w:rsidRPr="00A2171C">
        <w:rPr>
          <w:rFonts w:eastAsia="Times New Roman" w:cs="Times New Roman"/>
          <w:szCs w:val="20"/>
          <w:lang w:val="en-GB"/>
        </w:rPr>
        <w:t>which further reduces the water volume per second.</w:t>
      </w:r>
      <w:r w:rsidR="00E0282F" w:rsidRPr="00A2171C">
        <w:rPr>
          <w:rFonts w:eastAsia="Times New Roman" w:cs="Times New Roman"/>
          <w:szCs w:val="20"/>
          <w:lang w:val="en-GB"/>
        </w:rPr>
        <w:t xml:space="preserve"> </w:t>
      </w:r>
      <w:r w:rsidR="00C4229E" w:rsidRPr="00A2171C">
        <w:rPr>
          <w:rFonts w:eastAsia="Times New Roman" w:cs="Times New Roman"/>
          <w:szCs w:val="20"/>
          <w:lang w:val="en-GB"/>
        </w:rPr>
        <w:t>T</w:t>
      </w:r>
      <w:r w:rsidR="00B87724" w:rsidRPr="00A2171C">
        <w:rPr>
          <w:rFonts w:eastAsia="Times New Roman" w:cs="Times New Roman"/>
          <w:szCs w:val="20"/>
          <w:lang w:val="en-GB"/>
        </w:rPr>
        <w:t>hus, t</w:t>
      </w:r>
      <w:r w:rsidR="00A46867" w:rsidRPr="00A2171C">
        <w:rPr>
          <w:rFonts w:eastAsia="Times New Roman" w:cs="Times New Roman"/>
          <w:szCs w:val="20"/>
          <w:lang w:val="en-GB"/>
        </w:rPr>
        <w:t xml:space="preserve">o assess the building's external fire combat efficiency, all hydrants are considered unavailable. </w:t>
      </w:r>
      <w:bookmarkStart w:id="32" w:name="_Hlk120555466"/>
    </w:p>
    <w:tbl>
      <w:tblPr>
        <w:tblStyle w:val="TableGrid"/>
        <w:tblW w:w="9688" w:type="dxa"/>
        <w:tblLook w:val="04A0" w:firstRow="1" w:lastRow="0" w:firstColumn="1" w:lastColumn="0" w:noHBand="0" w:noVBand="1"/>
      </w:tblPr>
      <w:tblGrid>
        <w:gridCol w:w="7994"/>
        <w:gridCol w:w="1694"/>
      </w:tblGrid>
      <w:tr w:rsidR="00A2171C" w:rsidRPr="00A2171C" w14:paraId="440FBA02" w14:textId="77777777" w:rsidTr="004A6C1F">
        <w:tc>
          <w:tcPr>
            <w:tcW w:w="7994" w:type="dxa"/>
          </w:tcPr>
          <w:p w14:paraId="12F99A01" w14:textId="77777777" w:rsidR="0073364B" w:rsidRPr="00A2171C" w:rsidRDefault="0073364B" w:rsidP="004A6C1F">
            <w:pPr>
              <w:spacing w:line="240" w:lineRule="auto"/>
              <w:rPr>
                <w:rFonts w:eastAsia="Times New Roman" w:cs="Times New Roman"/>
                <w:noProof/>
                <w:sz w:val="14"/>
                <w:szCs w:val="14"/>
                <w:lang w:val="en-GB"/>
              </w:rPr>
            </w:pPr>
          </w:p>
          <w:p w14:paraId="0C95E2EC" w14:textId="77777777" w:rsidR="0073364B" w:rsidRPr="00A2171C" w:rsidRDefault="0073364B" w:rsidP="004A6C1F">
            <w:pPr>
              <w:rPr>
                <w:rFonts w:eastAsia="Times New Roman" w:cs="Times New Roman"/>
                <w:sz w:val="21"/>
                <w:szCs w:val="21"/>
                <w:lang w:val="en-GB"/>
              </w:rPr>
            </w:pPr>
            <w:r w:rsidRPr="00A2171C">
              <w:rPr>
                <w:rFonts w:eastAsia="Times New Roman" w:cs="Times New Roman"/>
                <w:noProof/>
                <w:sz w:val="21"/>
                <w:szCs w:val="21"/>
                <w:lang w:val="en-GB"/>
              </w:rPr>
              <w:drawing>
                <wp:inline distT="0" distB="0" distL="0" distR="0" wp14:anchorId="4C1E22BA" wp14:editId="3B271B5A">
                  <wp:extent cx="4890037" cy="3400746"/>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6956" cy="3426421"/>
                          </a:xfrm>
                          <a:prstGeom prst="rect">
                            <a:avLst/>
                          </a:prstGeom>
                          <a:noFill/>
                          <a:ln>
                            <a:noFill/>
                          </a:ln>
                        </pic:spPr>
                      </pic:pic>
                    </a:graphicData>
                  </a:graphic>
                </wp:inline>
              </w:drawing>
            </w:r>
          </w:p>
        </w:tc>
        <w:tc>
          <w:tcPr>
            <w:tcW w:w="1694" w:type="dxa"/>
          </w:tcPr>
          <w:p w14:paraId="7A8F90FE" w14:textId="77777777" w:rsidR="0073364B" w:rsidRPr="00A2171C" w:rsidRDefault="0073364B" w:rsidP="004A6C1F">
            <w:pPr>
              <w:spacing w:line="240" w:lineRule="auto"/>
              <w:jc w:val="center"/>
              <w:rPr>
                <w:rFonts w:eastAsia="Times New Roman" w:cs="Times New Roman"/>
                <w:sz w:val="21"/>
                <w:szCs w:val="21"/>
                <w:lang w:val="en-GB"/>
              </w:rPr>
            </w:pPr>
            <w:r w:rsidRPr="00A2171C">
              <w:rPr>
                <w:rFonts w:eastAsia="Times New Roman" w:cs="Times New Roman"/>
                <w:noProof/>
                <w:sz w:val="21"/>
                <w:szCs w:val="21"/>
                <w:lang w:val="en-GB"/>
              </w:rPr>
              <w:drawing>
                <wp:inline distT="0" distB="0" distL="0" distR="0" wp14:anchorId="6651271B" wp14:editId="525627BA">
                  <wp:extent cx="866110" cy="35337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7512" b="2162"/>
                          <a:stretch/>
                        </pic:blipFill>
                        <pic:spPr bwMode="auto">
                          <a:xfrm>
                            <a:off x="0" y="0"/>
                            <a:ext cx="871309" cy="3554986"/>
                          </a:xfrm>
                          <a:prstGeom prst="rect">
                            <a:avLst/>
                          </a:prstGeom>
                          <a:noFill/>
                          <a:ln>
                            <a:noFill/>
                          </a:ln>
                          <a:extLst>
                            <a:ext uri="{53640926-AAD7-44D8-BBD7-CCE9431645EC}">
                              <a14:shadowObscured xmlns:a14="http://schemas.microsoft.com/office/drawing/2010/main"/>
                            </a:ext>
                          </a:extLst>
                        </pic:spPr>
                      </pic:pic>
                    </a:graphicData>
                  </a:graphic>
                </wp:inline>
              </w:drawing>
            </w:r>
          </w:p>
          <w:p w14:paraId="6D2F20F1" w14:textId="138BF054" w:rsidR="00C802B8" w:rsidRPr="00A2171C" w:rsidRDefault="00C802B8" w:rsidP="004A6C1F">
            <w:pPr>
              <w:spacing w:line="240" w:lineRule="auto"/>
              <w:jc w:val="center"/>
              <w:rPr>
                <w:rFonts w:eastAsia="Times New Roman" w:cs="Times New Roman"/>
                <w:sz w:val="4"/>
                <w:szCs w:val="4"/>
                <w:lang w:val="en-GB"/>
              </w:rPr>
            </w:pPr>
          </w:p>
        </w:tc>
      </w:tr>
      <w:tr w:rsidR="00A2171C" w:rsidRPr="00A2171C" w14:paraId="322C7820" w14:textId="77777777" w:rsidTr="004A6C1F">
        <w:tc>
          <w:tcPr>
            <w:tcW w:w="7994" w:type="dxa"/>
          </w:tcPr>
          <w:p w14:paraId="2A5FAD54" w14:textId="77777777" w:rsidR="0073364B" w:rsidRPr="00A2171C" w:rsidRDefault="0073364B" w:rsidP="004A6C1F">
            <w:pPr>
              <w:spacing w:line="240" w:lineRule="auto"/>
              <w:jc w:val="center"/>
              <w:rPr>
                <w:rFonts w:eastAsia="Times New Roman" w:cs="Times New Roman"/>
                <w:noProof/>
                <w:szCs w:val="20"/>
                <w:lang w:val="en-GB"/>
              </w:rPr>
            </w:pPr>
            <w:r w:rsidRPr="00A2171C">
              <w:rPr>
                <w:rFonts w:eastAsia="Times New Roman" w:cs="Times New Roman"/>
                <w:noProof/>
                <w:szCs w:val="20"/>
                <w:lang w:val="en-GB"/>
              </w:rPr>
              <w:t>(a)</w:t>
            </w:r>
          </w:p>
        </w:tc>
        <w:tc>
          <w:tcPr>
            <w:tcW w:w="1694" w:type="dxa"/>
          </w:tcPr>
          <w:p w14:paraId="338937BF" w14:textId="77777777" w:rsidR="0073364B" w:rsidRPr="00A2171C" w:rsidRDefault="0073364B" w:rsidP="004A6C1F">
            <w:pPr>
              <w:keepNext/>
              <w:spacing w:line="240" w:lineRule="auto"/>
              <w:jc w:val="center"/>
              <w:rPr>
                <w:rFonts w:eastAsia="Times New Roman" w:cs="Times New Roman"/>
                <w:noProof/>
                <w:szCs w:val="20"/>
                <w:lang w:val="en-GB"/>
              </w:rPr>
            </w:pPr>
            <w:r w:rsidRPr="00A2171C">
              <w:rPr>
                <w:rFonts w:eastAsia="Times New Roman" w:cs="Times New Roman"/>
                <w:noProof/>
                <w:szCs w:val="20"/>
                <w:lang w:val="en-GB"/>
              </w:rPr>
              <w:t>(b)</w:t>
            </w:r>
          </w:p>
        </w:tc>
      </w:tr>
    </w:tbl>
    <w:p w14:paraId="6F092004" w14:textId="1E9A3587" w:rsidR="0073364B" w:rsidRPr="00A2171C" w:rsidRDefault="00A21560" w:rsidP="00A21560">
      <w:pPr>
        <w:pStyle w:val="Caption"/>
        <w:jc w:val="center"/>
        <w:rPr>
          <w:rFonts w:eastAsia="Times New Roman" w:cs="Times New Roman"/>
          <w:color w:val="auto"/>
          <w:szCs w:val="20"/>
          <w:lang w:val="en-US"/>
        </w:rPr>
      </w:pPr>
      <w:bookmarkStart w:id="33" w:name="_Ref121160909"/>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00C20049" w:rsidRPr="00A2171C">
        <w:rPr>
          <w:noProof/>
          <w:color w:val="auto"/>
          <w:lang w:val="en-US"/>
        </w:rPr>
        <w:t>11</w:t>
      </w:r>
      <w:r w:rsidRPr="00A2171C">
        <w:rPr>
          <w:color w:val="auto"/>
        </w:rPr>
        <w:fldChar w:fldCharType="end"/>
      </w:r>
      <w:bookmarkEnd w:id="33"/>
      <w:r w:rsidRPr="00A2171C">
        <w:rPr>
          <w:color w:val="auto"/>
          <w:lang w:val="en-US"/>
        </w:rPr>
        <w:t xml:space="preserve">: Fire combat results: </w:t>
      </w:r>
      <w:r w:rsidRPr="00A2171C">
        <w:rPr>
          <w:rFonts w:eastAsia="Times New Roman" w:cs="Times New Roman"/>
          <w:color w:val="auto"/>
          <w:lang w:val="en-GB"/>
        </w:rPr>
        <w:t>(a) Mapping and (b) classification of buildings</w:t>
      </w:r>
    </w:p>
    <w:bookmarkEnd w:id="32"/>
    <w:p w14:paraId="697C0623" w14:textId="77777777" w:rsidR="008118D1" w:rsidRPr="00A2171C" w:rsidRDefault="008118D1" w:rsidP="007347A1">
      <w:pPr>
        <w:pBdr>
          <w:top w:val="nil"/>
          <w:left w:val="nil"/>
          <w:bottom w:val="nil"/>
          <w:right w:val="nil"/>
          <w:between w:val="nil"/>
        </w:pBdr>
        <w:spacing w:before="240" w:after="0"/>
        <w:rPr>
          <w:rFonts w:eastAsia="Times New Roman" w:cs="Times New Roman"/>
          <w:lang w:val="en-GB"/>
        </w:rPr>
      </w:pPr>
      <w:r w:rsidRPr="00A2171C">
        <w:rPr>
          <w:rFonts w:eastAsia="Times New Roman" w:cs="Times New Roman"/>
          <w:lang w:val="en-GB"/>
        </w:rPr>
        <w:t xml:space="preserve">Finally, the </w:t>
      </w:r>
      <w:r w:rsidRPr="00A2171C">
        <w:rPr>
          <w:rFonts w:eastAsia="Times New Roman" w:cs="Times New Roman"/>
          <w:i/>
          <w:lang w:val="en-GB"/>
        </w:rPr>
        <w:t>street accessibility conditions,</w:t>
      </w:r>
      <w:r w:rsidRPr="00A2171C">
        <w:rPr>
          <w:rFonts w:eastAsia="Times New Roman" w:cs="Times New Roman"/>
          <w:lang w:val="en-GB"/>
        </w:rPr>
        <w:t xml:space="preserve"> based on building height, street width and slope, together with the </w:t>
      </w:r>
      <w:r w:rsidRPr="00A2171C">
        <w:rPr>
          <w:rFonts w:eastAsia="Times New Roman" w:cs="Times New Roman"/>
          <w:i/>
          <w:lang w:val="en-GB"/>
        </w:rPr>
        <w:t>hydrant maximum distance,</w:t>
      </w:r>
      <w:r w:rsidRPr="00A2171C">
        <w:rPr>
          <w:rFonts w:eastAsia="Times New Roman" w:cs="Times New Roman"/>
          <w:lang w:val="en-GB"/>
        </w:rPr>
        <w:t xml:space="preserve"> were evaluated. The dimensions of central and lateral alley in the </w:t>
      </w:r>
      <w:r w:rsidRPr="00A2171C">
        <w:rPr>
          <w:rFonts w:eastAsia="Times New Roman" w:cs="Times New Roman"/>
          <w:i/>
          <w:lang w:val="en-GB"/>
        </w:rPr>
        <w:t xml:space="preserve">Cités </w:t>
      </w:r>
      <w:r w:rsidRPr="00A2171C">
        <w:rPr>
          <w:rFonts w:eastAsia="Times New Roman" w:cs="Times New Roman"/>
          <w:lang w:val="en-GB"/>
        </w:rPr>
        <w:t>of penetrated urban blocks, and of secondary streets in divided urban blocks (numbers 6, 22, 23, 24, 37, 38, 42), present free widths lower than the minimum threshold of 2m. Consequently, 13.1% (58) of the analysed buildings present a potential risk due to the impossibility of access of emergency vehicles close to the buildings, and to help and rescue the victims during the fire.</w:t>
      </w:r>
    </w:p>
    <w:p w14:paraId="493450A2" w14:textId="1C3F4D44" w:rsidR="007347A1" w:rsidRPr="00A2171C" w:rsidRDefault="00A46867" w:rsidP="007347A1">
      <w:pPr>
        <w:pBdr>
          <w:top w:val="nil"/>
          <w:left w:val="nil"/>
          <w:bottom w:val="nil"/>
          <w:right w:val="nil"/>
          <w:between w:val="nil"/>
        </w:pBdr>
        <w:spacing w:before="240" w:after="0"/>
        <w:rPr>
          <w:rFonts w:eastAsia="Times New Roman" w:cs="Times New Roman"/>
          <w:szCs w:val="20"/>
          <w:lang w:val="en-GB"/>
        </w:rPr>
      </w:pPr>
      <w:r w:rsidRPr="00A2171C">
        <w:rPr>
          <w:rFonts w:eastAsia="Times New Roman" w:cs="Times New Roman"/>
          <w:szCs w:val="20"/>
          <w:lang w:val="en-GB"/>
        </w:rPr>
        <w:t xml:space="preserve">Considering the location of hydrants, </w:t>
      </w:r>
      <w:r w:rsidR="00C4229E" w:rsidRPr="00A2171C">
        <w:rPr>
          <w:rFonts w:eastAsia="Times New Roman" w:cs="Times New Roman"/>
          <w:szCs w:val="20"/>
          <w:lang w:val="en-GB"/>
        </w:rPr>
        <w:t xml:space="preserve">it is </w:t>
      </w:r>
      <w:r w:rsidRPr="00A2171C">
        <w:rPr>
          <w:rFonts w:eastAsia="Times New Roman" w:cs="Times New Roman"/>
          <w:szCs w:val="20"/>
          <w:lang w:val="en-GB"/>
        </w:rPr>
        <w:t xml:space="preserve">87% (385) of buildings with 3 to 50 SUs </w:t>
      </w:r>
      <w:r w:rsidR="0071628B" w:rsidRPr="00A2171C">
        <w:rPr>
          <w:rFonts w:eastAsia="Times New Roman" w:cs="Times New Roman"/>
          <w:szCs w:val="20"/>
          <w:lang w:val="en-GB"/>
        </w:rPr>
        <w:t xml:space="preserve">that </w:t>
      </w:r>
      <w:r w:rsidRPr="00A2171C">
        <w:rPr>
          <w:rFonts w:eastAsia="Times New Roman" w:cs="Times New Roman"/>
          <w:szCs w:val="20"/>
          <w:lang w:val="en-GB"/>
        </w:rPr>
        <w:t xml:space="preserve">have at least one hydrant located </w:t>
      </w:r>
      <w:r w:rsidR="0071628B" w:rsidRPr="00A2171C">
        <w:rPr>
          <w:rFonts w:eastAsia="Times New Roman" w:cs="Times New Roman"/>
          <w:szCs w:val="20"/>
          <w:lang w:val="en-GB"/>
        </w:rPr>
        <w:t xml:space="preserve">closer </w:t>
      </w:r>
      <w:r w:rsidRPr="00A2171C">
        <w:rPr>
          <w:rFonts w:eastAsia="Times New Roman" w:cs="Times New Roman"/>
          <w:szCs w:val="20"/>
          <w:lang w:val="en-GB"/>
        </w:rPr>
        <w:t xml:space="preserve">than 100m from their main exits, according to </w:t>
      </w:r>
      <w:r w:rsidRPr="00A2171C">
        <w:rPr>
          <w:rFonts w:eastAsia="Times New Roman" w:cs="Times New Roman"/>
          <w:szCs w:val="20"/>
          <w:lang w:val="en-GB"/>
        </w:rPr>
        <w:fldChar w:fldCharType="begin" w:fldLock="1"/>
      </w:r>
      <w:r w:rsidR="00CC5FDE" w:rsidRPr="00A2171C">
        <w:rPr>
          <w:rFonts w:eastAsia="Times New Roman" w:cs="Times New Roman"/>
          <w:szCs w:val="20"/>
          <w:lang w:val="en-GB"/>
        </w:rPr>
        <w:instrText>ADDIN CSL_CITATION {"citationItems":[{"id":"ITEM-1","itemData":{"author":[{"dropping-particle":"","family":"NCh691.Of98","given":"","non-dropping-particle":"","parse-names":false,"suffix":""}],"container-title":"Instituto Nacional De Normalización","id":"ITEM-1","issued":{"date-parts":[["1998"]]},"title":"Agua potable - Conducción, regulación y distribución","type":"article-journal"},"uris":["http://www.mendeley.com/documents/?uuid=48147feb-7705-43a2-857d-a3b83aaa81be"]}],"mendeley":{"formattedCitation":"(NCh691.Of98, 1998)","manualFormatting":"NCh691.Of98 (1998)","plainTextFormattedCitation":"(NCh691.Of98, 1998)","previouslyFormattedCitation":"(NCh691.Of98, 1998)"},"properties":{"noteIndex":0},"schema":"https://github.com/citation-style-language/schema/raw/master/csl-citation.json"}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 xml:space="preserve">NCh691.Of98 </w:t>
      </w:r>
      <w:r w:rsidR="0071628B" w:rsidRPr="00A2171C">
        <w:rPr>
          <w:rFonts w:eastAsia="Times New Roman" w:cs="Times New Roman"/>
          <w:noProof/>
          <w:szCs w:val="20"/>
          <w:lang w:val="en-GB"/>
        </w:rPr>
        <w:t>(</w:t>
      </w:r>
      <w:r w:rsidRPr="00A2171C">
        <w:rPr>
          <w:rFonts w:eastAsia="Times New Roman" w:cs="Times New Roman"/>
          <w:noProof/>
          <w:szCs w:val="20"/>
          <w:lang w:val="en-GB"/>
        </w:rPr>
        <w:t>1998)</w:t>
      </w:r>
      <w:r w:rsidRPr="00A2171C">
        <w:rPr>
          <w:rFonts w:eastAsia="Times New Roman" w:cs="Times New Roman"/>
          <w:szCs w:val="20"/>
          <w:lang w:val="en-GB"/>
        </w:rPr>
        <w:fldChar w:fldCharType="end"/>
      </w:r>
      <w:r w:rsidRPr="00A2171C">
        <w:rPr>
          <w:rFonts w:eastAsia="Times New Roman" w:cs="Times New Roman"/>
          <w:szCs w:val="20"/>
          <w:lang w:val="en-GB"/>
        </w:rPr>
        <w:t xml:space="preserve">. </w:t>
      </w:r>
      <w:r w:rsidR="0071628B" w:rsidRPr="00A2171C">
        <w:rPr>
          <w:rFonts w:eastAsia="Times New Roman" w:cs="Times New Roman"/>
          <w:szCs w:val="20"/>
          <w:lang w:val="en-GB"/>
        </w:rPr>
        <w:t xml:space="preserve">On the other hand, </w:t>
      </w:r>
      <w:r w:rsidRPr="00A2171C">
        <w:rPr>
          <w:rFonts w:eastAsia="Times New Roman" w:cs="Times New Roman"/>
          <w:szCs w:val="20"/>
          <w:lang w:val="en-GB"/>
        </w:rPr>
        <w:t xml:space="preserve">13% (58) do not comply with Chilean fire safety regulation, presenting a potential risk due to the impossibility of efficient </w:t>
      </w:r>
      <w:r w:rsidR="0071628B" w:rsidRPr="00A2171C">
        <w:rPr>
          <w:rFonts w:eastAsia="Times New Roman" w:cs="Times New Roman"/>
          <w:szCs w:val="20"/>
          <w:lang w:val="en-GB"/>
        </w:rPr>
        <w:t xml:space="preserve">fire </w:t>
      </w:r>
      <w:r w:rsidRPr="00A2171C">
        <w:rPr>
          <w:rFonts w:eastAsia="Times New Roman" w:cs="Times New Roman"/>
          <w:szCs w:val="20"/>
          <w:lang w:val="en-GB"/>
        </w:rPr>
        <w:t xml:space="preserve">combat due to the absence of active fire protection. This problem affects 100% of penetrated urban </w:t>
      </w:r>
      <w:r w:rsidRPr="00A2171C">
        <w:rPr>
          <w:rFonts w:eastAsia="Times New Roman" w:cs="Times New Roman"/>
          <w:szCs w:val="20"/>
          <w:lang w:val="en-GB"/>
        </w:rPr>
        <w:lastRenderedPageBreak/>
        <w:t>blocks (</w:t>
      </w:r>
      <w:r w:rsidR="0071628B" w:rsidRPr="00A2171C">
        <w:rPr>
          <w:rFonts w:eastAsia="Times New Roman" w:cs="Times New Roman"/>
          <w:szCs w:val="20"/>
          <w:lang w:val="en-GB"/>
        </w:rPr>
        <w:t>numbers</w:t>
      </w:r>
      <w:r w:rsidRPr="00A2171C">
        <w:rPr>
          <w:rFonts w:eastAsia="Times New Roman" w:cs="Times New Roman"/>
          <w:szCs w:val="20"/>
          <w:lang w:val="en-GB"/>
        </w:rPr>
        <w:t xml:space="preserve"> 1, 6, 13, 19, 22, 24, 28, 34, 42, and 43) and 50% of divided urban blocks (</w:t>
      </w:r>
      <w:r w:rsidR="0071628B" w:rsidRPr="00A2171C">
        <w:rPr>
          <w:rFonts w:eastAsia="Times New Roman" w:cs="Times New Roman"/>
          <w:szCs w:val="20"/>
          <w:lang w:val="en-GB"/>
        </w:rPr>
        <w:t>numbers</w:t>
      </w:r>
      <w:r w:rsidRPr="00A2171C">
        <w:rPr>
          <w:rFonts w:eastAsia="Times New Roman" w:cs="Times New Roman"/>
          <w:szCs w:val="20"/>
          <w:lang w:val="en-GB"/>
        </w:rPr>
        <w:t xml:space="preserve"> 7, 22, 24, and 36) </w:t>
      </w:r>
      <w:r w:rsidR="0071628B" w:rsidRPr="00A2171C">
        <w:rPr>
          <w:rFonts w:eastAsia="Times New Roman" w:cs="Times New Roman"/>
          <w:szCs w:val="20"/>
          <w:lang w:val="en-GB"/>
        </w:rPr>
        <w:t>(</w:t>
      </w:r>
      <w:r w:rsidR="005177E4" w:rsidRPr="00A2171C">
        <w:rPr>
          <w:rFonts w:eastAsia="Times New Roman" w:cs="Times New Roman"/>
          <w:szCs w:val="20"/>
          <w:lang w:val="en-GB"/>
        </w:rPr>
        <w:fldChar w:fldCharType="begin"/>
      </w:r>
      <w:r w:rsidR="005177E4" w:rsidRPr="00A2171C">
        <w:rPr>
          <w:rFonts w:eastAsia="Times New Roman" w:cs="Times New Roman"/>
          <w:szCs w:val="20"/>
          <w:lang w:val="en-GB"/>
        </w:rPr>
        <w:instrText xml:space="preserve"> REF _Ref121160909 \h </w:instrText>
      </w:r>
      <w:r w:rsidR="005177E4" w:rsidRPr="00A2171C">
        <w:rPr>
          <w:rFonts w:eastAsia="Times New Roman" w:cs="Times New Roman"/>
          <w:szCs w:val="20"/>
          <w:lang w:val="en-GB"/>
        </w:rPr>
      </w:r>
      <w:r w:rsidR="005177E4"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11</w:t>
      </w:r>
      <w:r w:rsidR="005177E4" w:rsidRPr="00A2171C">
        <w:rPr>
          <w:rFonts w:eastAsia="Times New Roman" w:cs="Times New Roman"/>
          <w:szCs w:val="20"/>
          <w:lang w:val="en-GB"/>
        </w:rPr>
        <w:fldChar w:fldCharType="end"/>
      </w:r>
      <w:r w:rsidR="0071628B" w:rsidRPr="00A2171C">
        <w:rPr>
          <w:rFonts w:eastAsia="Times New Roman" w:cs="Times New Roman"/>
          <w:szCs w:val="20"/>
          <w:lang w:val="en-GB"/>
        </w:rPr>
        <w:t>)</w:t>
      </w:r>
      <w:r w:rsidRPr="00A2171C">
        <w:rPr>
          <w:rFonts w:eastAsia="Times New Roman" w:cs="Times New Roman"/>
          <w:szCs w:val="20"/>
          <w:lang w:val="en-GB"/>
        </w:rPr>
        <w:t>.</w:t>
      </w:r>
      <w:r w:rsidR="007347A1" w:rsidRPr="00A2171C">
        <w:rPr>
          <w:rFonts w:eastAsia="Times New Roman" w:cs="Times New Roman"/>
          <w:szCs w:val="20"/>
          <w:lang w:val="en-GB"/>
        </w:rPr>
        <w:t xml:space="preserve"> </w:t>
      </w:r>
    </w:p>
    <w:p w14:paraId="25CA6A43" w14:textId="40C59C48" w:rsidR="00A46867" w:rsidRPr="00A2171C" w:rsidRDefault="00A46867" w:rsidP="00A46867">
      <w:pPr>
        <w:pStyle w:val="Heading2"/>
        <w:spacing w:before="240"/>
        <w:ind w:firstLine="708"/>
        <w:rPr>
          <w:bCs/>
          <w:color w:val="auto"/>
          <w:sz w:val="24"/>
          <w:szCs w:val="24"/>
          <w:lang w:val="en-CA"/>
        </w:rPr>
      </w:pPr>
      <w:r w:rsidRPr="00A2171C">
        <w:rPr>
          <w:bCs/>
          <w:color w:val="auto"/>
          <w:sz w:val="24"/>
          <w:szCs w:val="24"/>
          <w:lang w:val="en-CA"/>
        </w:rPr>
        <w:t xml:space="preserve">3.5 FRI </w:t>
      </w:r>
      <w:r w:rsidR="00C908B0" w:rsidRPr="00A2171C">
        <w:rPr>
          <w:bCs/>
          <w:color w:val="auto"/>
          <w:sz w:val="24"/>
          <w:szCs w:val="24"/>
          <w:lang w:val="en-CA"/>
        </w:rPr>
        <w:t xml:space="preserve">versus </w:t>
      </w:r>
      <w:r w:rsidRPr="00A2171C">
        <w:rPr>
          <w:bCs/>
          <w:color w:val="auto"/>
          <w:sz w:val="24"/>
          <w:szCs w:val="24"/>
          <w:lang w:val="en-CA"/>
        </w:rPr>
        <w:t>sociodemographic data</w:t>
      </w:r>
    </w:p>
    <w:p w14:paraId="036464B7" w14:textId="021E98AD" w:rsidR="00C908B0" w:rsidRPr="00A2171C" w:rsidRDefault="00C908B0" w:rsidP="005446E0">
      <w:pPr>
        <w:rPr>
          <w:rFonts w:eastAsia="Times New Roman" w:cs="Times New Roman"/>
          <w:szCs w:val="20"/>
          <w:lang w:val="en-US"/>
        </w:rPr>
      </w:pPr>
      <w:r w:rsidRPr="00A2171C">
        <w:rPr>
          <w:rFonts w:eastAsia="Times New Roman" w:cs="Times New Roman"/>
          <w:szCs w:val="20"/>
          <w:lang w:val="en-GB"/>
        </w:rPr>
        <w:t>It is interesting to correlate FRI value with a characterization of the</w:t>
      </w:r>
      <w:r w:rsidR="00A46867" w:rsidRPr="00A2171C">
        <w:rPr>
          <w:rFonts w:eastAsia="Times New Roman" w:cs="Times New Roman"/>
          <w:szCs w:val="20"/>
          <w:lang w:val="en-GB"/>
        </w:rPr>
        <w:t xml:space="preserve"> </w:t>
      </w:r>
      <w:r w:rsidRPr="00A2171C">
        <w:rPr>
          <w:rFonts w:eastAsia="Times New Roman" w:cs="Times New Roman"/>
          <w:szCs w:val="20"/>
          <w:lang w:val="en-GB"/>
        </w:rPr>
        <w:t xml:space="preserve">social vulnerability of the </w:t>
      </w:r>
      <w:r w:rsidR="00A46867" w:rsidRPr="00A2171C">
        <w:rPr>
          <w:rFonts w:eastAsia="Times New Roman" w:cs="Times New Roman"/>
          <w:szCs w:val="20"/>
          <w:lang w:val="en-GB"/>
        </w:rPr>
        <w:t>population potentially exposed to fire risk</w:t>
      </w:r>
      <w:r w:rsidRPr="00A2171C">
        <w:rPr>
          <w:rFonts w:eastAsia="Times New Roman" w:cs="Times New Roman"/>
          <w:szCs w:val="20"/>
          <w:lang w:val="en-GB"/>
        </w:rPr>
        <w:t>.</w:t>
      </w:r>
      <w:r w:rsidR="00A46867" w:rsidRPr="00A2171C">
        <w:rPr>
          <w:rFonts w:eastAsia="Times New Roman" w:cs="Times New Roman"/>
          <w:szCs w:val="20"/>
          <w:lang w:val="en-GB"/>
        </w:rPr>
        <w:t xml:space="preserve"> </w:t>
      </w:r>
      <w:r w:rsidRPr="00A2171C">
        <w:rPr>
          <w:rFonts w:eastAsia="Times New Roman" w:cs="Times New Roman"/>
          <w:szCs w:val="20"/>
          <w:lang w:val="en-GB"/>
        </w:rPr>
        <w:t xml:space="preserve">For that purpose, </w:t>
      </w:r>
      <w:r w:rsidR="00A46867" w:rsidRPr="00A2171C">
        <w:rPr>
          <w:rFonts w:eastAsia="Times New Roman" w:cs="Times New Roman"/>
          <w:szCs w:val="20"/>
          <w:lang w:val="en-GB"/>
        </w:rPr>
        <w:t xml:space="preserve">specific social and demographic indicators were collected using the SoVI variables selected from those proposed </w:t>
      </w:r>
      <w:r w:rsidRPr="00A2171C">
        <w:rPr>
          <w:rFonts w:eastAsia="Times New Roman" w:cs="Times New Roman"/>
          <w:szCs w:val="20"/>
          <w:lang w:val="en-GB"/>
        </w:rPr>
        <w:t>initially</w:t>
      </w:r>
      <w:r w:rsidR="00A46867" w:rsidRPr="00A2171C">
        <w:rPr>
          <w:rFonts w:eastAsia="Times New Roman" w:cs="Times New Roman"/>
          <w:szCs w:val="20"/>
          <w:lang w:val="en-GB"/>
        </w:rPr>
        <w:t xml:space="preserve"> for United States</w:t>
      </w:r>
      <w:r w:rsidRPr="00A2171C">
        <w:rPr>
          <w:rFonts w:eastAsia="Times New Roman" w:cs="Times New Roman"/>
          <w:szCs w:val="20"/>
          <w:lang w:val="en-GB"/>
        </w:rPr>
        <w:t xml:space="preserve">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{"citationItems":[{"id":"ITEM-1","itemData":{"DOI":"10.1111/1540-6237.8402002","ISSN":"00384941","abstract":"Objective. County-level socioeconomic and demographic data were used to construct an index of social vulnerability to environmental hazards, called the Social Vulnerability Index (SoVI) for the United States based on 1990 data. Methods. Using a factor analytic approach, 42 variables were reduced to 11 independent factors that accounted for about 76 percent of the variance. These factors were placed in an additive model to compute a summary score - the Social Vulnerability Index. Results. There are some distinct spatial patterns in the SoVI, with the most vulnerable counties clustered in metropolitan counties in the east, south Texas, and the Mississippi Delta region. Conclusion. Those factors that contribute to the overall score often are different for each county, underscoring the interactive nature of social vulnerability - some components increase vulnerability; others moderate the effects.","author":[{"dropping-particle":"","family":"Cutter","given":"Susan L.","non-dropping-particle":"","parse-names":false,"suffix":""},{"dropping-particle":"","family":"Boruff","given":"Bryan J.","non-dropping-particle":"","parse-names":false,"suffix":""},{"dropping-particle":"","family":"Shirley","given":"W. Lynn","non-dropping-particle":"","parse-names":false,"suffix":""}],"container-title":"Social Science Quarterly","id":"ITEM-1","issue":"2","issued":{"date-parts":[["2003"]]},"page":"242-261","title":"Social vulnerability to environmental hazards","type":"article-journal","volume":"84"},"uris":["http://www.mendeley.com/documents/?uuid=a788b628-616a-4b6f-8ba9-48d8b4e186f5"]}],"mendeley":{"formattedCitation":"(Cutter et al., 2003)","plainTextFormattedCitation":"(Cutter et al., 2003)","previouslyFormattedCitation":"(Cutter et al., 2003)"},"properties":{"noteIndex":0},"schema":"https://github.com/citation-style-language/schema/raw/master/csl-citation.json"}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(Cutter et al., 2003)</w:t>
      </w:r>
      <w:r w:rsidRPr="00A2171C">
        <w:rPr>
          <w:rFonts w:eastAsia="Times New Roman" w:cs="Times New Roman"/>
          <w:szCs w:val="20"/>
          <w:lang w:val="en-GB"/>
        </w:rPr>
        <w:fldChar w:fldCharType="end"/>
      </w:r>
      <w:r w:rsidR="00A46867" w:rsidRPr="00A2171C">
        <w:rPr>
          <w:rFonts w:eastAsia="Times New Roman" w:cs="Times New Roman"/>
          <w:szCs w:val="20"/>
          <w:lang w:val="en-GB"/>
        </w:rPr>
        <w:t>, and then modified and integrated for central Chile</w:t>
      </w:r>
      <w:r w:rsidRPr="00A2171C">
        <w:rPr>
          <w:rFonts w:eastAsia="Times New Roman" w:cs="Times New Roman"/>
          <w:szCs w:val="20"/>
          <w:lang w:val="en-GB"/>
        </w:rPr>
        <w:t xml:space="preserve"> by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{"citationItems":[{"id":"ITEM-1","itemData":{"DOI":"10.1016/j.ocecoaman.2019.105060","ISSN":"09645691","abstract":"Tsunami risk is analyzed regarding a probable extreme event in Cartagena Bay (33°S), one of the most anthropized areas of Chile and part of its main metropolitan area. An event with characteristics similar to those of the 1730 earthquake (Mw 9.1) was modelled considering the worst-case scenario for the coast of central Chile. Vulnerability is analyzed by applying the Social Vulnerability Index (SoVI) with representative census (2017) variables. A principal component analysis (PCA) was applied to the variables, generating 8 main groups. The results established flooding heights up to 9 m with maximum flow velocities of 10 m/s. The first inundation started 5 min after the earthquake but consecutive hazardous waves were active for at least 6 h after the shaking. Social vulnerability was established as high for the components that made up the following variables: socioeconomic status, housing material, access to basic services and gender, which are directly related to the occupancy, promoted by planning instruments, of dune fields and the periphery of wetlands. The risk area encompasses 99% of the affected area, while 67.5% of the area is at high risk. Mitigation and prevention measures that can be addressed in territorial planning and coastal management are proposed, prioritizing the restoration of the dune system as a natural protection measure against extreme events, the relocation of the population in irregular occupancy conditions, evaluation of tsunami evacuation potential, planning urban design in conjunction with evacuation routes and consideration of vertical evacuation implementation.","author":[{"dropping-particle":"","family":"Martínez","given":"Carolina","non-dropping-particle":"","parse-names":false,"suffix":""},{"dropping-particle":"","family":"Cienfuegos","given":"Rodrigo","non-dropping-particle":"","parse-names":false,"suffix":""},{"dropping-particle":"","family":"Inzunza","given":"Simón","non-dropping-particle":"","parse-names":false,"suffix":""},{"dropping-particle":"","family":"Urrutia","given":"Alejandro","non-dropping-particle":"","parse-names":false,"suffix":""},{"dropping-particle":"","family":"Guerrero","given":"Nikole","non-dropping-particle":"","parse-names":false,"suffix":""}],"container-title":"Ocean and Coastal Management","id":"ITEM-1","issue":"October 2019","issued":{"date-parts":[["2020"]]},"title":"Worst-case tsunami scenario in Cartagena Bay, central Chile: Challenges for coastal risk management","type":"article-journal","volume":"185"},"uris":["http://www.mendeley.com/documents/?uuid=d7f600b8-5399-4dc3-9e3b-41bb1847e6a3"]}],"mendeley":{"formattedCitation":"(Martínez et al., 2020)","plainTextFormattedCitation":"(Martínez et al., 2020)","previouslyFormattedCitation":"(Martínez et al., 2020)"},"properties":{"noteIndex":0},"schema":"https://github.com/citation-style-language/schema/raw/master/csl-citation.json"}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(Martínez et al., 2020)</w:t>
      </w:r>
      <w:r w:rsidRPr="00A2171C">
        <w:rPr>
          <w:rFonts w:eastAsia="Times New Roman" w:cs="Times New Roman"/>
          <w:szCs w:val="20"/>
          <w:lang w:val="en-GB"/>
        </w:rPr>
        <w:fldChar w:fldCharType="end"/>
      </w:r>
      <w:r w:rsidR="00A46867" w:rsidRPr="00A2171C">
        <w:rPr>
          <w:rFonts w:eastAsia="Times New Roman" w:cs="Times New Roman"/>
          <w:szCs w:val="20"/>
          <w:lang w:val="en-GB"/>
        </w:rPr>
        <w:t xml:space="preserve">, </w:t>
      </w:r>
      <w:r w:rsidRPr="00A2171C">
        <w:rPr>
          <w:rFonts w:eastAsia="Times New Roman" w:cs="Times New Roman"/>
          <w:szCs w:val="20"/>
          <w:lang w:val="en-GB"/>
        </w:rPr>
        <w:t xml:space="preserve">which are </w:t>
      </w:r>
      <w:r w:rsidR="00A46867" w:rsidRPr="00A2171C">
        <w:rPr>
          <w:rFonts w:eastAsia="Times New Roman" w:cs="Times New Roman"/>
          <w:szCs w:val="20"/>
          <w:lang w:val="en-GB"/>
        </w:rPr>
        <w:t>summarized in</w:t>
      </w:r>
      <w:r w:rsidR="005D020A" w:rsidRPr="00A2171C">
        <w:rPr>
          <w:rFonts w:eastAsia="Times New Roman" w:cs="Times New Roman"/>
          <w:szCs w:val="20"/>
          <w:lang w:val="en-GB"/>
        </w:rPr>
        <w:t xml:space="preserve"> </w:t>
      </w:r>
      <w:r w:rsidR="005D020A" w:rsidRPr="00A2171C">
        <w:rPr>
          <w:rFonts w:eastAsia="Times New Roman" w:cs="Times New Roman"/>
          <w:szCs w:val="20"/>
          <w:lang w:val="en-GB"/>
        </w:rPr>
        <w:fldChar w:fldCharType="begin"/>
      </w:r>
      <w:r w:rsidR="005D020A" w:rsidRPr="00A2171C">
        <w:rPr>
          <w:rFonts w:eastAsia="Times New Roman" w:cs="Times New Roman"/>
          <w:szCs w:val="20"/>
          <w:lang w:val="en-GB"/>
        </w:rPr>
        <w:instrText xml:space="preserve"> REF _Ref121161264 \h </w:instrText>
      </w:r>
      <w:r w:rsidR="005D020A" w:rsidRPr="00A2171C">
        <w:rPr>
          <w:rFonts w:eastAsia="Times New Roman" w:cs="Times New Roman"/>
          <w:szCs w:val="20"/>
          <w:lang w:val="en-GB"/>
        </w:rPr>
      </w:r>
      <w:r w:rsidR="005D020A" w:rsidRPr="00A2171C">
        <w:rPr>
          <w:rFonts w:eastAsia="Times New Roman" w:cs="Times New Roman"/>
          <w:szCs w:val="20"/>
          <w:lang w:val="en-GB"/>
        </w:rPr>
        <w:fldChar w:fldCharType="separate"/>
      </w:r>
      <w:r w:rsidR="00C20049" w:rsidRPr="00A2171C">
        <w:rPr>
          <w:lang w:val="en-US"/>
        </w:rPr>
        <w:t xml:space="preserve">Table </w:t>
      </w:r>
      <w:r w:rsidR="00C20049" w:rsidRPr="00A2171C">
        <w:rPr>
          <w:noProof/>
          <w:lang w:val="en-US"/>
        </w:rPr>
        <w:t>7</w:t>
      </w:r>
      <w:r w:rsidR="005D020A" w:rsidRPr="00A2171C">
        <w:rPr>
          <w:rFonts w:eastAsia="Times New Roman" w:cs="Times New Roman"/>
          <w:szCs w:val="20"/>
          <w:lang w:val="en-GB"/>
        </w:rPr>
        <w:fldChar w:fldCharType="end"/>
      </w:r>
      <w:r w:rsidR="00A46867" w:rsidRPr="00A2171C">
        <w:rPr>
          <w:rFonts w:eastAsia="Times New Roman" w:cs="Times New Roman"/>
          <w:szCs w:val="20"/>
          <w:lang w:val="en-GB"/>
        </w:rPr>
        <w:t xml:space="preserve">. </w:t>
      </w:r>
      <w:bookmarkStart w:id="34" w:name="_heading=h.17dp8vu" w:colFirst="0" w:colLast="0"/>
      <w:bookmarkEnd w:id="34"/>
      <w:r w:rsidR="00A46867" w:rsidRPr="00A2171C">
        <w:rPr>
          <w:rFonts w:eastAsia="Times New Roman" w:cs="Times New Roman"/>
          <w:szCs w:val="20"/>
          <w:lang w:val="en-GB"/>
        </w:rPr>
        <w:t xml:space="preserve">The vulnerability </w:t>
      </w:r>
      <w:r w:rsidRPr="00A2171C">
        <w:rPr>
          <w:rFonts w:eastAsia="Times New Roman" w:cs="Times New Roman"/>
          <w:szCs w:val="20"/>
          <w:lang w:val="en-GB"/>
        </w:rPr>
        <w:t>characteristics</w:t>
      </w:r>
      <w:r w:rsidRPr="00A2171C">
        <w:rPr>
          <w:rFonts w:eastAsia="Times New Roman" w:cs="Times New Roman"/>
          <w:szCs w:val="20"/>
          <w:lang w:val="en-US"/>
        </w:rPr>
        <w:t xml:space="preserve"> presented </w:t>
      </w:r>
      <w:r w:rsidR="00A46867" w:rsidRPr="00A2171C">
        <w:rPr>
          <w:rFonts w:eastAsia="Times New Roman" w:cs="Times New Roman"/>
          <w:szCs w:val="20"/>
          <w:lang w:val="en-US"/>
        </w:rPr>
        <w:t>in</w:t>
      </w:r>
      <w:r w:rsidR="005A4C96" w:rsidRPr="00A2171C">
        <w:rPr>
          <w:rFonts w:eastAsia="Times New Roman" w:cs="Times New Roman"/>
          <w:szCs w:val="20"/>
          <w:lang w:val="en-US"/>
        </w:rPr>
        <w:t xml:space="preserve"> </w:t>
      </w:r>
      <w:r w:rsidR="005A4C96" w:rsidRPr="00A2171C">
        <w:rPr>
          <w:rFonts w:eastAsia="Times New Roman" w:cs="Times New Roman"/>
          <w:szCs w:val="20"/>
          <w:lang w:val="en-US"/>
        </w:rPr>
        <w:fldChar w:fldCharType="begin"/>
      </w:r>
      <w:r w:rsidR="005A4C96" w:rsidRPr="00A2171C">
        <w:rPr>
          <w:rFonts w:eastAsia="Times New Roman" w:cs="Times New Roman"/>
          <w:szCs w:val="20"/>
          <w:lang w:val="en-US"/>
        </w:rPr>
        <w:instrText xml:space="preserve"> REF _Ref121161264 \h </w:instrText>
      </w:r>
      <w:r w:rsidR="005A4C96" w:rsidRPr="00A2171C">
        <w:rPr>
          <w:rFonts w:eastAsia="Times New Roman" w:cs="Times New Roman"/>
          <w:szCs w:val="20"/>
          <w:lang w:val="en-US"/>
        </w:rPr>
      </w:r>
      <w:r w:rsidR="005A4C96" w:rsidRPr="00A2171C">
        <w:rPr>
          <w:rFonts w:eastAsia="Times New Roman" w:cs="Times New Roman"/>
          <w:szCs w:val="20"/>
          <w:lang w:val="en-US"/>
        </w:rPr>
        <w:fldChar w:fldCharType="separate"/>
      </w:r>
      <w:r w:rsidR="00C20049" w:rsidRPr="00A2171C">
        <w:rPr>
          <w:lang w:val="en-US"/>
        </w:rPr>
        <w:t xml:space="preserve">Table </w:t>
      </w:r>
      <w:r w:rsidR="00C20049" w:rsidRPr="00A2171C">
        <w:rPr>
          <w:noProof/>
          <w:lang w:val="en-US"/>
        </w:rPr>
        <w:t>7</w:t>
      </w:r>
      <w:r w:rsidR="005A4C96" w:rsidRPr="00A2171C">
        <w:rPr>
          <w:rFonts w:eastAsia="Times New Roman" w:cs="Times New Roman"/>
          <w:szCs w:val="20"/>
          <w:lang w:val="en-US"/>
        </w:rPr>
        <w:fldChar w:fldCharType="end"/>
      </w:r>
      <w:r w:rsidRPr="00A2171C">
        <w:rPr>
          <w:rFonts w:eastAsia="Times New Roman" w:cs="Times New Roman"/>
          <w:szCs w:val="20"/>
          <w:lang w:val="en-GB"/>
        </w:rPr>
        <w:t xml:space="preserve">—obtained </w:t>
      </w:r>
      <w:r w:rsidR="00A46867" w:rsidRPr="00A2171C">
        <w:rPr>
          <w:rFonts w:eastAsia="Times New Roman" w:cs="Times New Roman"/>
          <w:szCs w:val="20"/>
          <w:lang w:val="en-US"/>
        </w:rPr>
        <w:t xml:space="preserve">from the last census </w:t>
      </w:r>
      <w:r w:rsidR="00A46867" w:rsidRPr="00A2171C">
        <w:rPr>
          <w:rFonts w:eastAsia="Times New Roman" w:cs="Times New Roman"/>
          <w:szCs w:val="20"/>
          <w:lang w:val="en-US"/>
        </w:rPr>
        <w:fldChar w:fldCharType="begin" w:fldLock="1"/>
      </w:r>
      <w:r w:rsidR="00A46867" w:rsidRPr="00A2171C">
        <w:rPr>
          <w:rFonts w:eastAsia="Times New Roman" w:cs="Times New Roman"/>
          <w:szCs w:val="20"/>
          <w:lang w:val="en-US"/>
        </w:rPr>
        <w:instrText>ADDIN CSL_CITATION {"citationItems":[{"id":"ITEM-1","itemData":{"author":[{"dropping-particle":"","family":"INE","given":"","non-dropping-particle":"","parse-names":false,"suffix":""}],"container-title":"Instituto Nacional de Estadísticas, Santiago.","id":"ITEM-1","issued":{"date-parts":[["2018"]]},"title":"Síntesis Resultados Censo 2017","type":"article-journal"},"uris":["http://www.mendeley.com/documents/?uuid=cf25a864-d310-4be5-91b3-79cc82eca93c"]}],"mendeley":{"formattedCitation":"(INE, 2018)","plainTextFormattedCitation":"(INE, 2018)","previouslyFormattedCitation":"(INE, 2018)"},"properties":{"noteIndex":0},"schema":"https://github.com/citation-style-language/schema/raw/master/csl-citation.json"}</w:instrText>
      </w:r>
      <w:r w:rsidR="00A46867" w:rsidRPr="00A2171C">
        <w:rPr>
          <w:rFonts w:eastAsia="Times New Roman" w:cs="Times New Roman"/>
          <w:szCs w:val="20"/>
          <w:lang w:val="en-US"/>
        </w:rPr>
        <w:fldChar w:fldCharType="separate"/>
      </w:r>
      <w:r w:rsidR="00A46867" w:rsidRPr="00A2171C">
        <w:rPr>
          <w:rFonts w:eastAsia="Times New Roman" w:cs="Times New Roman"/>
          <w:noProof/>
          <w:szCs w:val="20"/>
          <w:lang w:val="en-US"/>
        </w:rPr>
        <w:t>(INE, 2018)</w:t>
      </w:r>
      <w:r w:rsidR="00A46867" w:rsidRPr="00A2171C">
        <w:rPr>
          <w:rFonts w:eastAsia="Times New Roman" w:cs="Times New Roman"/>
          <w:szCs w:val="20"/>
          <w:lang w:val="en-US"/>
        </w:rPr>
        <w:fldChar w:fldCharType="end"/>
      </w:r>
      <w:r w:rsidR="00A46867" w:rsidRPr="00A2171C">
        <w:rPr>
          <w:rFonts w:eastAsia="Times New Roman" w:cs="Times New Roman"/>
          <w:szCs w:val="20"/>
          <w:lang w:val="en-US"/>
        </w:rPr>
        <w:t xml:space="preserve"> and National Socioeconomic Characterization Survey, CASEN, </w:t>
      </w:r>
      <w:r w:rsidR="00A46867" w:rsidRPr="00A2171C">
        <w:rPr>
          <w:rFonts w:eastAsia="Times New Roman" w:cs="Times New Roman"/>
          <w:szCs w:val="20"/>
          <w:lang w:val="en-US"/>
        </w:rPr>
        <w:fldChar w:fldCharType="begin" w:fldLock="1"/>
      </w:r>
      <w:r w:rsidR="00A46867" w:rsidRPr="00A2171C">
        <w:rPr>
          <w:rFonts w:eastAsia="Times New Roman" w:cs="Times New Roman"/>
          <w:szCs w:val="20"/>
          <w:lang w:val="en-US"/>
        </w:rPr>
        <w:instrText>ADDIN CSL_CITATION {"citationItems":[{"id":"ITEM-1","itemData":{"author":[{"dropping-particle":"","family":"MIDESO","given":"","non-dropping-particle":"","parse-names":false,"suffix":""}],"container-title":"Ministerio de Desarrollo Social. Subsecretaría de Evaluación Social","id":"ITEM-1","issued":{"date-parts":[["2015"]]},"title":"Encuesta de Caracterización Socioeconómica - CASEN 2015, Situación de la Pobreza en Chile.","type":"article-journal"},"uris":["http://www.mendeley.com/documents/?uuid=4974242c-bfba-460f-9673-c2d16ad1cc12"]}],"mendeley":{"formattedCitation":"(MIDESO, 2015)","plainTextFormattedCitation":"(MIDESO, 2015)","previouslyFormattedCitation":"(MIDESO, 2015)"},"properties":{"noteIndex":0},"schema":"https://github.com/citation-style-language/schema/raw/master/csl-citation.json"}</w:instrText>
      </w:r>
      <w:r w:rsidR="00A46867" w:rsidRPr="00A2171C">
        <w:rPr>
          <w:rFonts w:eastAsia="Times New Roman" w:cs="Times New Roman"/>
          <w:szCs w:val="20"/>
          <w:lang w:val="en-US"/>
        </w:rPr>
        <w:fldChar w:fldCharType="separate"/>
      </w:r>
      <w:r w:rsidR="00A46867" w:rsidRPr="00A2171C">
        <w:rPr>
          <w:rFonts w:eastAsia="Times New Roman" w:cs="Times New Roman"/>
          <w:noProof/>
          <w:szCs w:val="20"/>
          <w:lang w:val="en-US"/>
        </w:rPr>
        <w:t>(MIDESO, 2015)</w:t>
      </w:r>
      <w:r w:rsidR="00A46867" w:rsidRPr="00A2171C">
        <w:rPr>
          <w:rFonts w:eastAsia="Times New Roman" w:cs="Times New Roman"/>
          <w:szCs w:val="20"/>
          <w:lang w:val="en-US"/>
        </w:rPr>
        <w:fldChar w:fldCharType="end"/>
      </w:r>
      <w:r w:rsidRPr="00A2171C">
        <w:rPr>
          <w:rFonts w:eastAsia="Times New Roman" w:cs="Times New Roman"/>
          <w:szCs w:val="20"/>
          <w:lang w:val="en-US"/>
        </w:rPr>
        <w:t xml:space="preserve">—are common </w:t>
      </w:r>
      <w:r w:rsidR="00A46867" w:rsidRPr="00A2171C">
        <w:rPr>
          <w:rFonts w:eastAsia="Times New Roman" w:cs="Times New Roman"/>
          <w:szCs w:val="20"/>
          <w:lang w:val="en-US"/>
        </w:rPr>
        <w:t xml:space="preserve">factors </w:t>
      </w:r>
      <w:r w:rsidRPr="00A2171C">
        <w:rPr>
          <w:rFonts w:eastAsia="Times New Roman" w:cs="Times New Roman"/>
          <w:szCs w:val="20"/>
          <w:lang w:val="en-US"/>
        </w:rPr>
        <w:t xml:space="preserve">considered in the literature as strong </w:t>
      </w:r>
      <w:r w:rsidR="00A46867" w:rsidRPr="00A2171C">
        <w:rPr>
          <w:rFonts w:eastAsia="Times New Roman" w:cs="Times New Roman"/>
          <w:szCs w:val="20"/>
          <w:lang w:val="en-US"/>
        </w:rPr>
        <w:t>influence</w:t>
      </w:r>
      <w:r w:rsidRPr="00A2171C">
        <w:rPr>
          <w:rFonts w:eastAsia="Times New Roman" w:cs="Times New Roman"/>
          <w:szCs w:val="20"/>
          <w:lang w:val="en-US"/>
        </w:rPr>
        <w:t>rs</w:t>
      </w:r>
      <w:r w:rsidR="00A46867" w:rsidRPr="00A2171C">
        <w:rPr>
          <w:rFonts w:eastAsia="Times New Roman" w:cs="Times New Roman"/>
          <w:szCs w:val="20"/>
          <w:lang w:val="en-US"/>
        </w:rPr>
        <w:t xml:space="preserve"> </w:t>
      </w:r>
      <w:r w:rsidRPr="00A2171C">
        <w:rPr>
          <w:rFonts w:eastAsia="Times New Roman" w:cs="Times New Roman"/>
          <w:szCs w:val="20"/>
          <w:lang w:val="en-US"/>
        </w:rPr>
        <w:t xml:space="preserve">of the </w:t>
      </w:r>
      <w:r w:rsidR="00A46867" w:rsidRPr="00A2171C">
        <w:rPr>
          <w:rFonts w:eastAsia="Times New Roman" w:cs="Times New Roman"/>
          <w:szCs w:val="20"/>
          <w:lang w:val="en-US"/>
        </w:rPr>
        <w:t>social vulnerability</w:t>
      </w:r>
      <w:r w:rsidR="00A46867" w:rsidRPr="00A2171C">
        <w:rPr>
          <w:rFonts w:eastAsia="Times New Roman" w:cs="Times New Roman"/>
          <w:szCs w:val="20"/>
          <w:lang w:val="en-GB"/>
        </w:rPr>
        <w:t>.</w:t>
      </w:r>
      <w:r w:rsidR="00A46867" w:rsidRPr="00A2171C">
        <w:rPr>
          <w:rFonts w:eastAsia="Times New Roman" w:cs="Times New Roman"/>
          <w:szCs w:val="20"/>
          <w:lang w:val="en-US"/>
        </w:rPr>
        <w:t xml:space="preserve">  </w:t>
      </w:r>
      <w:r w:rsidRPr="00A2171C">
        <w:rPr>
          <w:rFonts w:eastAsia="Times New Roman" w:cs="Times New Roman"/>
          <w:szCs w:val="20"/>
          <w:lang w:val="en-US"/>
        </w:rPr>
        <w:t>For the former, t</w:t>
      </w:r>
      <w:r w:rsidR="00A46867" w:rsidRPr="00A2171C">
        <w:rPr>
          <w:rFonts w:eastAsia="Times New Roman" w:cs="Times New Roman"/>
          <w:szCs w:val="20"/>
          <w:lang w:val="en-US"/>
        </w:rPr>
        <w:t xml:space="preserve">he analysis </w:t>
      </w:r>
      <w:r w:rsidRPr="00A2171C">
        <w:rPr>
          <w:rFonts w:eastAsia="Times New Roman" w:cs="Times New Roman"/>
          <w:szCs w:val="20"/>
          <w:lang w:val="en-US"/>
        </w:rPr>
        <w:t xml:space="preserve">unit </w:t>
      </w:r>
      <w:r w:rsidR="00A46867" w:rsidRPr="00A2171C">
        <w:rPr>
          <w:rFonts w:eastAsia="Times New Roman" w:cs="Times New Roman"/>
          <w:szCs w:val="20"/>
          <w:lang w:val="en-US"/>
        </w:rPr>
        <w:t xml:space="preserve">is the urban block, </w:t>
      </w:r>
      <w:r w:rsidRPr="00A2171C">
        <w:rPr>
          <w:rFonts w:eastAsia="Times New Roman" w:cs="Times New Roman"/>
          <w:szCs w:val="20"/>
          <w:lang w:val="en-US"/>
        </w:rPr>
        <w:t xml:space="preserve">and </w:t>
      </w:r>
      <w:r w:rsidR="00A46867" w:rsidRPr="00A2171C">
        <w:rPr>
          <w:rFonts w:eastAsia="Times New Roman" w:cs="Times New Roman"/>
          <w:szCs w:val="20"/>
          <w:lang w:val="en-US"/>
        </w:rPr>
        <w:t xml:space="preserve">for </w:t>
      </w:r>
      <w:r w:rsidRPr="00A2171C">
        <w:rPr>
          <w:rFonts w:eastAsia="Times New Roman" w:cs="Times New Roman"/>
          <w:szCs w:val="20"/>
          <w:lang w:val="en-US"/>
        </w:rPr>
        <w:t>the later (</w:t>
      </w:r>
      <w:r w:rsidR="00A46867" w:rsidRPr="00A2171C">
        <w:rPr>
          <w:rFonts w:eastAsia="Times New Roman" w:cs="Times New Roman"/>
          <w:szCs w:val="20"/>
          <w:lang w:val="en-US"/>
        </w:rPr>
        <w:t>CASEN</w:t>
      </w:r>
      <w:r w:rsidRPr="00A2171C">
        <w:rPr>
          <w:rFonts w:eastAsia="Times New Roman" w:cs="Times New Roman"/>
          <w:szCs w:val="20"/>
          <w:lang w:val="en-US"/>
        </w:rPr>
        <w:t>)</w:t>
      </w:r>
      <w:r w:rsidR="00A46867" w:rsidRPr="00A2171C">
        <w:rPr>
          <w:rFonts w:eastAsia="Times New Roman" w:cs="Times New Roman"/>
          <w:szCs w:val="20"/>
          <w:lang w:val="en-US"/>
        </w:rPr>
        <w:t xml:space="preserve"> are districts. </w:t>
      </w:r>
    </w:p>
    <w:p w14:paraId="084C7CD4" w14:textId="7ACD196B" w:rsidR="00A46867" w:rsidRPr="00A2171C" w:rsidRDefault="00A46867" w:rsidP="00A46867">
      <w:pPr>
        <w:spacing w:after="0"/>
        <w:rPr>
          <w:rFonts w:eastAsia="Gungsuh" w:cs="Times New Roman"/>
          <w:szCs w:val="20"/>
          <w:lang w:val="en-GB"/>
        </w:rPr>
      </w:pPr>
      <w:r w:rsidRPr="00A2171C">
        <w:rPr>
          <w:rFonts w:eastAsia="Times New Roman" w:cs="Times New Roman"/>
          <w:szCs w:val="20"/>
          <w:lang w:val="en-GB"/>
        </w:rPr>
        <w:t xml:space="preserve">FRI results were </w:t>
      </w:r>
      <w:r w:rsidR="006B6E19" w:rsidRPr="00A2171C">
        <w:rPr>
          <w:rFonts w:eastAsia="Times New Roman" w:cs="Times New Roman"/>
          <w:szCs w:val="20"/>
          <w:lang w:val="en-GB"/>
        </w:rPr>
        <w:t xml:space="preserve">correlated visually </w:t>
      </w:r>
      <w:r w:rsidRPr="00A2171C">
        <w:rPr>
          <w:rFonts w:eastAsia="Times New Roman" w:cs="Times New Roman"/>
          <w:szCs w:val="20"/>
          <w:lang w:val="en-GB"/>
        </w:rPr>
        <w:t xml:space="preserve">with sociodemographic data. </w:t>
      </w:r>
      <w:r w:rsidR="006B6E19" w:rsidRPr="00A2171C">
        <w:rPr>
          <w:rFonts w:eastAsia="Times New Roman" w:cs="Times New Roman"/>
          <w:szCs w:val="20"/>
          <w:lang w:val="en-GB"/>
        </w:rPr>
        <w:t>For that sake, r</w:t>
      </w:r>
      <w:r w:rsidRPr="00A2171C">
        <w:rPr>
          <w:rFonts w:eastAsia="Times New Roman" w:cs="Times New Roman"/>
          <w:szCs w:val="20"/>
          <w:lang w:val="en-GB"/>
        </w:rPr>
        <w:t>isk level</w:t>
      </w:r>
      <w:r w:rsidR="006B6E19" w:rsidRPr="00A2171C">
        <w:rPr>
          <w:rFonts w:eastAsia="Times New Roman" w:cs="Times New Roman"/>
          <w:szCs w:val="20"/>
          <w:lang w:val="en-GB"/>
        </w:rPr>
        <w:t>s</w:t>
      </w:r>
      <w:r w:rsidRPr="00A2171C">
        <w:rPr>
          <w:rFonts w:eastAsia="Times New Roman" w:cs="Times New Roman"/>
          <w:szCs w:val="20"/>
          <w:lang w:val="en-GB"/>
        </w:rPr>
        <w:t xml:space="preserve"> </w:t>
      </w:r>
      <w:r w:rsidR="006B6E19" w:rsidRPr="00A2171C">
        <w:rPr>
          <w:rFonts w:eastAsia="Times New Roman" w:cs="Times New Roman"/>
          <w:szCs w:val="20"/>
          <w:lang w:val="en-GB"/>
        </w:rPr>
        <w:t>of the</w:t>
      </w:r>
      <w:r w:rsidRPr="00A2171C">
        <w:rPr>
          <w:rFonts w:eastAsia="Times New Roman" w:cs="Times New Roman"/>
          <w:szCs w:val="20"/>
          <w:lang w:val="en-GB"/>
        </w:rPr>
        <w:t xml:space="preserve"> SU</w:t>
      </w:r>
      <w:r w:rsidR="006B6E19" w:rsidRPr="00A2171C">
        <w:rPr>
          <w:rFonts w:eastAsia="Times New Roman" w:cs="Times New Roman"/>
          <w:szCs w:val="20"/>
          <w:lang w:val="en-GB"/>
        </w:rPr>
        <w:t>s</w:t>
      </w:r>
      <w:r w:rsidRPr="00A2171C">
        <w:rPr>
          <w:rFonts w:eastAsia="Times New Roman" w:cs="Times New Roman"/>
          <w:szCs w:val="20"/>
          <w:lang w:val="en-GB"/>
        </w:rPr>
        <w:t xml:space="preserve"> </w:t>
      </w:r>
      <w:r w:rsidR="006B6E19" w:rsidRPr="00A2171C">
        <w:rPr>
          <w:rFonts w:eastAsia="Times New Roman" w:cs="Times New Roman"/>
          <w:szCs w:val="20"/>
          <w:lang w:val="en-GB"/>
        </w:rPr>
        <w:t>were overlapped</w:t>
      </w:r>
      <w:r w:rsidRPr="00A2171C">
        <w:rPr>
          <w:rFonts w:eastAsia="Times New Roman" w:cs="Times New Roman"/>
          <w:szCs w:val="20"/>
          <w:lang w:val="en-GB"/>
        </w:rPr>
        <w:t xml:space="preserve"> with the total population for each urban block (</w:t>
      </w:r>
      <w:r w:rsidR="002776ED" w:rsidRPr="00A2171C">
        <w:rPr>
          <w:rFonts w:eastAsia="Times New Roman" w:cs="Times New Roman"/>
          <w:szCs w:val="20"/>
          <w:lang w:val="en-GB"/>
        </w:rPr>
        <w:fldChar w:fldCharType="begin"/>
      </w:r>
      <w:r w:rsidR="002776ED" w:rsidRPr="00A2171C">
        <w:rPr>
          <w:rFonts w:eastAsia="Times New Roman" w:cs="Times New Roman"/>
          <w:szCs w:val="20"/>
          <w:lang w:val="en-GB"/>
        </w:rPr>
        <w:instrText xml:space="preserve"> REF _Ref121161445 \h </w:instrText>
      </w:r>
      <w:r w:rsidR="002776ED" w:rsidRPr="00A2171C">
        <w:rPr>
          <w:rFonts w:eastAsia="Times New Roman" w:cs="Times New Roman"/>
          <w:szCs w:val="20"/>
          <w:lang w:val="en-GB"/>
        </w:rPr>
      </w:r>
      <w:r w:rsidR="002776ED" w:rsidRPr="00A2171C">
        <w:rPr>
          <w:rFonts w:eastAsia="Times New Roman" w:cs="Times New Roman"/>
          <w:szCs w:val="20"/>
          <w:lang w:val="en-GB"/>
        </w:rPr>
        <w:fldChar w:fldCharType="separate"/>
      </w:r>
      <w:r w:rsidR="00C20049" w:rsidRPr="00A2171C">
        <w:rPr>
          <w:lang w:val="en-US"/>
        </w:rPr>
        <w:t xml:space="preserve">Figure </w:t>
      </w:r>
      <w:r w:rsidR="00C20049" w:rsidRPr="00A2171C">
        <w:rPr>
          <w:noProof/>
          <w:lang w:val="en-US"/>
        </w:rPr>
        <w:t>12</w:t>
      </w:r>
      <w:r w:rsidR="002776ED" w:rsidRPr="00A2171C">
        <w:rPr>
          <w:rFonts w:eastAsia="Times New Roman" w:cs="Times New Roman"/>
          <w:szCs w:val="20"/>
          <w:lang w:val="en-GB"/>
        </w:rPr>
        <w:fldChar w:fldCharType="end"/>
      </w:r>
      <w:r w:rsidRPr="00A2171C">
        <w:rPr>
          <w:rFonts w:eastAsia="Times New Roman" w:cs="Times New Roman"/>
          <w:szCs w:val="20"/>
          <w:lang w:val="en-GB"/>
        </w:rPr>
        <w:t>). Although the most populated urban blocks are those made up of new multi-storey buildings (4, 12, 15, 16, 17 and 19 urban blocks with 3026 people,</w:t>
      </w:r>
      <w:r w:rsidR="006B6E19" w:rsidRPr="00A2171C">
        <w:rPr>
          <w:rFonts w:eastAsia="Times New Roman" w:cs="Times New Roman"/>
          <w:szCs w:val="20"/>
          <w:lang w:val="en-GB"/>
        </w:rPr>
        <w:t xml:space="preserve"> and</w:t>
      </w:r>
      <w:r w:rsidRPr="00A2171C">
        <w:rPr>
          <w:rFonts w:eastAsia="Times New Roman" w:cs="Times New Roman"/>
          <w:szCs w:val="20"/>
          <w:lang w:val="en-GB"/>
        </w:rPr>
        <w:t xml:space="preserve"> about 29.8% of </w:t>
      </w:r>
      <w:r w:rsidR="006B6E19" w:rsidRPr="00A2171C">
        <w:rPr>
          <w:rFonts w:eastAsia="Times New Roman" w:cs="Times New Roman"/>
          <w:szCs w:val="20"/>
          <w:lang w:val="en-GB"/>
        </w:rPr>
        <w:t xml:space="preserve">the </w:t>
      </w:r>
      <w:r w:rsidRPr="00A2171C">
        <w:rPr>
          <w:rFonts w:eastAsia="Times New Roman" w:cs="Times New Roman"/>
          <w:szCs w:val="20"/>
          <w:lang w:val="en-GB"/>
        </w:rPr>
        <w:t xml:space="preserve">total population), some historic blocks </w:t>
      </w:r>
      <w:r w:rsidR="006B6E19" w:rsidRPr="00A2171C">
        <w:rPr>
          <w:rFonts w:eastAsia="Times New Roman" w:cs="Times New Roman"/>
          <w:szCs w:val="20"/>
          <w:lang w:val="en-GB"/>
        </w:rPr>
        <w:t xml:space="preserve">also </w:t>
      </w:r>
      <w:r w:rsidRPr="00A2171C">
        <w:rPr>
          <w:rFonts w:eastAsia="Times New Roman" w:cs="Times New Roman"/>
          <w:szCs w:val="20"/>
          <w:lang w:val="en-GB"/>
        </w:rPr>
        <w:t xml:space="preserve">have </w:t>
      </w:r>
      <w:r w:rsidR="006B6E19" w:rsidRPr="00A2171C">
        <w:rPr>
          <w:rFonts w:eastAsia="Times New Roman" w:cs="Times New Roman"/>
          <w:szCs w:val="20"/>
          <w:lang w:val="en-GB"/>
        </w:rPr>
        <w:t xml:space="preserve">very </w:t>
      </w:r>
      <w:r w:rsidRPr="00A2171C">
        <w:rPr>
          <w:rFonts w:eastAsia="Times New Roman" w:cs="Times New Roman"/>
          <w:szCs w:val="20"/>
          <w:lang w:val="en-GB"/>
        </w:rPr>
        <w:t>high population densit</w:t>
      </w:r>
      <w:r w:rsidR="006B6E19" w:rsidRPr="00A2171C">
        <w:rPr>
          <w:rFonts w:eastAsia="Times New Roman" w:cs="Times New Roman"/>
          <w:szCs w:val="20"/>
          <w:lang w:val="en-GB"/>
        </w:rPr>
        <w:t>ies</w:t>
      </w:r>
      <w:r w:rsidRPr="00A2171C">
        <w:rPr>
          <w:rFonts w:eastAsia="Times New Roman" w:cs="Times New Roman"/>
          <w:szCs w:val="20"/>
          <w:lang w:val="en-GB"/>
        </w:rPr>
        <w:t xml:space="preserve">. </w:t>
      </w:r>
      <w:r w:rsidRPr="00A2171C">
        <w:rPr>
          <w:rFonts w:eastAsia="Gungsuh" w:cs="Times New Roman"/>
          <w:szCs w:val="20"/>
          <w:lang w:val="en-GB"/>
        </w:rPr>
        <w:t xml:space="preserve">This is the case of </w:t>
      </w:r>
      <w:r w:rsidR="006B6E19" w:rsidRPr="00A2171C">
        <w:rPr>
          <w:rFonts w:eastAsia="Gungsuh" w:cs="Times New Roman"/>
          <w:szCs w:val="20"/>
          <w:lang w:val="en-GB"/>
        </w:rPr>
        <w:t xml:space="preserve">blocks </w:t>
      </w:r>
      <w:r w:rsidRPr="00A2171C">
        <w:rPr>
          <w:rFonts w:eastAsia="Gungsuh" w:cs="Times New Roman"/>
          <w:szCs w:val="20"/>
          <w:lang w:val="en-GB"/>
        </w:rPr>
        <w:t xml:space="preserve">6 [P], 10 [P-D], 24 [C] and 43 [P] with a total of 1583 </w:t>
      </w:r>
      <w:r w:rsidR="006B6E19" w:rsidRPr="00A2171C">
        <w:rPr>
          <w:rFonts w:eastAsia="Gungsuh" w:cs="Times New Roman"/>
          <w:szCs w:val="20"/>
          <w:lang w:val="en-GB"/>
        </w:rPr>
        <w:t xml:space="preserve">persons </w:t>
      </w:r>
      <w:r w:rsidRPr="00A2171C">
        <w:rPr>
          <w:rFonts w:eastAsia="Gungsuh" w:cs="Times New Roman"/>
          <w:szCs w:val="20"/>
          <w:lang w:val="en-GB"/>
        </w:rPr>
        <w:t xml:space="preserve">(about 9.1% of total population of </w:t>
      </w:r>
      <w:r w:rsidR="006B6E19" w:rsidRPr="00A2171C">
        <w:rPr>
          <w:rFonts w:eastAsia="Gungsuh" w:cs="Times New Roman"/>
          <w:szCs w:val="20"/>
          <w:lang w:val="en-GB"/>
        </w:rPr>
        <w:t>the</w:t>
      </w:r>
      <w:r w:rsidRPr="00A2171C">
        <w:rPr>
          <w:rFonts w:eastAsia="Gungsuh" w:cs="Times New Roman"/>
          <w:szCs w:val="20"/>
          <w:lang w:val="en-GB"/>
        </w:rPr>
        <w:t xml:space="preserve"> zone) and moderate to high fire risk levels (1.00 &lt; FRI </w:t>
      </w:r>
      <w:r w:rsidRPr="00A2171C">
        <w:rPr>
          <w:rFonts w:cs="Times New Roman"/>
          <w:szCs w:val="20"/>
          <w:lang w:val="en-US"/>
        </w:rPr>
        <w:t xml:space="preserve">≤ </w:t>
      </w:r>
      <w:r w:rsidRPr="00A2171C">
        <w:rPr>
          <w:rFonts w:eastAsia="Gungsuh" w:cs="Times New Roman"/>
          <w:szCs w:val="20"/>
          <w:lang w:val="en-GB"/>
        </w:rPr>
        <w:t>1.65).</w:t>
      </w:r>
    </w:p>
    <w:p w14:paraId="2FFAA01E" w14:textId="4D6BC749" w:rsidR="00275415" w:rsidRPr="00A2171C" w:rsidRDefault="00275415" w:rsidP="00275415">
      <w:pPr>
        <w:pStyle w:val="Caption"/>
        <w:keepNext/>
        <w:jc w:val="center"/>
        <w:rPr>
          <w:color w:val="auto"/>
          <w:lang w:val="en-US"/>
        </w:rPr>
      </w:pPr>
      <w:bookmarkStart w:id="35" w:name="_Ref121161264"/>
      <w:r w:rsidRPr="00A2171C">
        <w:rPr>
          <w:color w:val="auto"/>
          <w:lang w:val="en-US"/>
        </w:rPr>
        <w:t xml:space="preserve">Table </w:t>
      </w:r>
      <w:r w:rsidRPr="00A2171C">
        <w:rPr>
          <w:color w:val="auto"/>
        </w:rPr>
        <w:fldChar w:fldCharType="begin"/>
      </w:r>
      <w:r w:rsidRPr="00A2171C">
        <w:rPr>
          <w:color w:val="auto"/>
          <w:lang w:val="en-US"/>
        </w:rPr>
        <w:instrText xml:space="preserve"> SEQ Table \* ARABIC </w:instrText>
      </w:r>
      <w:r w:rsidRPr="00A2171C">
        <w:rPr>
          <w:color w:val="auto"/>
        </w:rPr>
        <w:fldChar w:fldCharType="separate"/>
      </w:r>
      <w:r w:rsidR="00C20049" w:rsidRPr="00A2171C">
        <w:rPr>
          <w:noProof/>
          <w:color w:val="auto"/>
          <w:lang w:val="en-US"/>
        </w:rPr>
        <w:t>7</w:t>
      </w:r>
      <w:r w:rsidRPr="00A2171C">
        <w:rPr>
          <w:color w:val="auto"/>
        </w:rPr>
        <w:fldChar w:fldCharType="end"/>
      </w:r>
      <w:bookmarkEnd w:id="35"/>
      <w:r w:rsidRPr="00A2171C">
        <w:rPr>
          <w:color w:val="auto"/>
          <w:lang w:val="en-US"/>
        </w:rPr>
        <w:t xml:space="preserve">: </w:t>
      </w:r>
      <w:bookmarkStart w:id="36" w:name="_Ref90130509"/>
      <w:r w:rsidRPr="00A2171C">
        <w:rPr>
          <w:rFonts w:eastAsia="Times New Roman" w:cs="Times New Roman"/>
          <w:color w:val="auto"/>
          <w:lang w:val="en-GB"/>
        </w:rPr>
        <w:t>Factors that characterize fire and socio-economical vulnerability in the neighborhood.</w:t>
      </w:r>
      <w:bookmarkEnd w:id="36"/>
    </w:p>
    <w:tbl>
      <w:tblPr>
        <w:tblW w:w="5000" w:type="pct"/>
        <w:tblLook w:val="0400" w:firstRow="0" w:lastRow="0" w:firstColumn="0" w:lastColumn="0" w:noHBand="0" w:noVBand="1"/>
      </w:tblPr>
      <w:tblGrid>
        <w:gridCol w:w="795"/>
        <w:gridCol w:w="2148"/>
        <w:gridCol w:w="1379"/>
        <w:gridCol w:w="2533"/>
        <w:gridCol w:w="1983"/>
      </w:tblGrid>
      <w:tr w:rsidR="00A2171C" w:rsidRPr="00A2171C" w14:paraId="3DBBBEF0" w14:textId="77777777" w:rsidTr="004A6C1F">
        <w:trPr>
          <w:trHeight w:val="227"/>
        </w:trPr>
        <w:tc>
          <w:tcPr>
            <w:tcW w:w="450" w:type="pct"/>
            <w:tcBorders>
              <w:top w:val="single" w:sz="4" w:space="0" w:color="auto"/>
              <w:bottom w:val="single" w:sz="4" w:space="0" w:color="auto"/>
            </w:tcBorders>
          </w:tcPr>
          <w:p w14:paraId="3CC8D528"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ID</w:t>
            </w:r>
          </w:p>
        </w:tc>
        <w:tc>
          <w:tcPr>
            <w:tcW w:w="1215" w:type="pct"/>
            <w:tcBorders>
              <w:top w:val="single" w:sz="4" w:space="0" w:color="auto"/>
              <w:bottom w:val="single" w:sz="4" w:space="0" w:color="auto"/>
            </w:tcBorders>
          </w:tcPr>
          <w:p w14:paraId="7FA6249D"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Variable</w:t>
            </w:r>
          </w:p>
        </w:tc>
        <w:tc>
          <w:tcPr>
            <w:tcW w:w="780" w:type="pct"/>
            <w:tcBorders>
              <w:top w:val="single" w:sz="4" w:space="0" w:color="auto"/>
              <w:bottom w:val="single" w:sz="4" w:space="0" w:color="auto"/>
            </w:tcBorders>
          </w:tcPr>
          <w:p w14:paraId="23D78702"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Calculation</w:t>
            </w:r>
          </w:p>
        </w:tc>
        <w:tc>
          <w:tcPr>
            <w:tcW w:w="1433" w:type="pct"/>
            <w:tcBorders>
              <w:top w:val="single" w:sz="4" w:space="0" w:color="auto"/>
              <w:bottom w:val="single" w:sz="4" w:space="0" w:color="auto"/>
            </w:tcBorders>
          </w:tcPr>
          <w:p w14:paraId="1E6327D4"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 xml:space="preserve">Description </w:t>
            </w:r>
          </w:p>
        </w:tc>
        <w:tc>
          <w:tcPr>
            <w:tcW w:w="1122" w:type="pct"/>
            <w:tcBorders>
              <w:top w:val="single" w:sz="4" w:space="0" w:color="auto"/>
              <w:bottom w:val="single" w:sz="4" w:space="0" w:color="auto"/>
            </w:tcBorders>
          </w:tcPr>
          <w:p w14:paraId="5CFBAA29"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Reference</w:t>
            </w:r>
          </w:p>
        </w:tc>
      </w:tr>
      <w:tr w:rsidR="00A2171C" w:rsidRPr="00A2171C" w14:paraId="277B96E6" w14:textId="77777777" w:rsidTr="004A6C1F">
        <w:trPr>
          <w:trHeight w:val="227"/>
        </w:trPr>
        <w:tc>
          <w:tcPr>
            <w:tcW w:w="450" w:type="pct"/>
            <w:tcBorders>
              <w:top w:val="single" w:sz="4" w:space="0" w:color="auto"/>
            </w:tcBorders>
          </w:tcPr>
          <w:p w14:paraId="6698C112"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N</w:t>
            </w:r>
            <w:r w:rsidRPr="00A2171C">
              <w:rPr>
                <w:rFonts w:eastAsia="Times New Roman" w:cs="Times New Roman"/>
                <w:b/>
                <w:sz w:val="18"/>
                <w:szCs w:val="18"/>
                <w:vertAlign w:val="subscript"/>
                <w:lang w:val="en-GB"/>
              </w:rPr>
              <w:t>l</w:t>
            </w:r>
          </w:p>
        </w:tc>
        <w:tc>
          <w:tcPr>
            <w:tcW w:w="1215" w:type="pct"/>
            <w:tcBorders>
              <w:top w:val="single" w:sz="4" w:space="0" w:color="auto"/>
            </w:tcBorders>
          </w:tcPr>
          <w:p w14:paraId="0D33BF1C"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Ratio of low incomes</w:t>
            </w:r>
          </w:p>
        </w:tc>
        <w:tc>
          <w:tcPr>
            <w:tcW w:w="780" w:type="pct"/>
            <w:tcBorders>
              <w:top w:val="single" w:sz="4" w:space="0" w:color="auto"/>
            </w:tcBorders>
          </w:tcPr>
          <w:p w14:paraId="15375A69"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l</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tl</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p>
        </w:tc>
        <w:tc>
          <w:tcPr>
            <w:tcW w:w="1433" w:type="pct"/>
            <w:tcBorders>
              <w:top w:val="single" w:sz="4" w:space="0" w:color="auto"/>
            </w:tcBorders>
          </w:tcPr>
          <w:p w14:paraId="07941B54"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L</w:t>
            </w:r>
            <w:r w:rsidRPr="00A2171C">
              <w:rPr>
                <w:rFonts w:eastAsia="Times New Roman" w:cs="Times New Roman"/>
                <w:sz w:val="18"/>
                <w:szCs w:val="18"/>
                <w:vertAlign w:val="subscript"/>
                <w:lang w:val="en-GB"/>
              </w:rPr>
              <w:t xml:space="preserve">tp </w:t>
            </w:r>
            <w:r w:rsidRPr="00A2171C">
              <w:rPr>
                <w:rFonts w:eastAsia="Times New Roman" w:cs="Times New Roman"/>
                <w:sz w:val="18"/>
                <w:szCs w:val="18"/>
                <w:lang w:val="en-GB"/>
              </w:rPr>
              <w:t xml:space="preserve">= low incomes </w:t>
            </w:r>
          </w:p>
        </w:tc>
        <w:tc>
          <w:tcPr>
            <w:tcW w:w="1122" w:type="pct"/>
            <w:tcBorders>
              <w:top w:val="single" w:sz="4" w:space="0" w:color="auto"/>
            </w:tcBorders>
          </w:tcPr>
          <w:p w14:paraId="57E92D4C"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fldChar w:fldCharType="begin" w:fldLock="1"/>
            </w:r>
            <w:r w:rsidRPr="00A2171C">
              <w:rPr>
                <w:rFonts w:eastAsia="Times New Roman" w:cs="Times New Roman"/>
                <w:sz w:val="18"/>
                <w:szCs w:val="18"/>
                <w:lang w:val="en-GB"/>
              </w:rPr>
              <w:instrText>ADDIN CSL_CITATION {"citationItems":[{"id":"ITEM-1","itemData":{"DOI":"10.1111/1540-6237.8402002","ISSN":"00384941","abstract":"Objective. County-level socioeconomic and demographic data were used to construct an index of social vulnerability to environmental hazards, called the Social Vulnerability Index (SoVI) for the United States based on 1990 data. Methods. Using a factor analytic approach, 42 variables were reduced to 11 independent factors that accounted for about 76 percent of the variance. These factors were placed in an additive model to compute a summary score - the Social Vulnerability Index. Results. There are some distinct spatial patterns in the SoVI, with the most vulnerable counties clustered in metropolitan counties in the east, south Texas, and the Mississippi Delta region. Conclusion. Those factors that contribute to the overall score often are different for each county, underscoring the interactive nature of social vulnerability - some components increase vulnerability; others moderate the effects.","author":[{"dropping-particle":"","family":"Cutter","given":"Susan L.","non-dropping-particle":"","parse-names":false,"suffix":""},{"dropping-particle":"","family":"Boruff","given":"Bryan J.","non-dropping-particle":"","parse-names":false,"suffix":""},{"dropping-particle":"","family":"Shirley","given":"W. Lynn","non-dropping-particle":"","parse-names":false,"suffix":""}],"container-title":"Social Science Quarterly","id":"ITEM-1","issue":"2","issued":{"date-parts":[["2003"]]},"page":"242-261","title":"Social vulnerability to environmental hazards","type":"article-journal","volume":"84"},"uris":["http://www.mendeley.com/documents/?uuid=a788b628-616a-4b6f-8ba9-48d8b4e186f5"]}],"mendeley":{"formattedCitation":"(Cutter et al., 2003)","plainTextFormattedCitation":"(Cutter et al., 2003)","previouslyFormattedCitation":"(Cutter et al., 2003)"},"properties":{"noteIndex":0},"schema":"https://github.com/citation-style-language/schema/raw/master/csl-citation.json"}</w:instrText>
            </w:r>
            <w:r w:rsidRPr="00A2171C">
              <w:rPr>
                <w:rFonts w:eastAsia="Times New Roman" w:cs="Times New Roman"/>
                <w:sz w:val="18"/>
                <w:szCs w:val="18"/>
                <w:lang w:val="en-GB"/>
              </w:rPr>
              <w:fldChar w:fldCharType="separate"/>
            </w:r>
            <w:r w:rsidRPr="00A2171C">
              <w:rPr>
                <w:rFonts w:eastAsia="Times New Roman" w:cs="Times New Roman"/>
                <w:noProof/>
                <w:sz w:val="18"/>
                <w:szCs w:val="18"/>
                <w:lang w:val="en-GB"/>
              </w:rPr>
              <w:t>(Cutter et al., 2003)</w:t>
            </w:r>
            <w:r w:rsidRPr="00A2171C">
              <w:rPr>
                <w:rFonts w:eastAsia="Times New Roman" w:cs="Times New Roman"/>
                <w:sz w:val="18"/>
                <w:szCs w:val="18"/>
                <w:lang w:val="en-GB"/>
              </w:rPr>
              <w:fldChar w:fldCharType="end"/>
            </w:r>
          </w:p>
        </w:tc>
      </w:tr>
      <w:tr w:rsidR="00A2171C" w:rsidRPr="00A2171C" w14:paraId="215DAA68" w14:textId="77777777" w:rsidTr="004A6C1F">
        <w:trPr>
          <w:trHeight w:val="227"/>
        </w:trPr>
        <w:tc>
          <w:tcPr>
            <w:tcW w:w="450" w:type="pct"/>
          </w:tcPr>
          <w:p w14:paraId="4B58CAAC"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N</w:t>
            </w:r>
            <w:r w:rsidRPr="00A2171C">
              <w:rPr>
                <w:rFonts w:eastAsia="Times New Roman" w:cs="Times New Roman"/>
                <w:b/>
                <w:sz w:val="18"/>
                <w:szCs w:val="18"/>
                <w:vertAlign w:val="subscript"/>
                <w:lang w:val="en-GB"/>
              </w:rPr>
              <w:t>di</w:t>
            </w:r>
          </w:p>
        </w:tc>
        <w:tc>
          <w:tcPr>
            <w:tcW w:w="1215" w:type="pct"/>
          </w:tcPr>
          <w:p w14:paraId="28640F83"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Ratio of disability</w:t>
            </w:r>
          </w:p>
        </w:tc>
        <w:tc>
          <w:tcPr>
            <w:tcW w:w="780" w:type="pct"/>
          </w:tcPr>
          <w:p w14:paraId="21B3E511"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tds</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p>
        </w:tc>
        <w:tc>
          <w:tcPr>
            <w:tcW w:w="1433" w:type="pct"/>
          </w:tcPr>
          <w:p w14:paraId="0D6773CD"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tds</w:t>
            </w:r>
            <w:r w:rsidRPr="00A2171C">
              <w:rPr>
                <w:rFonts w:eastAsia="Times New Roman" w:cs="Times New Roman"/>
                <w:sz w:val="18"/>
                <w:szCs w:val="18"/>
                <w:lang w:val="en-GB"/>
              </w:rPr>
              <w:t xml:space="preserve"> = population with disabilities </w:t>
            </w:r>
          </w:p>
        </w:tc>
        <w:tc>
          <w:tcPr>
            <w:tcW w:w="1122" w:type="pct"/>
          </w:tcPr>
          <w:p w14:paraId="54D242E8"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fldChar w:fldCharType="begin" w:fldLock="1"/>
            </w:r>
            <w:r w:rsidRPr="00A2171C">
              <w:rPr>
                <w:rFonts w:eastAsia="Times New Roman" w:cs="Times New Roman"/>
                <w:sz w:val="18"/>
                <w:szCs w:val="18"/>
                <w:lang w:val="en-GB"/>
              </w:rPr>
              <w:instrText>ADDIN CSL_CITATION {"citationItems":[{"id":"ITEM-1","itemData":{"DOI":"10.1111/1540-6237.8402002","ISSN":"00384941","abstract":"Objective. County-level socioeconomic and demographic data were used to construct an index of social vulnerability to environmental hazards, called the Social Vulnerability Index (SoVI) for the United States based on 1990 data. Methods. Using a factor analytic approach, 42 variables were reduced to 11 independent factors that accounted for about 76 percent of the variance. These factors were placed in an additive model to compute a summary score - the Social Vulnerability Index. Results. There are some distinct spatial patterns in the SoVI, with the most vulnerable counties clustered in metropolitan counties in the east, south Texas, and the Mississippi Delta region. Conclusion. Those factors that contribute to the overall score often are different for each county, underscoring the interactive nature of social vulnerability - some components increase vulnerability; others moderate the effects.","author":[{"dropping-particle":"","family":"Cutter","given":"Susan L.","non-dropping-particle":"","parse-names":false,"suffix":""},{"dropping-particle":"","family":"Boruff","given":"Bryan J.","non-dropping-particle":"","parse-names":false,"suffix":""},{"dropping-particle":"","family":"Shirley","given":"W. Lynn","non-dropping-particle":"","parse-names":false,"suffix":""}],"container-title":"Social Science Quarterly","id":"ITEM-1","issue":"2","issued":{"date-parts":[["2003"]]},"page":"242-261","title":"Social vulnerability to environmental hazards","type":"article-journal","volume":"84"},"uris":["http://www.mendeley.com/documents/?uuid=a788b628-616a-4b6f-8ba9-48d8b4e186f5"]}],"mendeley":{"formattedCitation":"(Cutter et al., 2003)","plainTextFormattedCitation":"(Cutter et al., 2003)","previouslyFormattedCitation":"(Cutter et al., 2003)"},"properties":{"noteIndex":0},"schema":"https://github.com/citation-style-language/schema/raw/master/csl-citation.json"}</w:instrText>
            </w:r>
            <w:r w:rsidRPr="00A2171C">
              <w:rPr>
                <w:rFonts w:eastAsia="Times New Roman" w:cs="Times New Roman"/>
                <w:sz w:val="18"/>
                <w:szCs w:val="18"/>
                <w:lang w:val="en-GB"/>
              </w:rPr>
              <w:fldChar w:fldCharType="separate"/>
            </w:r>
            <w:r w:rsidRPr="00A2171C">
              <w:rPr>
                <w:rFonts w:eastAsia="Times New Roman" w:cs="Times New Roman"/>
                <w:noProof/>
                <w:sz w:val="18"/>
                <w:szCs w:val="18"/>
                <w:lang w:val="en-GB"/>
              </w:rPr>
              <w:t>(Cutter et al., 2003)</w:t>
            </w:r>
            <w:r w:rsidRPr="00A2171C">
              <w:rPr>
                <w:rFonts w:eastAsia="Times New Roman" w:cs="Times New Roman"/>
                <w:sz w:val="18"/>
                <w:szCs w:val="18"/>
                <w:lang w:val="en-GB"/>
              </w:rPr>
              <w:fldChar w:fldCharType="end"/>
            </w:r>
          </w:p>
        </w:tc>
      </w:tr>
      <w:tr w:rsidR="00A2171C" w:rsidRPr="00A2171C" w14:paraId="057238F7" w14:textId="77777777" w:rsidTr="004A6C1F">
        <w:trPr>
          <w:trHeight w:val="227"/>
        </w:trPr>
        <w:tc>
          <w:tcPr>
            <w:tcW w:w="450" w:type="pct"/>
          </w:tcPr>
          <w:p w14:paraId="215F0F61"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N</w:t>
            </w:r>
            <w:r w:rsidRPr="00A2171C">
              <w:rPr>
                <w:rFonts w:eastAsia="Times New Roman" w:cs="Times New Roman"/>
                <w:b/>
                <w:sz w:val="18"/>
                <w:szCs w:val="18"/>
                <w:vertAlign w:val="subscript"/>
                <w:lang w:val="en-GB"/>
              </w:rPr>
              <w:t>hf</w:t>
            </w:r>
          </w:p>
        </w:tc>
        <w:tc>
          <w:tcPr>
            <w:tcW w:w="1215" w:type="pct"/>
          </w:tcPr>
          <w:p w14:paraId="56DDCD89"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Ratio of heads of household</w:t>
            </w:r>
          </w:p>
        </w:tc>
        <w:tc>
          <w:tcPr>
            <w:tcW w:w="780" w:type="pct"/>
          </w:tcPr>
          <w:p w14:paraId="1622DDAF"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hf</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thf</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p>
        </w:tc>
        <w:tc>
          <w:tcPr>
            <w:tcW w:w="1433" w:type="pct"/>
          </w:tcPr>
          <w:p w14:paraId="529F3F0A"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thf</w:t>
            </w:r>
            <w:r w:rsidRPr="00A2171C">
              <w:rPr>
                <w:rFonts w:eastAsia="Times New Roman" w:cs="Times New Roman"/>
                <w:sz w:val="18"/>
                <w:szCs w:val="18"/>
                <w:lang w:val="en-GB"/>
              </w:rPr>
              <w:t xml:space="preserve"> = Female heads of household </w:t>
            </w:r>
          </w:p>
        </w:tc>
        <w:tc>
          <w:tcPr>
            <w:tcW w:w="1122" w:type="pct"/>
          </w:tcPr>
          <w:p w14:paraId="424252E0"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fldChar w:fldCharType="begin" w:fldLock="1"/>
            </w:r>
            <w:r w:rsidRPr="00A2171C">
              <w:rPr>
                <w:rFonts w:eastAsia="Times New Roman" w:cs="Times New Roman"/>
                <w:sz w:val="18"/>
                <w:szCs w:val="18"/>
                <w:lang w:val="en-GB"/>
              </w:rPr>
              <w:instrText>ADDIN CSL_CITATION {"citationItems":[{"id":"ITEM-1","itemData":{"DOI":"10.23881/idupbo.016.2-3e","ISSN":"18146333","abstract":"Las pérdidas económicas causadas por la falta del manejo del riesgo climático en el mundo representan un gran porcentaje del PIB. Estos efectos se intensifican en aquellos países en vías de desarrollo debido a una gran variedad de aspectos. En Bolivia, estas pérdidas representan no sólo una dificultad para alcanzar las metas de crecimiento del país, sino también las de estabilidad política y económica. Los desgastes económicos que representan las inundaciones, sequías y otros eventos climáticos poseen un costo de oportunidad significativo. Con el fin de explicar la vulnerabilidad que presenta el país, se analizaron posibles factores que influyen sobre la misma. Para ello se realizó un modelo econométrico revelando la existencia de relaciones a largo plazo entre la inversión pública y el saldo de la balanza comercial con la vulnerabilidad en el país medida en cantidad de muertes y afectados como proporción de la población total.","author":[{"dropping-particle":"","family":"García","given":"M.","non-dropping-particle":"","parse-names":false,"suffix":""},{"dropping-particle":"","family":"Naranjo","given":"H.","non-dropping-particle":"","parse-names":false,"suffix":""}],"container-title":"Investigacion &amp; Desarrollo","id":"ITEM-1","issue":"2","issued":{"date-parts":[["2017"]]},"page":"31-44","title":"Factores influyentes en la vulnerabilidad ante desastres naturales en Bolivia 1980 – 2012","type":"article-journal","volume":"16"},"uris":["http://www.mendeley.com/documents/?uuid=26331d74-527b-4dce-bb47-18c7a86c491a"]}],"mendeley":{"formattedCitation":"(García &amp; Naranjo, 2017)","plainTextFormattedCitation":"(García &amp; Naranjo, 2017)","previouslyFormattedCitation":"(García &amp; Naranjo, 2017)"},"properties":{"noteIndex":0},"schema":"https://github.com/citation-style-language/schema/raw/master/csl-citation.json"}</w:instrText>
            </w:r>
            <w:r w:rsidRPr="00A2171C">
              <w:rPr>
                <w:rFonts w:eastAsia="Times New Roman" w:cs="Times New Roman"/>
                <w:sz w:val="18"/>
                <w:szCs w:val="18"/>
                <w:lang w:val="en-GB"/>
              </w:rPr>
              <w:fldChar w:fldCharType="separate"/>
            </w:r>
            <w:r w:rsidRPr="00A2171C">
              <w:rPr>
                <w:rFonts w:eastAsia="Times New Roman" w:cs="Times New Roman"/>
                <w:noProof/>
                <w:sz w:val="18"/>
                <w:szCs w:val="18"/>
                <w:lang w:val="en-GB"/>
              </w:rPr>
              <w:t>(García &amp; Naranjo, 2017)</w:t>
            </w:r>
            <w:r w:rsidRPr="00A2171C">
              <w:rPr>
                <w:rFonts w:eastAsia="Times New Roman" w:cs="Times New Roman"/>
                <w:sz w:val="18"/>
                <w:szCs w:val="18"/>
                <w:lang w:val="en-GB"/>
              </w:rPr>
              <w:fldChar w:fldCharType="end"/>
            </w:r>
          </w:p>
        </w:tc>
      </w:tr>
      <w:tr w:rsidR="00A2171C" w:rsidRPr="00A2171C" w14:paraId="02D77258" w14:textId="77777777" w:rsidTr="004A6C1F">
        <w:trPr>
          <w:trHeight w:val="227"/>
        </w:trPr>
        <w:tc>
          <w:tcPr>
            <w:tcW w:w="450" w:type="pct"/>
          </w:tcPr>
          <w:p w14:paraId="0A000A31"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N</w:t>
            </w:r>
            <w:r w:rsidRPr="00A2171C">
              <w:rPr>
                <w:rFonts w:eastAsia="Times New Roman" w:cs="Times New Roman"/>
                <w:b/>
                <w:sz w:val="18"/>
                <w:szCs w:val="18"/>
                <w:vertAlign w:val="subscript"/>
                <w:lang w:val="en-GB"/>
              </w:rPr>
              <w:t>im</w:t>
            </w:r>
          </w:p>
        </w:tc>
        <w:tc>
          <w:tcPr>
            <w:tcW w:w="1215" w:type="pct"/>
          </w:tcPr>
          <w:p w14:paraId="3E939E97"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Ratio immigrant population</w:t>
            </w:r>
          </w:p>
        </w:tc>
        <w:tc>
          <w:tcPr>
            <w:tcW w:w="780" w:type="pct"/>
          </w:tcPr>
          <w:p w14:paraId="4037E7D0"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im</w:t>
            </w:r>
            <w:r w:rsidRPr="00A2171C">
              <w:rPr>
                <w:rFonts w:eastAsia="Times New Roman" w:cs="Times New Roman"/>
                <w:sz w:val="18"/>
                <w:szCs w:val="18"/>
                <w:lang w:val="en-GB"/>
              </w:rPr>
              <w:t xml:space="preserve"> = N</w:t>
            </w:r>
            <w:r w:rsidRPr="00A2171C">
              <w:rPr>
                <w:rFonts w:eastAsia="Times New Roman" w:cs="Times New Roman"/>
                <w:sz w:val="18"/>
                <w:szCs w:val="18"/>
                <w:vertAlign w:val="subscript"/>
                <w:lang w:val="en-GB"/>
              </w:rPr>
              <w:t>tim</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p>
        </w:tc>
        <w:tc>
          <w:tcPr>
            <w:tcW w:w="1433" w:type="pct"/>
          </w:tcPr>
          <w:p w14:paraId="3BC4F20D"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tim</w:t>
            </w:r>
            <w:r w:rsidRPr="00A2171C">
              <w:rPr>
                <w:rFonts w:eastAsia="Times New Roman" w:cs="Times New Roman"/>
                <w:sz w:val="18"/>
                <w:szCs w:val="18"/>
                <w:lang w:val="en-GB"/>
              </w:rPr>
              <w:t xml:space="preserve"> = immigrants </w:t>
            </w:r>
          </w:p>
        </w:tc>
        <w:tc>
          <w:tcPr>
            <w:tcW w:w="1122" w:type="pct"/>
          </w:tcPr>
          <w:p w14:paraId="0D86AE3F"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fldChar w:fldCharType="begin" w:fldLock="1"/>
            </w:r>
            <w:r w:rsidRPr="00A2171C">
              <w:rPr>
                <w:rFonts w:eastAsia="Times New Roman" w:cs="Times New Roman"/>
                <w:sz w:val="18"/>
                <w:szCs w:val="18"/>
                <w:lang w:val="en-GB"/>
              </w:rPr>
              <w:instrText>ADDIN CSL_CITATION {"citationItems":[{"id":"ITEM-1","itemData":{"DOI":"10.1111/0004-5608.00182","ISSN":"00045608","abstract":"Geographic studies of environmental racism have focused on the spatial relationships between environmental hazards and community demographics in order to determine if inequity exists. Conspicuously absent within this literature, however, is any substantive discussion of racism. This paper seeks to address this shortcoming in two ways. I first investigate how racism is understood and expressed in the literature. I argue that although racism is rarely explicitly discussed, a normative conceptualization of racism informs the research. Not only is this prevailing conception overly narrow and restrictive, it also denies the spatiality of racism. Consequently, my second goal is to demonstrate how various forms of racism contribute to environmental racism. In addition to conventional understandings of racism, I emphasize white privilege, a highly structural and spatial form of racism. Using Los Angeles as a case study, I examine how whites have secured relatively cleaner environments by moving away from older industrial cores via suburbanization. I suggest that the historical processes of suburbanization and decentralization are instances of white privilege and have contributed to contemporary patterns of environmental racism. Thus, in addition to interpreting racism as discriminatory facility siting and malicious intent, I also examine a less conscious but hegemonic form of racism, white privilege. Such an approach not only allows us to appreciate the range of racisms that shape the urban landscape, but also illuminates the functional relationships between places-in particular between industrial zones and residential suburbs, and how their development reflects and reproduces a particular racist formation.","author":[{"dropping-particle":"","family":"Pulido","given":"Laura","non-dropping-particle":"","parse-names":false,"suffix":""}],"container-title":"Annals of the Association of American Geographers","id":"ITEM-1","issue":"1","issued":{"date-parts":[["2000"]]},"page":"12-40","title":"Rethinking environmental racism: White privilege and urban development in southern California","type":"article-journal","volume":"90"},"uris":["http://www.mendeley.com/documents/?uuid=fc1cdd05-949c-40f1-b806-8bcff4fcbb56"]}],"mendeley":{"formattedCitation":"(Pulido, 2000)","plainTextFormattedCitation":"(Pulido, 2000)","previouslyFormattedCitation":"(Pulido, 2000)"},"properties":{"noteIndex":0},"schema":"https://github.com/citation-style-language/schema/raw/master/csl-citation.json"}</w:instrText>
            </w:r>
            <w:r w:rsidRPr="00A2171C">
              <w:rPr>
                <w:rFonts w:eastAsia="Times New Roman" w:cs="Times New Roman"/>
                <w:sz w:val="18"/>
                <w:szCs w:val="18"/>
                <w:lang w:val="en-GB"/>
              </w:rPr>
              <w:fldChar w:fldCharType="separate"/>
            </w:r>
            <w:r w:rsidRPr="00A2171C">
              <w:rPr>
                <w:rFonts w:eastAsia="Times New Roman" w:cs="Times New Roman"/>
                <w:noProof/>
                <w:sz w:val="18"/>
                <w:szCs w:val="18"/>
                <w:lang w:val="en-GB"/>
              </w:rPr>
              <w:t>(Pulido, 2000)</w:t>
            </w:r>
            <w:r w:rsidRPr="00A2171C">
              <w:rPr>
                <w:rFonts w:eastAsia="Times New Roman" w:cs="Times New Roman"/>
                <w:sz w:val="18"/>
                <w:szCs w:val="18"/>
                <w:lang w:val="en-GB"/>
              </w:rPr>
              <w:fldChar w:fldCharType="end"/>
            </w:r>
          </w:p>
        </w:tc>
      </w:tr>
      <w:tr w:rsidR="00A2171C" w:rsidRPr="00A2171C" w14:paraId="490BCB01" w14:textId="77777777" w:rsidTr="004A6C1F">
        <w:trPr>
          <w:trHeight w:val="227"/>
        </w:trPr>
        <w:tc>
          <w:tcPr>
            <w:tcW w:w="450" w:type="pct"/>
          </w:tcPr>
          <w:p w14:paraId="1E4A4A13"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N</w:t>
            </w:r>
            <w:r w:rsidRPr="00A2171C">
              <w:rPr>
                <w:rFonts w:eastAsia="Times New Roman" w:cs="Times New Roman"/>
                <w:b/>
                <w:sz w:val="18"/>
                <w:szCs w:val="18"/>
                <w:vertAlign w:val="subscript"/>
                <w:lang w:val="en-GB"/>
              </w:rPr>
              <w:t>d</w:t>
            </w:r>
          </w:p>
        </w:tc>
        <w:tc>
          <w:tcPr>
            <w:tcW w:w="1215" w:type="pct"/>
          </w:tcPr>
          <w:p w14:paraId="230885E9"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Ratio of dependent people in total population</w:t>
            </w:r>
          </w:p>
        </w:tc>
        <w:tc>
          <w:tcPr>
            <w:tcW w:w="780" w:type="pct"/>
          </w:tcPr>
          <w:p w14:paraId="1905FF4F"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td/</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p>
        </w:tc>
        <w:tc>
          <w:tcPr>
            <w:tcW w:w="1433" w:type="pct"/>
          </w:tcPr>
          <w:p w14:paraId="16202E01"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td</w:t>
            </w:r>
            <w:r w:rsidRPr="00A2171C">
              <w:rPr>
                <w:rFonts w:eastAsia="Times New Roman" w:cs="Times New Roman"/>
                <w:sz w:val="18"/>
                <w:szCs w:val="18"/>
                <w:lang w:val="en-GB"/>
              </w:rPr>
              <w:t xml:space="preserve"> = population with moderate or severe dependence </w:t>
            </w:r>
          </w:p>
        </w:tc>
        <w:tc>
          <w:tcPr>
            <w:tcW w:w="1122" w:type="pct"/>
          </w:tcPr>
          <w:p w14:paraId="6B918798"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fldChar w:fldCharType="begin" w:fldLock="1"/>
            </w:r>
            <w:r w:rsidRPr="00A2171C">
              <w:rPr>
                <w:rFonts w:eastAsia="Times New Roman" w:cs="Times New Roman"/>
                <w:sz w:val="18"/>
                <w:szCs w:val="18"/>
                <w:lang w:val="en-GB"/>
              </w:rPr>
              <w:instrText>ADDIN CSL_CITATION {"citationItems":[{"id":"ITEM-1","itemData":{"DOI":"10.1111/1540-6237.8402002","ISSN":"00384941","abstract":"Objective. County-level socioeconomic and demographic data were used to construct an index of social vulnerability to environmental hazards, called the Social Vulnerability Index (SoVI) for the United States based on 1990 data. Methods. Using a factor analytic approach, 42 variables were reduced to 11 independent factors that accounted for about 76 percent of the variance. These factors were placed in an additive model to compute a summary score - the Social Vulnerability Index. Results. There are some distinct spatial patterns in the SoVI, with the most vulnerable counties clustered in metropolitan counties in the east, south Texas, and the Mississippi Delta region. Conclusion. Those factors that contribute to the overall score often are different for each county, underscoring the interactive nature of social vulnerability - some components increase vulnerability; others moderate the effects.","author":[{"dropping-particle":"","family":"Cutter","given":"Susan L.","non-dropping-particle":"","parse-names":false,"suffix":""},{"dropping-particle":"","family":"Boruff","given":"Bryan J.","non-dropping-particle":"","parse-names":false,"suffix":""},{"dropping-particle":"","family":"Shirley","given":"W. Lynn","non-dropping-particle":"","parse-names":false,"suffix":""}],"container-title":"Social Science Quarterly","id":"ITEM-1","issue":"2","issued":{"date-parts":[["2003"]]},"page":"242-261","title":"Social vulnerability to environmental hazards","type":"article-journal","volume":"84"},"uris":["http://www.mendeley.com/documents/?uuid=a788b628-616a-4b6f-8ba9-48d8b4e186f5"]}],"mendeley":{"formattedCitation":"(Cutter et al., 2003)","plainTextFormattedCitation":"(Cutter et al., 2003)","previouslyFormattedCitation":"(Cutter et al., 2003)"},"properties":{"noteIndex":0},"schema":"https://github.com/citation-style-language/schema/raw/master/csl-citation.json"}</w:instrText>
            </w:r>
            <w:r w:rsidRPr="00A2171C">
              <w:rPr>
                <w:rFonts w:eastAsia="Times New Roman" w:cs="Times New Roman"/>
                <w:sz w:val="18"/>
                <w:szCs w:val="18"/>
                <w:lang w:val="en-GB"/>
              </w:rPr>
              <w:fldChar w:fldCharType="separate"/>
            </w:r>
            <w:r w:rsidRPr="00A2171C">
              <w:rPr>
                <w:rFonts w:eastAsia="Times New Roman" w:cs="Times New Roman"/>
                <w:noProof/>
                <w:sz w:val="18"/>
                <w:szCs w:val="18"/>
                <w:lang w:val="en-GB"/>
              </w:rPr>
              <w:t>(Cutter et al., 2003)</w:t>
            </w:r>
            <w:r w:rsidRPr="00A2171C">
              <w:rPr>
                <w:rFonts w:eastAsia="Times New Roman" w:cs="Times New Roman"/>
                <w:sz w:val="18"/>
                <w:szCs w:val="18"/>
                <w:lang w:val="en-GB"/>
              </w:rPr>
              <w:fldChar w:fldCharType="end"/>
            </w:r>
          </w:p>
        </w:tc>
      </w:tr>
      <w:tr w:rsidR="00A2171C" w:rsidRPr="00A2171C" w14:paraId="32080581" w14:textId="77777777" w:rsidTr="004A6C1F">
        <w:trPr>
          <w:trHeight w:val="227"/>
        </w:trPr>
        <w:tc>
          <w:tcPr>
            <w:tcW w:w="450" w:type="pct"/>
          </w:tcPr>
          <w:p w14:paraId="6477B7B5"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N</w:t>
            </w:r>
            <w:r w:rsidRPr="00A2171C">
              <w:rPr>
                <w:rFonts w:eastAsia="Times New Roman" w:cs="Times New Roman"/>
                <w:b/>
                <w:sz w:val="18"/>
                <w:szCs w:val="18"/>
                <w:vertAlign w:val="subscript"/>
                <w:lang w:val="en-GB"/>
              </w:rPr>
              <w:t>in</w:t>
            </w:r>
          </w:p>
        </w:tc>
        <w:tc>
          <w:tcPr>
            <w:tcW w:w="1215" w:type="pct"/>
          </w:tcPr>
          <w:p w14:paraId="5FCF8C7E"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Ratio indigenous population</w:t>
            </w:r>
          </w:p>
        </w:tc>
        <w:tc>
          <w:tcPr>
            <w:tcW w:w="780" w:type="pct"/>
          </w:tcPr>
          <w:p w14:paraId="384DB3A3"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in</w:t>
            </w:r>
            <w:r w:rsidRPr="00A2171C">
              <w:rPr>
                <w:rFonts w:eastAsia="Times New Roman" w:cs="Times New Roman"/>
                <w:sz w:val="18"/>
                <w:szCs w:val="18"/>
                <w:lang w:val="en-GB"/>
              </w:rPr>
              <w:t>= N</w:t>
            </w:r>
            <w:r w:rsidRPr="00A2171C">
              <w:rPr>
                <w:rFonts w:eastAsia="Times New Roman" w:cs="Times New Roman"/>
                <w:sz w:val="18"/>
                <w:szCs w:val="18"/>
                <w:vertAlign w:val="subscript"/>
                <w:lang w:val="en-GB"/>
              </w:rPr>
              <w:t>tin</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p>
        </w:tc>
        <w:tc>
          <w:tcPr>
            <w:tcW w:w="1433" w:type="pct"/>
          </w:tcPr>
          <w:p w14:paraId="17F14358"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tin</w:t>
            </w:r>
            <w:r w:rsidRPr="00A2171C">
              <w:rPr>
                <w:rFonts w:eastAsia="Times New Roman" w:cs="Times New Roman"/>
                <w:sz w:val="18"/>
                <w:szCs w:val="18"/>
                <w:lang w:val="en-GB"/>
              </w:rPr>
              <w:t xml:space="preserve"> = indigenous population </w:t>
            </w:r>
          </w:p>
        </w:tc>
        <w:tc>
          <w:tcPr>
            <w:tcW w:w="1122" w:type="pct"/>
          </w:tcPr>
          <w:p w14:paraId="1DB13341"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fldChar w:fldCharType="begin" w:fldLock="1"/>
            </w:r>
            <w:r w:rsidRPr="00A2171C">
              <w:rPr>
                <w:rFonts w:eastAsia="Times New Roman" w:cs="Times New Roman"/>
                <w:sz w:val="18"/>
                <w:szCs w:val="18"/>
                <w:lang w:val="en-GB"/>
              </w:rPr>
              <w:instrText>ADDIN CSL_CITATION {"citationItems":[{"id":"ITEM-1","itemData":{"DOI":"10.1111/0004-5608.00182","ISSN":"00045608","abstract":"Geographic studies of environmental racism have focused on the spatial relationships between environmental hazards and community demographics in order to determine if inequity exists. Conspicuously absent within this literature, however, is any substantive discussion of racism. This paper seeks to address this shortcoming in two ways. I first investigate how racism is understood and expressed in the literature. I argue that although racism is rarely explicitly discussed, a normative conceptualization of racism informs the research. Not only is this prevailing conception overly narrow and restrictive, it also denies the spatiality of racism. Consequently, my second goal is to demonstrate how various forms of racism contribute to environmental racism. In addition to conventional understandings of racism, I emphasize white privilege, a highly structural and spatial form of racism. Using Los Angeles as a case study, I examine how whites have secured relatively cleaner environments by moving away from older industrial cores via suburbanization. I suggest that the historical processes of suburbanization and decentralization are instances of white privilege and have contributed to contemporary patterns of environmental racism. Thus, in addition to interpreting racism as discriminatory facility siting and malicious intent, I also examine a less conscious but hegemonic form of racism, white privilege. Such an approach not only allows us to appreciate the range of racisms that shape the urban landscape, but also illuminates the functional relationships between places-in particular between industrial zones and residential suburbs, and how their development reflects and reproduces a particular racist formation.","author":[{"dropping-particle":"","family":"Pulido","given":"Laura","non-dropping-particle":"","parse-names":false,"suffix":""}],"container-title":"Annals of the Association of American Geographers","id":"ITEM-1","issue":"1","issued":{"date-parts":[["2000"]]},"page":"12-40","title":"Rethinking environmental racism: White privilege and urban development in southern California","type":"article-journal","volume":"90"},"uris":["http://www.mendeley.com/documents/?uuid=fc1cdd05-949c-40f1-b806-8bcff4fcbb56"]}],"mendeley":{"formattedCitation":"(Pulido, 2000)","plainTextFormattedCitation":"(Pulido, 2000)","previouslyFormattedCitation":"(Pulido, 2000)"},"properties":{"noteIndex":0},"schema":"https://github.com/citation-style-language/schema/raw/master/csl-citation.json"}</w:instrText>
            </w:r>
            <w:r w:rsidRPr="00A2171C">
              <w:rPr>
                <w:rFonts w:eastAsia="Times New Roman" w:cs="Times New Roman"/>
                <w:sz w:val="18"/>
                <w:szCs w:val="18"/>
                <w:lang w:val="en-GB"/>
              </w:rPr>
              <w:fldChar w:fldCharType="separate"/>
            </w:r>
            <w:r w:rsidRPr="00A2171C">
              <w:rPr>
                <w:rFonts w:eastAsia="Times New Roman" w:cs="Times New Roman"/>
                <w:noProof/>
                <w:sz w:val="18"/>
                <w:szCs w:val="18"/>
                <w:lang w:val="en-GB"/>
              </w:rPr>
              <w:t>(Pulido, 2000)</w:t>
            </w:r>
            <w:r w:rsidRPr="00A2171C">
              <w:rPr>
                <w:rFonts w:eastAsia="Times New Roman" w:cs="Times New Roman"/>
                <w:sz w:val="18"/>
                <w:szCs w:val="18"/>
                <w:lang w:val="en-GB"/>
              </w:rPr>
              <w:fldChar w:fldCharType="end"/>
            </w:r>
          </w:p>
        </w:tc>
      </w:tr>
      <w:tr w:rsidR="00A2171C" w:rsidRPr="00A2171C" w14:paraId="4FA24E24" w14:textId="77777777" w:rsidTr="004A6C1F">
        <w:trPr>
          <w:trHeight w:val="227"/>
        </w:trPr>
        <w:tc>
          <w:tcPr>
            <w:tcW w:w="450" w:type="pct"/>
          </w:tcPr>
          <w:p w14:paraId="78C7E4E0" w14:textId="77777777" w:rsidR="0073364B" w:rsidRPr="00A2171C" w:rsidRDefault="0073364B" w:rsidP="004A6C1F">
            <w:pPr>
              <w:spacing w:after="0" w:line="276" w:lineRule="auto"/>
              <w:rPr>
                <w:rFonts w:eastAsia="Times New Roman" w:cs="Times New Roman"/>
                <w:b/>
                <w:sz w:val="18"/>
                <w:szCs w:val="18"/>
                <w:lang w:val="en-GB"/>
              </w:rPr>
            </w:pPr>
            <w:r w:rsidRPr="00A2171C">
              <w:rPr>
                <w:rFonts w:eastAsia="Times New Roman" w:cs="Times New Roman"/>
                <w:b/>
                <w:sz w:val="18"/>
                <w:szCs w:val="18"/>
                <w:lang w:val="en-GB"/>
              </w:rPr>
              <w:t>N</w:t>
            </w:r>
            <w:r w:rsidRPr="00A2171C">
              <w:rPr>
                <w:rFonts w:eastAsia="Times New Roman" w:cs="Times New Roman"/>
                <w:b/>
                <w:sz w:val="18"/>
                <w:szCs w:val="18"/>
                <w:vertAlign w:val="subscript"/>
                <w:lang w:val="en-GB"/>
              </w:rPr>
              <w:t>ibs</w:t>
            </w:r>
          </w:p>
        </w:tc>
        <w:tc>
          <w:tcPr>
            <w:tcW w:w="1215" w:type="pct"/>
          </w:tcPr>
          <w:p w14:paraId="27A45C5D"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Ratio people living in crowded conditions</w:t>
            </w:r>
          </w:p>
        </w:tc>
        <w:tc>
          <w:tcPr>
            <w:tcW w:w="780" w:type="pct"/>
          </w:tcPr>
          <w:p w14:paraId="67782058"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lbs</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tlbc</w:t>
            </w: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p>
        </w:tc>
        <w:tc>
          <w:tcPr>
            <w:tcW w:w="1433" w:type="pct"/>
          </w:tcPr>
          <w:p w14:paraId="067DB187"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tlbc</w:t>
            </w:r>
            <w:r w:rsidRPr="00A2171C">
              <w:rPr>
                <w:rFonts w:eastAsia="Times New Roman" w:cs="Times New Roman"/>
                <w:sz w:val="18"/>
                <w:szCs w:val="18"/>
                <w:lang w:val="en-GB"/>
              </w:rPr>
              <w:t xml:space="preserve"> = Population living in crowded conditions </w:t>
            </w:r>
          </w:p>
        </w:tc>
        <w:tc>
          <w:tcPr>
            <w:tcW w:w="1122" w:type="pct"/>
            <w:shd w:val="clear" w:color="auto" w:fill="auto"/>
          </w:tcPr>
          <w:p w14:paraId="1F104E8E" w14:textId="77777777" w:rsidR="0073364B" w:rsidRPr="00A2171C" w:rsidRDefault="0073364B" w:rsidP="004A6C1F">
            <w:pPr>
              <w:spacing w:after="0" w:line="276" w:lineRule="auto"/>
              <w:rPr>
                <w:rFonts w:eastAsia="Times New Roman" w:cs="Times New Roman"/>
                <w:sz w:val="18"/>
                <w:szCs w:val="18"/>
                <w:lang w:val="en-GB"/>
              </w:rPr>
            </w:pPr>
            <w:r w:rsidRPr="00A2171C">
              <w:rPr>
                <w:rFonts w:eastAsia="Times New Roman" w:cs="Times New Roman"/>
                <w:sz w:val="18"/>
                <w:szCs w:val="18"/>
                <w:lang w:val="en-GB"/>
              </w:rPr>
              <w:fldChar w:fldCharType="begin" w:fldLock="1"/>
            </w:r>
            <w:r w:rsidRPr="00A2171C">
              <w:rPr>
                <w:rFonts w:eastAsia="Times New Roman" w:cs="Times New Roman"/>
                <w:sz w:val="18"/>
                <w:szCs w:val="18"/>
                <w:lang w:val="en-GB"/>
              </w:rPr>
              <w:instrText>ADDIN CSL_CITATION {"citationItems":[{"id":"ITEM-1","itemData":{"DOI":"10.1016/j.ocecoaman.2019.105060","ISSN":"09645691","abstract":"Tsunami risk is analyzed regarding a probable extreme event in Cartagena Bay (33°S), one of the most anthropized areas of Chile and part of its main metropolitan area. An event with characteristics similar to those of the 1730 earthquake (Mw 9.1) was modelled considering the worst-case scenario for the coast of central Chile. Vulnerability is analyzed by applying the Social Vulnerability Index (SoVI) with representative census (2017) variables. A principal component analysis (PCA) was applied to the variables, generating 8 main groups. The results established flooding heights up to 9 m with maximum flow velocities of 10 m/s. The first inundation started 5 min after the earthquake but consecutive hazardous waves were active for at least 6 h after the shaking. Social vulnerability was established as high for the components that made up the following variables: socioeconomic status, housing material, access to basic services and gender, which are directly related to the occupancy, promoted by planning instruments, of dune fields and the periphery of wetlands. The risk area encompasses 99% of the affected area, while 67.5% of the area is at high risk. Mitigation and prevention measures that can be addressed in territorial planning and coastal management are proposed, prioritizing the restoration of the dune system as a natural protection measure against extreme events, the relocation of the population in irregular occupancy conditions, evaluation of tsunami evacuation potential, planning urban design in conjunction with evacuation routes and consideration of vertical evacuation implementation.","author":[{"dropping-particle":"","family":"Martínez","given":"Carolina","non-dropping-particle":"","parse-names":false,"suffix":""},{"dropping-particle":"","family":"Cienfuegos","given":"Rodrigo","non-dropping-particle":"","parse-names":false,"suffix":""},{"dropping-particle":"","family":"Inzunza","given":"Simón","non-dropping-particle":"","parse-names":false,"suffix":""},{"dropping-particle":"","family":"Urrutia","given":"Alejandro","non-dropping-particle":"","parse-names":false,"suffix":""},{"dropping-particle":"","family":"Guerrero","given":"Nikole","non-dropping-particle":"","parse-names":false,"suffix":""}],"container-title":"Ocean and Coastal Management","id":"ITEM-1","issue":"October 2019","issued":{"date-parts":[["2020"]]},"title":"Worst-case tsunami scenario in Cartagena Bay, central Chile: Challenges for coastal risk management","type":"article-journal","volume":"185"},"uris":["http://www.mendeley.com/documents/?uuid=d7f600b8-5399-4dc3-9e3b-41bb1847e6a3"]}],"mendeley":{"formattedCitation":"(Martínez et al., 2020)","plainTextFormattedCitation":"(Martínez et al., 2020)","previouslyFormattedCitation":"(Martínez et al., 2020)"},"properties":{"noteIndex":0},"schema":"https://github.com/citation-style-language/schema/raw/master/csl-citation.json"}</w:instrText>
            </w:r>
            <w:r w:rsidRPr="00A2171C">
              <w:rPr>
                <w:rFonts w:eastAsia="Times New Roman" w:cs="Times New Roman"/>
                <w:sz w:val="18"/>
                <w:szCs w:val="18"/>
                <w:lang w:val="en-GB"/>
              </w:rPr>
              <w:fldChar w:fldCharType="separate"/>
            </w:r>
            <w:r w:rsidRPr="00A2171C">
              <w:rPr>
                <w:rFonts w:eastAsia="Times New Roman" w:cs="Times New Roman"/>
                <w:noProof/>
                <w:sz w:val="18"/>
                <w:szCs w:val="18"/>
                <w:lang w:val="en-GB"/>
              </w:rPr>
              <w:t>(Martínez et al., 2020)</w:t>
            </w:r>
            <w:r w:rsidRPr="00A2171C">
              <w:rPr>
                <w:rFonts w:eastAsia="Times New Roman" w:cs="Times New Roman"/>
                <w:sz w:val="18"/>
                <w:szCs w:val="18"/>
                <w:lang w:val="en-GB"/>
              </w:rPr>
              <w:fldChar w:fldCharType="end"/>
            </w:r>
          </w:p>
        </w:tc>
      </w:tr>
      <w:tr w:rsidR="00A2171C" w:rsidRPr="00A2171C" w14:paraId="6B748F77" w14:textId="77777777" w:rsidTr="004A6C1F">
        <w:trPr>
          <w:trHeight w:val="227"/>
        </w:trPr>
        <w:tc>
          <w:tcPr>
            <w:tcW w:w="1665" w:type="pct"/>
            <w:gridSpan w:val="2"/>
            <w:tcBorders>
              <w:bottom w:val="single" w:sz="4" w:space="0" w:color="auto"/>
            </w:tcBorders>
          </w:tcPr>
          <w:p w14:paraId="209C8988" w14:textId="77777777" w:rsidR="0073364B" w:rsidRPr="00A2171C" w:rsidRDefault="0073364B" w:rsidP="004A6C1F">
            <w:pPr>
              <w:spacing w:after="0" w:line="240" w:lineRule="auto"/>
              <w:rPr>
                <w:rFonts w:eastAsia="Times New Roman" w:cs="Times New Roman"/>
                <w:sz w:val="18"/>
                <w:szCs w:val="18"/>
                <w:lang w:val="en-GB"/>
              </w:rPr>
            </w:pPr>
            <w:r w:rsidRPr="00A2171C">
              <w:rPr>
                <w:rFonts w:eastAsia="Times New Roman" w:cs="Times New Roman"/>
                <w:sz w:val="18"/>
                <w:szCs w:val="18"/>
                <w:lang w:val="en-GB"/>
              </w:rPr>
              <w:t>N</w:t>
            </w:r>
            <w:r w:rsidRPr="00A2171C">
              <w:rPr>
                <w:rFonts w:eastAsia="Times New Roman" w:cs="Times New Roman"/>
                <w:sz w:val="18"/>
                <w:szCs w:val="18"/>
                <w:vertAlign w:val="subscript"/>
                <w:lang w:val="en-GB"/>
              </w:rPr>
              <w:t>tp</w:t>
            </w:r>
            <w:r w:rsidRPr="00A2171C">
              <w:rPr>
                <w:rFonts w:eastAsia="Times New Roman" w:cs="Times New Roman"/>
                <w:sz w:val="18"/>
                <w:szCs w:val="18"/>
                <w:lang w:val="en-GB"/>
              </w:rPr>
              <w:t xml:space="preserve"> = total number of persons</w:t>
            </w:r>
          </w:p>
        </w:tc>
        <w:tc>
          <w:tcPr>
            <w:tcW w:w="780" w:type="pct"/>
            <w:tcBorders>
              <w:bottom w:val="single" w:sz="4" w:space="0" w:color="auto"/>
            </w:tcBorders>
          </w:tcPr>
          <w:p w14:paraId="3054E0B4" w14:textId="77777777" w:rsidR="0073364B" w:rsidRPr="00A2171C" w:rsidRDefault="0073364B" w:rsidP="004A6C1F">
            <w:pPr>
              <w:spacing w:after="0" w:line="276" w:lineRule="auto"/>
              <w:rPr>
                <w:rFonts w:eastAsia="Times New Roman" w:cs="Times New Roman"/>
                <w:sz w:val="18"/>
                <w:szCs w:val="18"/>
                <w:lang w:val="en-GB"/>
              </w:rPr>
            </w:pPr>
          </w:p>
        </w:tc>
        <w:tc>
          <w:tcPr>
            <w:tcW w:w="1433" w:type="pct"/>
            <w:tcBorders>
              <w:bottom w:val="single" w:sz="4" w:space="0" w:color="auto"/>
            </w:tcBorders>
          </w:tcPr>
          <w:p w14:paraId="433D1901" w14:textId="77777777" w:rsidR="0073364B" w:rsidRPr="00A2171C" w:rsidRDefault="0073364B" w:rsidP="004A6C1F">
            <w:pPr>
              <w:spacing w:after="0" w:line="276" w:lineRule="auto"/>
              <w:rPr>
                <w:rFonts w:eastAsia="Times New Roman" w:cs="Times New Roman"/>
                <w:sz w:val="18"/>
                <w:szCs w:val="18"/>
                <w:lang w:val="en-GB"/>
              </w:rPr>
            </w:pPr>
          </w:p>
        </w:tc>
        <w:tc>
          <w:tcPr>
            <w:tcW w:w="1122" w:type="pct"/>
            <w:tcBorders>
              <w:bottom w:val="single" w:sz="4" w:space="0" w:color="auto"/>
            </w:tcBorders>
          </w:tcPr>
          <w:p w14:paraId="19F51D5F" w14:textId="77777777" w:rsidR="0073364B" w:rsidRPr="00A2171C" w:rsidRDefault="0073364B" w:rsidP="004A6C1F">
            <w:pPr>
              <w:spacing w:after="0" w:line="276" w:lineRule="auto"/>
              <w:rPr>
                <w:rFonts w:eastAsia="Times New Roman" w:cs="Times New Roman"/>
                <w:sz w:val="18"/>
                <w:szCs w:val="18"/>
                <w:lang w:val="en-GB"/>
              </w:rPr>
            </w:pPr>
          </w:p>
        </w:tc>
      </w:tr>
    </w:tbl>
    <w:p w14:paraId="795D8FA7" w14:textId="75125927" w:rsidR="00A46867" w:rsidRPr="00A2171C" w:rsidRDefault="006B6E19" w:rsidP="006C1055">
      <w:pPr>
        <w:spacing w:before="240" w:after="0"/>
        <w:rPr>
          <w:rFonts w:eastAsia="Gungsuh" w:cs="Times New Roman"/>
          <w:szCs w:val="20"/>
          <w:lang w:val="en-GB"/>
        </w:rPr>
      </w:pPr>
      <w:r w:rsidRPr="00A2171C">
        <w:rPr>
          <w:rFonts w:eastAsia="Gungsuh" w:cs="Times New Roman"/>
          <w:szCs w:val="20"/>
          <w:lang w:val="en-GB"/>
        </w:rPr>
        <w:t xml:space="preserve">Qualitatively speaking, the </w:t>
      </w:r>
      <w:r w:rsidR="00A46867" w:rsidRPr="00A2171C">
        <w:rPr>
          <w:rFonts w:eastAsia="Gungsuh" w:cs="Times New Roman"/>
          <w:szCs w:val="20"/>
          <w:lang w:val="en-GB"/>
        </w:rPr>
        <w:t xml:space="preserve">combination </w:t>
      </w:r>
      <w:r w:rsidRPr="00A2171C">
        <w:rPr>
          <w:rFonts w:eastAsia="Gungsuh" w:cs="Times New Roman"/>
          <w:szCs w:val="20"/>
          <w:lang w:val="en-GB"/>
        </w:rPr>
        <w:t xml:space="preserve">of </w:t>
      </w:r>
      <w:r w:rsidR="00A46867" w:rsidRPr="00A2171C">
        <w:rPr>
          <w:rFonts w:eastAsia="Gungsuh" w:cs="Times New Roman"/>
          <w:szCs w:val="20"/>
          <w:lang w:val="en-GB"/>
        </w:rPr>
        <w:t xml:space="preserve">high FRI </w:t>
      </w:r>
      <w:r w:rsidRPr="00A2171C">
        <w:rPr>
          <w:rFonts w:eastAsia="Gungsuh" w:cs="Times New Roman"/>
          <w:szCs w:val="20"/>
          <w:lang w:val="en-GB"/>
        </w:rPr>
        <w:t xml:space="preserve">values </w:t>
      </w:r>
      <w:r w:rsidR="00A46867" w:rsidRPr="00A2171C">
        <w:rPr>
          <w:rFonts w:eastAsia="Gungsuh" w:cs="Times New Roman"/>
          <w:szCs w:val="20"/>
          <w:lang w:val="en-GB"/>
        </w:rPr>
        <w:t xml:space="preserve">and high population density constitutes an unfavourable situation in terms of fire ignition and </w:t>
      </w:r>
      <w:r w:rsidRPr="00A2171C">
        <w:rPr>
          <w:rFonts w:eastAsia="Gungsuh" w:cs="Times New Roman"/>
          <w:szCs w:val="20"/>
          <w:lang w:val="en-GB"/>
        </w:rPr>
        <w:t xml:space="preserve">the fire </w:t>
      </w:r>
      <w:r w:rsidR="00A46867" w:rsidRPr="00A2171C">
        <w:rPr>
          <w:rFonts w:eastAsia="Gungsuh" w:cs="Times New Roman"/>
          <w:szCs w:val="20"/>
          <w:lang w:val="en-GB"/>
        </w:rPr>
        <w:t xml:space="preserve">evacuation </w:t>
      </w:r>
      <w:r w:rsidRPr="00A2171C">
        <w:rPr>
          <w:rFonts w:eastAsia="Gungsuh" w:cs="Times New Roman"/>
          <w:szCs w:val="20"/>
          <w:lang w:val="en-GB"/>
        </w:rPr>
        <w:t>during</w:t>
      </w:r>
      <w:r w:rsidR="00A46867" w:rsidRPr="00A2171C">
        <w:rPr>
          <w:rFonts w:eastAsia="Gungsuh" w:cs="Times New Roman"/>
          <w:szCs w:val="20"/>
          <w:lang w:val="en-GB"/>
        </w:rPr>
        <w:t xml:space="preserve"> </w:t>
      </w:r>
      <w:r w:rsidRPr="00A2171C">
        <w:rPr>
          <w:rFonts w:eastAsia="Gungsuh" w:cs="Times New Roman"/>
          <w:szCs w:val="20"/>
          <w:lang w:val="en-GB"/>
        </w:rPr>
        <w:t>the event</w:t>
      </w:r>
      <w:r w:rsidR="00A46867" w:rsidRPr="00A2171C">
        <w:rPr>
          <w:rFonts w:eastAsia="Gungsuh" w:cs="Times New Roman"/>
          <w:szCs w:val="20"/>
          <w:lang w:val="en-GB"/>
        </w:rPr>
        <w:t xml:space="preserve">. </w:t>
      </w:r>
      <w:r w:rsidRPr="00A2171C">
        <w:rPr>
          <w:rFonts w:eastAsia="Gungsuh" w:cs="Times New Roman"/>
          <w:szCs w:val="20"/>
          <w:lang w:val="en-GB"/>
        </w:rPr>
        <w:t>Alternatively, s</w:t>
      </w:r>
      <w:r w:rsidR="00A46867" w:rsidRPr="00A2171C">
        <w:rPr>
          <w:rFonts w:eastAsia="Gungsuh" w:cs="Times New Roman"/>
          <w:szCs w:val="20"/>
          <w:lang w:val="en-GB"/>
        </w:rPr>
        <w:t xml:space="preserve">outhern urban blocks between </w:t>
      </w:r>
      <w:r w:rsidRPr="00A2171C">
        <w:rPr>
          <w:rFonts w:eastAsia="Gungsuh" w:cs="Times New Roman"/>
          <w:szCs w:val="20"/>
          <w:lang w:val="en-GB"/>
        </w:rPr>
        <w:t xml:space="preserve">streets </w:t>
      </w:r>
      <w:r w:rsidR="00A46867" w:rsidRPr="00A2171C">
        <w:rPr>
          <w:rFonts w:eastAsia="Gungsuh" w:cs="Times New Roman"/>
          <w:i/>
          <w:iCs/>
          <w:szCs w:val="20"/>
          <w:lang w:val="en-GB"/>
        </w:rPr>
        <w:t>Compañia de Jesús</w:t>
      </w:r>
      <w:r w:rsidR="00A46867" w:rsidRPr="00A2171C">
        <w:rPr>
          <w:rFonts w:eastAsia="Gungsuh" w:cs="Times New Roman"/>
          <w:szCs w:val="20"/>
          <w:lang w:val="en-GB"/>
        </w:rPr>
        <w:t xml:space="preserve"> and </w:t>
      </w:r>
      <w:r w:rsidR="00A46867" w:rsidRPr="00A2171C">
        <w:rPr>
          <w:rFonts w:eastAsia="Gungsuh" w:cs="Times New Roman"/>
          <w:i/>
          <w:iCs/>
          <w:szCs w:val="20"/>
          <w:lang w:val="en-GB"/>
        </w:rPr>
        <w:t>Agustinas</w:t>
      </w:r>
      <w:r w:rsidR="00A46867" w:rsidRPr="00A2171C">
        <w:rPr>
          <w:rFonts w:eastAsia="Gungsuh" w:cs="Times New Roman"/>
          <w:szCs w:val="20"/>
          <w:lang w:val="en-GB"/>
        </w:rPr>
        <w:t xml:space="preserve">, have between 74 to 291 residents per block, a population density lower than the other historical urban blocks, but with moderate to extreme FRI levels (1.00 </w:t>
      </w:r>
      <w:r w:rsidR="00A46867" w:rsidRPr="00A2171C">
        <w:rPr>
          <w:rFonts w:cs="Times New Roman"/>
          <w:szCs w:val="20"/>
          <w:lang w:val="en-US"/>
        </w:rPr>
        <w:t>&lt;</w:t>
      </w:r>
      <w:r w:rsidR="00A46867" w:rsidRPr="00A2171C">
        <w:rPr>
          <w:rFonts w:eastAsia="Gungsuh" w:cs="Times New Roman"/>
          <w:szCs w:val="20"/>
          <w:lang w:val="en-GB"/>
        </w:rPr>
        <w:t xml:space="preserve"> FRI </w:t>
      </w:r>
      <w:r w:rsidR="00A46867" w:rsidRPr="00A2171C">
        <w:rPr>
          <w:rFonts w:cs="Times New Roman"/>
          <w:szCs w:val="20"/>
          <w:lang w:val="en-US"/>
        </w:rPr>
        <w:t>≤</w:t>
      </w:r>
      <w:r w:rsidR="00A46867" w:rsidRPr="00A2171C">
        <w:rPr>
          <w:rFonts w:eastAsia="Gungsuh" w:cs="Times New Roman"/>
          <w:szCs w:val="20"/>
          <w:lang w:val="en-GB"/>
        </w:rPr>
        <w:t xml:space="preserve"> 1.99). </w:t>
      </w:r>
    </w:p>
    <w:p w14:paraId="42EB71F2" w14:textId="1EA0A34A" w:rsidR="006C1055" w:rsidRPr="00A2171C" w:rsidRDefault="003D2A45" w:rsidP="006C1055">
      <w:pPr>
        <w:rPr>
          <w:rFonts w:eastAsia="Times New Roman" w:cs="Times New Roman"/>
          <w:szCs w:val="20"/>
          <w:lang w:val="en-GB"/>
        </w:rPr>
      </w:pPr>
      <w:r w:rsidRPr="00A2171C">
        <w:rPr>
          <w:rFonts w:eastAsia="Gungsuh" w:cs="Times New Roman"/>
          <w:szCs w:val="20"/>
          <w:lang w:val="en-GB"/>
        </w:rPr>
        <w:lastRenderedPageBreak/>
        <w:t>In general</w:t>
      </w:r>
      <w:r w:rsidR="00A46867" w:rsidRPr="00A2171C">
        <w:rPr>
          <w:rFonts w:eastAsia="Gungsuh" w:cs="Times New Roman"/>
          <w:szCs w:val="20"/>
          <w:lang w:val="en-GB"/>
        </w:rPr>
        <w:t xml:space="preserve">, moderate </w:t>
      </w:r>
      <w:r w:rsidRPr="00A2171C">
        <w:rPr>
          <w:rFonts w:eastAsia="Gungsuh" w:cs="Times New Roman"/>
          <w:szCs w:val="20"/>
          <w:lang w:val="en-GB"/>
        </w:rPr>
        <w:t xml:space="preserve">to high </w:t>
      </w:r>
      <w:r w:rsidR="00A46867" w:rsidRPr="00A2171C">
        <w:rPr>
          <w:rFonts w:eastAsia="Gungsuh" w:cs="Times New Roman"/>
          <w:szCs w:val="20"/>
          <w:lang w:val="en-GB"/>
        </w:rPr>
        <w:t xml:space="preserve">levels of fire risk in these urban areas are </w:t>
      </w:r>
      <w:r w:rsidRPr="00A2171C">
        <w:rPr>
          <w:rFonts w:eastAsia="Gungsuh" w:cs="Times New Roman"/>
          <w:szCs w:val="20"/>
          <w:lang w:val="en-GB"/>
        </w:rPr>
        <w:t xml:space="preserve">closely </w:t>
      </w:r>
      <w:r w:rsidR="00A46867" w:rsidRPr="00A2171C">
        <w:rPr>
          <w:rFonts w:eastAsia="Gungsuh" w:cs="Times New Roman"/>
          <w:szCs w:val="20"/>
          <w:lang w:val="en-GB"/>
        </w:rPr>
        <w:t xml:space="preserve">related to use: </w:t>
      </w:r>
      <w:r w:rsidRPr="00A2171C">
        <w:rPr>
          <w:rFonts w:eastAsia="Gungsuh" w:cs="Times New Roman"/>
          <w:szCs w:val="20"/>
          <w:lang w:val="en-GB"/>
        </w:rPr>
        <w:t xml:space="preserve">(i) </w:t>
      </w:r>
      <w:r w:rsidR="00A46867" w:rsidRPr="00A2171C">
        <w:rPr>
          <w:rFonts w:eastAsia="Times New Roman" w:cs="Times New Roman"/>
          <w:szCs w:val="20"/>
          <w:lang w:val="en-GB"/>
        </w:rPr>
        <w:t>non-residential-buildings with low population density</w:t>
      </w:r>
      <w:r w:rsidRPr="00A2171C">
        <w:rPr>
          <w:rFonts w:eastAsia="Times New Roman" w:cs="Times New Roman"/>
          <w:szCs w:val="20"/>
          <w:lang w:val="en-GB"/>
        </w:rPr>
        <w:t>; (ii)</w:t>
      </w:r>
      <w:r w:rsidR="00A46867" w:rsidRPr="00A2171C">
        <w:rPr>
          <w:rFonts w:eastAsia="Times New Roman" w:cs="Times New Roman"/>
          <w:szCs w:val="20"/>
          <w:lang w:val="en-GB"/>
        </w:rPr>
        <w:t xml:space="preserve"> storage of highly combustible materials</w:t>
      </w:r>
      <w:r w:rsidRPr="00A2171C">
        <w:rPr>
          <w:rFonts w:eastAsia="Times New Roman" w:cs="Times New Roman"/>
          <w:szCs w:val="20"/>
          <w:lang w:val="en-GB"/>
        </w:rPr>
        <w:t>;</w:t>
      </w:r>
      <w:r w:rsidR="00A46867" w:rsidRPr="00A2171C">
        <w:rPr>
          <w:rFonts w:eastAsia="Times New Roman" w:cs="Times New Roman"/>
          <w:szCs w:val="20"/>
          <w:lang w:val="en-GB"/>
        </w:rPr>
        <w:t xml:space="preserve"> and </w:t>
      </w:r>
      <w:r w:rsidRPr="00A2171C">
        <w:rPr>
          <w:rFonts w:eastAsia="Times New Roman" w:cs="Times New Roman"/>
          <w:szCs w:val="20"/>
          <w:lang w:val="en-GB"/>
        </w:rPr>
        <w:t xml:space="preserve">(iii) </w:t>
      </w:r>
      <w:r w:rsidR="00A46867" w:rsidRPr="00A2171C">
        <w:rPr>
          <w:rFonts w:eastAsia="Times New Roman" w:cs="Times New Roman"/>
          <w:szCs w:val="20"/>
          <w:lang w:val="en-GB"/>
        </w:rPr>
        <w:t xml:space="preserve">absence of </w:t>
      </w:r>
      <w:r w:rsidRPr="00A2171C">
        <w:rPr>
          <w:rFonts w:eastAsia="Times New Roman" w:cs="Times New Roman"/>
          <w:szCs w:val="20"/>
          <w:lang w:val="en-GB"/>
        </w:rPr>
        <w:t xml:space="preserve">a </w:t>
      </w:r>
      <w:r w:rsidR="00A46867" w:rsidRPr="00A2171C">
        <w:rPr>
          <w:rFonts w:eastAsia="Times New Roman" w:cs="Times New Roman"/>
          <w:szCs w:val="20"/>
          <w:lang w:val="en-GB"/>
        </w:rPr>
        <w:t>minimum number of extinguishers.</w:t>
      </w:r>
    </w:p>
    <w:p w14:paraId="13A518AA" w14:textId="77777777" w:rsidR="006C1055" w:rsidRPr="00A2171C" w:rsidRDefault="006C1055" w:rsidP="006C1055">
      <w:pPr>
        <w:rPr>
          <w:rFonts w:eastAsia="Times New Roman" w:cs="Times New Roman"/>
          <w:szCs w:val="20"/>
          <w:lang w:val="en-GB"/>
        </w:rPr>
      </w:pPr>
    </w:p>
    <w:tbl>
      <w:tblPr>
        <w:tblStyle w:val="TableGrid"/>
        <w:tblW w:w="0" w:type="auto"/>
        <w:tblLook w:val="04A0" w:firstRow="1" w:lastRow="0" w:firstColumn="1" w:lastColumn="0" w:noHBand="0" w:noVBand="1"/>
      </w:tblPr>
      <w:tblGrid>
        <w:gridCol w:w="8828"/>
      </w:tblGrid>
      <w:tr w:rsidR="00A2171C" w:rsidRPr="00A2171C" w14:paraId="3FF6CCFE" w14:textId="77777777" w:rsidTr="002252C6">
        <w:tc>
          <w:tcPr>
            <w:tcW w:w="8828" w:type="dxa"/>
          </w:tcPr>
          <w:p w14:paraId="30B33C5B" w14:textId="77777777" w:rsidR="006C1055" w:rsidRPr="00A2171C" w:rsidRDefault="006C1055" w:rsidP="002252C6">
            <w:pPr>
              <w:rPr>
                <w:rFonts w:eastAsia="Times New Roman" w:cs="Times New Roman"/>
                <w:noProof/>
                <w:sz w:val="6"/>
                <w:szCs w:val="6"/>
                <w:lang w:val="en-GB"/>
              </w:rPr>
            </w:pPr>
          </w:p>
          <w:p w14:paraId="671F47D9" w14:textId="77777777" w:rsidR="006C1055" w:rsidRPr="00A2171C" w:rsidRDefault="006C1055" w:rsidP="002252C6">
            <w:pPr>
              <w:rPr>
                <w:rFonts w:eastAsia="Times New Roman" w:cs="Times New Roman"/>
                <w:szCs w:val="20"/>
                <w:lang w:val="en-GB"/>
              </w:rPr>
            </w:pPr>
            <w:r w:rsidRPr="00A2171C">
              <w:rPr>
                <w:rFonts w:eastAsia="Times New Roman" w:cs="Times New Roman"/>
                <w:noProof/>
                <w:szCs w:val="20"/>
                <w:lang w:val="en-GB"/>
              </w:rPr>
              <w:drawing>
                <wp:inline distT="0" distB="0" distL="0" distR="0" wp14:anchorId="2A27954F" wp14:editId="4B97B152">
                  <wp:extent cx="5395784" cy="12937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633"/>
                          <a:stretch/>
                        </pic:blipFill>
                        <pic:spPr bwMode="auto">
                          <a:xfrm>
                            <a:off x="0" y="0"/>
                            <a:ext cx="5423641" cy="1300413"/>
                          </a:xfrm>
                          <a:prstGeom prst="rect">
                            <a:avLst/>
                          </a:prstGeom>
                          <a:noFill/>
                          <a:ln>
                            <a:noFill/>
                          </a:ln>
                          <a:extLst>
                            <a:ext uri="{53640926-AAD7-44D8-BBD7-CCE9431645EC}">
                              <a14:shadowObscured xmlns:a14="http://schemas.microsoft.com/office/drawing/2010/main"/>
                            </a:ext>
                          </a:extLst>
                        </pic:spPr>
                      </pic:pic>
                    </a:graphicData>
                  </a:graphic>
                </wp:inline>
              </w:drawing>
            </w:r>
          </w:p>
          <w:p w14:paraId="3614330A" w14:textId="77777777" w:rsidR="006C1055" w:rsidRPr="00A2171C" w:rsidRDefault="006C1055" w:rsidP="002252C6">
            <w:pPr>
              <w:rPr>
                <w:rFonts w:eastAsia="Times New Roman" w:cs="Times New Roman"/>
                <w:szCs w:val="20"/>
                <w:lang w:val="en-GB"/>
              </w:rPr>
            </w:pPr>
            <w:r w:rsidRPr="00A2171C">
              <w:rPr>
                <w:rFonts w:eastAsia="Times New Roman" w:cs="Times New Roman"/>
                <w:noProof/>
                <w:szCs w:val="20"/>
                <w:lang w:val="en-GB"/>
              </w:rPr>
              <w:drawing>
                <wp:inline distT="0" distB="0" distL="0" distR="0" wp14:anchorId="157A646B" wp14:editId="136B173E">
                  <wp:extent cx="5395595" cy="1236893"/>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760"/>
                          <a:stretch/>
                        </pic:blipFill>
                        <pic:spPr bwMode="auto">
                          <a:xfrm>
                            <a:off x="0" y="0"/>
                            <a:ext cx="5424451" cy="12435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22F540" w14:textId="77777777" w:rsidR="006C1055" w:rsidRPr="00A2171C" w:rsidRDefault="006C1055" w:rsidP="006C1055">
      <w:pPr>
        <w:pStyle w:val="Caption"/>
        <w:rPr>
          <w:i w:val="0"/>
          <w:iCs w:val="0"/>
          <w:color w:val="auto"/>
          <w:lang w:val="en-GB"/>
        </w:rPr>
      </w:pPr>
      <w:bookmarkStart w:id="37" w:name="_Ref121161445"/>
      <w:r w:rsidRPr="00A2171C">
        <w:rPr>
          <w:color w:val="auto"/>
          <w:lang w:val="en-US"/>
        </w:rPr>
        <w:t xml:space="preserve">Figure </w:t>
      </w:r>
      <w:r w:rsidRPr="00A2171C">
        <w:rPr>
          <w:color w:val="auto"/>
        </w:rPr>
        <w:fldChar w:fldCharType="begin"/>
      </w:r>
      <w:r w:rsidRPr="00A2171C">
        <w:rPr>
          <w:color w:val="auto"/>
          <w:lang w:val="en-US"/>
        </w:rPr>
        <w:instrText xml:space="preserve"> SEQ Figure \* ARABIC </w:instrText>
      </w:r>
      <w:r w:rsidRPr="00A2171C">
        <w:rPr>
          <w:color w:val="auto"/>
        </w:rPr>
        <w:fldChar w:fldCharType="separate"/>
      </w:r>
      <w:r w:rsidRPr="00A2171C">
        <w:rPr>
          <w:noProof/>
          <w:color w:val="auto"/>
          <w:lang w:val="en-US"/>
        </w:rPr>
        <w:t>12</w:t>
      </w:r>
      <w:r w:rsidRPr="00A2171C">
        <w:rPr>
          <w:color w:val="auto"/>
        </w:rPr>
        <w:fldChar w:fldCharType="end"/>
      </w:r>
      <w:bookmarkEnd w:id="37"/>
      <w:r w:rsidRPr="00A2171C">
        <w:rPr>
          <w:color w:val="auto"/>
          <w:lang w:val="en-GB"/>
        </w:rPr>
        <w:t>: FRI results: (a) % of fire risk ignition levels for each urban block vs. number of historical buildings with people living in overcrowded condition; and (b) % of fire risk evacuation levels for each urban block vs. number of people with imitated mobility</w:t>
      </w:r>
    </w:p>
    <w:p w14:paraId="6760AF0C" w14:textId="026DA1F9" w:rsidR="001D48E0" w:rsidRPr="00A2171C" w:rsidRDefault="00A46867" w:rsidP="006C1055">
      <w:pPr>
        <w:rPr>
          <w:rFonts w:eastAsia="Times New Roman" w:cs="Times New Roman"/>
          <w:szCs w:val="20"/>
          <w:lang w:val="en-GB"/>
        </w:rPr>
      </w:pPr>
      <w:r w:rsidRPr="00A2171C">
        <w:rPr>
          <w:rFonts w:eastAsia="Times New Roman" w:cs="Times New Roman"/>
          <w:szCs w:val="20"/>
          <w:lang w:val="en-GB"/>
        </w:rPr>
        <w:t xml:space="preserve">Concerning low-income population, </w:t>
      </w:r>
      <w:r w:rsidR="003D2A45" w:rsidRPr="00A2171C">
        <w:rPr>
          <w:rFonts w:eastAsia="Times New Roman" w:cs="Times New Roman"/>
          <w:szCs w:val="20"/>
          <w:lang w:val="en-GB"/>
        </w:rPr>
        <w:t xml:space="preserve">defined  as the group of </w:t>
      </w:r>
      <w:r w:rsidRPr="00A2171C">
        <w:rPr>
          <w:rFonts w:eastAsia="Times New Roman" w:cs="Times New Roman"/>
          <w:szCs w:val="20"/>
          <w:lang w:val="en-GB"/>
        </w:rPr>
        <w:t xml:space="preserve">people without sufficient income to acquire basic personal needs including food, health, education and access to services </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{"citationItems":[{"id":"ITEM-1","itemData":{"DOI":"10.1111/1540-6237.8402002","ISSN":"00384941","abstract":"Objective. County-level socioeconomic and demographic data were used to construct an index of social vulnerability to environmental hazards, called the Social Vulnerability Index (SoVI) for the United States based on 1990 data. Methods. Using a factor analytic approach, 42 variables were reduced to 11 independent factors that accounted for about 76 percent of the variance. These factors were placed in an additive model to compute a summary score - the Social Vulnerability Index. Results. There are some distinct spatial patterns in the SoVI, with the most vulnerable counties clustered in metropolitan counties in the east, south Texas, and the Mississippi Delta region. Conclusion. Those factors that contribute to the overall score often are different for each county, underscoring the interactive nature of social vulnerability - some components increase vulnerability; others moderate the effects.","author":[{"dropping-particle":"","family":"Cutter","given":"Susan L.","non-dropping-particle":"","parse-names":false,"suffix":""},{"dropping-particle":"","family":"Boruff","given":"Bryan J.","non-dropping-particle":"","parse-names":false,"suffix":""},{"dropping-particle":"","family":"Shirley","given":"W. Lynn","non-dropping-particle":"","parse-names":false,"suffix":""}],"container-title":"Social Science Quarterly","id":"ITEM-1","issue":"2","issued":{"date-parts":[["2003"]]},"page":"242-261","title":"Social vulnerability to environmental hazards","type":"article-journal","volume":"84"},"uris":["http://www.mendeley.com/documents/?uuid=a788b628-616a-4b6f-8ba9-48d8b4e186f5"]}],"mendeley":{"formattedCitation":"(Cutter et al., 2003)","plainTextFormattedCitation":"(Cutter et al., 2003)","previouslyFormattedCitation":"(Cutter et al., 2003)"},"properties":{"noteIndex":0},"schema":"https://github.com/citation-style-language/schema/raw/master/csl-citation.json"}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(Cutter et al., 2003)</w:t>
      </w:r>
      <w:r w:rsidRPr="00A2171C">
        <w:rPr>
          <w:rFonts w:eastAsia="Times New Roman" w:cs="Times New Roman"/>
          <w:szCs w:val="20"/>
          <w:lang w:val="en-GB"/>
        </w:rPr>
        <w:fldChar w:fldCharType="end"/>
      </w:r>
      <w:r w:rsidR="00F0148A" w:rsidRPr="00A2171C">
        <w:rPr>
          <w:rFonts w:eastAsia="Times New Roman" w:cs="Times New Roman"/>
          <w:szCs w:val="20"/>
          <w:lang w:val="en-GB"/>
        </w:rPr>
        <w:t>,</w:t>
      </w:r>
      <w:r w:rsidRPr="00A2171C">
        <w:rPr>
          <w:rFonts w:eastAsia="Times New Roman" w:cs="Times New Roman"/>
          <w:szCs w:val="20"/>
          <w:lang w:val="en-GB"/>
        </w:rPr>
        <w:t xml:space="preserve"> </w:t>
      </w:r>
      <w:r w:rsidR="00F0148A" w:rsidRPr="00A2171C">
        <w:rPr>
          <w:rFonts w:eastAsia="Times New Roman" w:cs="Times New Roman"/>
          <w:szCs w:val="20"/>
          <w:lang w:val="en-GB"/>
        </w:rPr>
        <w:t>w</w:t>
      </w:r>
      <w:r w:rsidR="003D2A45" w:rsidRPr="00A2171C">
        <w:rPr>
          <w:rFonts w:eastAsia="Times New Roman" w:cs="Times New Roman"/>
          <w:szCs w:val="20"/>
          <w:lang w:val="en-GB"/>
        </w:rPr>
        <w:t>e estimate</w:t>
      </w:r>
      <w:r w:rsidR="00F0148A" w:rsidRPr="00A2171C">
        <w:rPr>
          <w:rFonts w:eastAsia="Times New Roman" w:cs="Times New Roman"/>
          <w:szCs w:val="20"/>
          <w:lang w:val="en-GB"/>
        </w:rPr>
        <w:t>d</w:t>
      </w:r>
      <w:r w:rsidR="003D2A45" w:rsidRPr="00A2171C">
        <w:rPr>
          <w:rFonts w:eastAsia="Times New Roman" w:cs="Times New Roman"/>
          <w:szCs w:val="20"/>
          <w:lang w:val="en-GB"/>
        </w:rPr>
        <w:t xml:space="preserve"> that </w:t>
      </w:r>
      <w:r w:rsidR="00F0148A" w:rsidRPr="00A2171C">
        <w:rPr>
          <w:rFonts w:eastAsia="Times New Roman" w:cs="Times New Roman"/>
          <w:szCs w:val="20"/>
          <w:lang w:val="en-GB"/>
        </w:rPr>
        <w:t xml:space="preserve">the </w:t>
      </w:r>
      <w:r w:rsidR="003D2A45" w:rsidRPr="00A2171C">
        <w:rPr>
          <w:rFonts w:eastAsia="Times New Roman" w:cs="Times New Roman"/>
          <w:szCs w:val="20"/>
          <w:lang w:val="en-GB"/>
        </w:rPr>
        <w:t xml:space="preserve">Yungay’s population has </w:t>
      </w:r>
      <w:r w:rsidRPr="00A2171C">
        <w:rPr>
          <w:rFonts w:eastAsia="Times New Roman" w:cs="Times New Roman"/>
          <w:i/>
          <w:szCs w:val="20"/>
          <w:lang w:val="en-GB"/>
        </w:rPr>
        <w:t>N</w:t>
      </w:r>
      <w:r w:rsidRPr="00A2171C">
        <w:rPr>
          <w:rFonts w:eastAsia="Times New Roman" w:cs="Times New Roman"/>
          <w:i/>
          <w:szCs w:val="20"/>
          <w:vertAlign w:val="subscript"/>
          <w:lang w:val="en-GB"/>
        </w:rPr>
        <w:t>I</w:t>
      </w:r>
      <w:r w:rsidRPr="00A2171C">
        <w:rPr>
          <w:rFonts w:eastAsia="Times New Roman" w:cs="Times New Roman"/>
          <w:szCs w:val="20"/>
          <w:vertAlign w:val="subscript"/>
          <w:lang w:val="en-GB"/>
        </w:rPr>
        <w:t xml:space="preserve"> </w:t>
      </w:r>
      <w:r w:rsidRPr="00A2171C">
        <w:rPr>
          <w:rFonts w:eastAsia="Times New Roman" w:cs="Times New Roman"/>
          <w:szCs w:val="20"/>
          <w:lang w:val="en-GB"/>
        </w:rPr>
        <w:t xml:space="preserve">= 29.6% (3649) of residents </w:t>
      </w:r>
      <w:r w:rsidR="003D2A45" w:rsidRPr="00A2171C">
        <w:rPr>
          <w:rFonts w:eastAsia="Times New Roman" w:cs="Times New Roman"/>
          <w:szCs w:val="20"/>
          <w:lang w:val="en-GB"/>
        </w:rPr>
        <w:t xml:space="preserve">living </w:t>
      </w:r>
      <w:r w:rsidRPr="00A2171C">
        <w:rPr>
          <w:rFonts w:eastAsia="Times New Roman" w:cs="Times New Roman"/>
          <w:szCs w:val="20"/>
          <w:lang w:val="en-GB"/>
        </w:rPr>
        <w:t xml:space="preserve">in </w:t>
      </w:r>
      <w:r w:rsidR="00F0148A" w:rsidRPr="00A2171C">
        <w:rPr>
          <w:rFonts w:eastAsia="Times New Roman" w:cs="Times New Roman"/>
          <w:szCs w:val="20"/>
          <w:lang w:val="en-GB"/>
        </w:rPr>
        <w:t xml:space="preserve">the </w:t>
      </w:r>
      <w:r w:rsidRPr="00A2171C">
        <w:rPr>
          <w:rFonts w:eastAsia="Times New Roman" w:cs="Times New Roman"/>
          <w:szCs w:val="20"/>
          <w:lang w:val="en-GB"/>
        </w:rPr>
        <w:t xml:space="preserve">condition of poverty. The </w:t>
      </w:r>
      <w:r w:rsidR="00F0148A" w:rsidRPr="00A2171C">
        <w:rPr>
          <w:rFonts w:eastAsia="Times New Roman" w:cs="Times New Roman"/>
          <w:szCs w:val="20"/>
          <w:lang w:val="en-GB"/>
        </w:rPr>
        <w:t xml:space="preserve">most critical </w:t>
      </w:r>
      <w:r w:rsidRPr="00A2171C">
        <w:rPr>
          <w:rFonts w:eastAsia="Times New Roman" w:cs="Times New Roman"/>
          <w:szCs w:val="20"/>
          <w:lang w:val="en-GB"/>
        </w:rPr>
        <w:t xml:space="preserve">levels are </w:t>
      </w:r>
      <w:r w:rsidR="003D2A45" w:rsidRPr="00A2171C">
        <w:rPr>
          <w:rFonts w:eastAsia="Times New Roman" w:cs="Times New Roman"/>
          <w:szCs w:val="20"/>
          <w:lang w:val="en-GB"/>
        </w:rPr>
        <w:t>communities in blocks</w:t>
      </w:r>
      <w:r w:rsidRPr="00A2171C">
        <w:rPr>
          <w:rFonts w:eastAsia="Times New Roman" w:cs="Times New Roman"/>
          <w:szCs w:val="20"/>
          <w:lang w:val="en-GB"/>
        </w:rPr>
        <w:t xml:space="preserve"> 6, 10, 11, 12, 13, 22, 23, 24, 32, 33, 34, and 35, with 40.5% (1606) of their residents living in </w:t>
      </w:r>
      <w:r w:rsidR="00F0148A" w:rsidRPr="00A2171C">
        <w:rPr>
          <w:rFonts w:eastAsia="Times New Roman" w:cs="Times New Roman"/>
          <w:szCs w:val="20"/>
          <w:lang w:val="en-GB"/>
        </w:rPr>
        <w:t xml:space="preserve">minimum </w:t>
      </w:r>
      <w:r w:rsidRPr="00A2171C">
        <w:rPr>
          <w:rFonts w:eastAsia="Times New Roman" w:cs="Times New Roman"/>
          <w:szCs w:val="20"/>
          <w:lang w:val="en-GB"/>
        </w:rPr>
        <w:t xml:space="preserve">conditions. </w:t>
      </w:r>
      <w:r w:rsidR="006F404F" w:rsidRPr="00A2171C">
        <w:rPr>
          <w:rFonts w:eastAsia="Times New Roman" w:cs="Times New Roman"/>
          <w:szCs w:val="20"/>
          <w:lang w:val="en-GB"/>
        </w:rPr>
        <w:t xml:space="preserve">A percentage of </w:t>
      </w:r>
      <w:r w:rsidRPr="00A2171C">
        <w:rPr>
          <w:rFonts w:eastAsia="Times New Roman" w:cs="Times New Roman"/>
          <w:szCs w:val="20"/>
          <w:lang w:val="en-GB"/>
        </w:rPr>
        <w:t>1.1% (142 people) have limitations on movement (</w:t>
      </w:r>
      <w:r w:rsidRPr="00A2171C">
        <w:rPr>
          <w:rFonts w:eastAsia="Times New Roman" w:cs="Times New Roman"/>
          <w:i/>
          <w:szCs w:val="20"/>
          <w:lang w:val="en-GB"/>
        </w:rPr>
        <w:t>N</w:t>
      </w:r>
      <w:r w:rsidRPr="00A2171C">
        <w:rPr>
          <w:rFonts w:eastAsia="Times New Roman" w:cs="Times New Roman"/>
          <w:i/>
          <w:szCs w:val="20"/>
          <w:vertAlign w:val="subscript"/>
          <w:lang w:val="en-GB"/>
        </w:rPr>
        <w:t>di</w:t>
      </w:r>
      <w:r w:rsidRPr="00A2171C">
        <w:rPr>
          <w:rFonts w:eastAsia="Times New Roman" w:cs="Times New Roman"/>
          <w:szCs w:val="20"/>
          <w:lang w:val="en-GB"/>
        </w:rPr>
        <w:t xml:space="preserve">); 18.3% (2252) are women </w:t>
      </w:r>
      <w:r w:rsidR="006F404F" w:rsidRPr="00A2171C">
        <w:rPr>
          <w:rFonts w:eastAsia="Times New Roman" w:cs="Times New Roman"/>
          <w:szCs w:val="20"/>
          <w:lang w:val="en-GB"/>
        </w:rPr>
        <w:t>taking</w:t>
      </w:r>
      <w:r w:rsidRPr="00A2171C">
        <w:rPr>
          <w:rFonts w:eastAsia="Times New Roman" w:cs="Times New Roman"/>
          <w:szCs w:val="20"/>
          <w:lang w:val="en-GB"/>
        </w:rPr>
        <w:t xml:space="preserve"> </w:t>
      </w:r>
      <w:r w:rsidR="006F404F" w:rsidRPr="00A2171C">
        <w:rPr>
          <w:rFonts w:eastAsia="Times New Roman" w:cs="Times New Roman"/>
          <w:szCs w:val="20"/>
          <w:lang w:val="en-GB"/>
        </w:rPr>
        <w:t xml:space="preserve">care of their </w:t>
      </w:r>
      <w:r w:rsidRPr="00A2171C">
        <w:rPr>
          <w:rFonts w:eastAsia="Times New Roman" w:cs="Times New Roman"/>
          <w:szCs w:val="20"/>
          <w:lang w:val="en-GB"/>
        </w:rPr>
        <w:t>home</w:t>
      </w:r>
      <w:r w:rsidR="006F404F" w:rsidRPr="00A2171C">
        <w:rPr>
          <w:rFonts w:eastAsia="Times New Roman" w:cs="Times New Roman"/>
          <w:szCs w:val="20"/>
          <w:lang w:val="en-GB"/>
        </w:rPr>
        <w:t>s</w:t>
      </w:r>
      <w:r w:rsidRPr="00A2171C">
        <w:rPr>
          <w:rFonts w:eastAsia="Times New Roman" w:cs="Times New Roman"/>
          <w:szCs w:val="20"/>
          <w:lang w:val="en-GB"/>
        </w:rPr>
        <w:t xml:space="preserve"> and domestic tasks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N</m:t>
            </m:r>
          </m:e>
          <m:sub>
            <m:r>
              <w:rPr>
                <w:rFonts w:ascii="Cambria Math" w:eastAsia="Times New Roman" w:hAnsi="Cambria Math" w:cs="Times New Roman"/>
                <w:szCs w:val="20"/>
                <w:lang w:val="en-GB"/>
              </w:rPr>
              <m:t>hf</m:t>
            </m:r>
          </m:sub>
        </m:sSub>
      </m:oMath>
      <w:r w:rsidRPr="00A2171C">
        <w:rPr>
          <w:rFonts w:eastAsia="Times New Roman" w:cs="Times New Roman"/>
          <w:szCs w:val="20"/>
          <w:lang w:val="en-GB"/>
        </w:rPr>
        <w:t>)</w:t>
      </w:r>
      <w:r w:rsidR="006F404F" w:rsidRPr="00A2171C">
        <w:rPr>
          <w:rFonts w:eastAsia="Times New Roman" w:cs="Times New Roman"/>
          <w:szCs w:val="20"/>
          <w:lang w:val="en-GB"/>
        </w:rPr>
        <w:t>, and are</w:t>
      </w:r>
      <w:r w:rsidRPr="00A2171C">
        <w:rPr>
          <w:rFonts w:eastAsia="Times New Roman" w:cs="Times New Roman"/>
          <w:szCs w:val="20"/>
          <w:lang w:val="en-GB"/>
        </w:rPr>
        <w:t xml:space="preserve"> more susceptible to hazardous impacts because they </w:t>
      </w:r>
      <w:r w:rsidR="00F0148A" w:rsidRPr="00A2171C">
        <w:rPr>
          <w:rFonts w:eastAsia="Times New Roman" w:cs="Times New Roman"/>
          <w:szCs w:val="20"/>
          <w:lang w:val="en-GB"/>
        </w:rPr>
        <w:t xml:space="preserve">tend to </w:t>
      </w:r>
      <w:r w:rsidRPr="00A2171C">
        <w:rPr>
          <w:rFonts w:eastAsia="Times New Roman" w:cs="Times New Roman"/>
          <w:szCs w:val="20"/>
          <w:lang w:val="en-GB"/>
        </w:rPr>
        <w:t xml:space="preserve">first </w:t>
      </w:r>
      <w:r w:rsidR="00F0148A" w:rsidRPr="00A2171C">
        <w:rPr>
          <w:rFonts w:eastAsia="Times New Roman" w:cs="Times New Roman"/>
          <w:szCs w:val="20"/>
          <w:lang w:val="en-GB"/>
        </w:rPr>
        <w:t>act on behalf</w:t>
      </w:r>
      <w:r w:rsidRPr="00A2171C">
        <w:rPr>
          <w:rFonts w:eastAsia="Times New Roman" w:cs="Times New Roman"/>
          <w:szCs w:val="20"/>
          <w:lang w:val="en-GB"/>
        </w:rPr>
        <w:t xml:space="preserve"> </w:t>
      </w:r>
      <w:r w:rsidR="00F0148A" w:rsidRPr="00A2171C">
        <w:rPr>
          <w:rFonts w:eastAsia="Times New Roman" w:cs="Times New Roman"/>
          <w:szCs w:val="20"/>
          <w:lang w:val="en-GB"/>
        </w:rPr>
        <w:t xml:space="preserve">of those </w:t>
      </w:r>
      <w:r w:rsidRPr="00A2171C">
        <w:rPr>
          <w:rFonts w:eastAsia="Times New Roman" w:cs="Times New Roman"/>
          <w:szCs w:val="20"/>
          <w:lang w:val="en-GB"/>
        </w:rPr>
        <w:t>who depend on them (older adults and children); 29.3% (3609) are immigrants</w:t>
      </w:r>
      <w:r w:rsidR="00F0148A" w:rsidRPr="00A2171C">
        <w:rPr>
          <w:rFonts w:eastAsia="Times New Roman" w:cs="Times New Roman"/>
          <w:szCs w:val="20"/>
          <w:lang w:val="en-GB"/>
        </w:rPr>
        <w:t xml:space="preserve"> </w:t>
      </w:r>
      <w:r w:rsidRPr="00A2171C">
        <w:rPr>
          <w:rFonts w:eastAsia="Times New Roman" w:cs="Times New Roman"/>
          <w:szCs w:val="20"/>
          <w:lang w:val="en-GB"/>
        </w:rPr>
        <w:t>(</w:t>
      </w:r>
      <w:r w:rsidRPr="00A2171C">
        <w:rPr>
          <w:rFonts w:eastAsia="Times New Roman" w:cs="Times New Roman"/>
          <w:i/>
          <w:szCs w:val="20"/>
          <w:lang w:val="en-GB"/>
        </w:rPr>
        <w:t>N</w:t>
      </w:r>
      <w:r w:rsidRPr="00A2171C">
        <w:rPr>
          <w:rFonts w:eastAsia="Times New Roman" w:cs="Times New Roman"/>
          <w:i/>
          <w:szCs w:val="20"/>
          <w:vertAlign w:val="subscript"/>
          <w:lang w:val="en-GB"/>
        </w:rPr>
        <w:t>im</w:t>
      </w:r>
      <w:r w:rsidRPr="00A2171C">
        <w:rPr>
          <w:rFonts w:eastAsia="Times New Roman" w:cs="Times New Roman"/>
          <w:szCs w:val="20"/>
          <w:lang w:val="en-GB"/>
        </w:rPr>
        <w:t xml:space="preserve">) with greater vulnerability as </w:t>
      </w:r>
      <w:r w:rsidR="006F404F" w:rsidRPr="00A2171C">
        <w:rPr>
          <w:rFonts w:eastAsia="Times New Roman" w:cs="Times New Roman"/>
          <w:szCs w:val="20"/>
          <w:lang w:val="en-GB"/>
        </w:rPr>
        <w:t>less social capital</w:t>
      </w:r>
      <w:r w:rsidRPr="00A2171C">
        <w:rPr>
          <w:rFonts w:eastAsia="Times New Roman" w:cs="Times New Roman"/>
          <w:szCs w:val="20"/>
          <w:lang w:val="en-GB"/>
        </w:rPr>
        <w:t xml:space="preserve"> in the territory</w:t>
      </w:r>
      <w:r w:rsidR="006F404F" w:rsidRPr="00A2171C">
        <w:rPr>
          <w:rFonts w:eastAsia="Times New Roman" w:cs="Times New Roman"/>
          <w:szCs w:val="20"/>
          <w:lang w:val="en-GB"/>
        </w:rPr>
        <w:t>.</w:t>
      </w:r>
      <w:r w:rsidRPr="00A2171C">
        <w:rPr>
          <w:rFonts w:eastAsia="Times New Roman" w:cs="Times New Roman"/>
          <w:szCs w:val="20"/>
          <w:lang w:val="en-GB"/>
        </w:rPr>
        <w:t xml:space="preserve"> </w:t>
      </w:r>
      <w:r w:rsidR="00F0148A" w:rsidRPr="00A2171C">
        <w:rPr>
          <w:rFonts w:eastAsia="Times New Roman" w:cs="Times New Roman"/>
          <w:szCs w:val="20"/>
          <w:lang w:val="en-GB"/>
        </w:rPr>
        <w:t>Indeed, s</w:t>
      </w:r>
      <w:r w:rsidR="006F404F" w:rsidRPr="00A2171C">
        <w:rPr>
          <w:rFonts w:eastAsia="Times New Roman" w:cs="Times New Roman"/>
          <w:szCs w:val="20"/>
          <w:lang w:val="en-GB"/>
        </w:rPr>
        <w:t>ometimes</w:t>
      </w:r>
      <w:r w:rsidRPr="00A2171C">
        <w:rPr>
          <w:rFonts w:eastAsia="Times New Roman" w:cs="Times New Roman"/>
          <w:szCs w:val="20"/>
          <w:lang w:val="en-GB"/>
        </w:rPr>
        <w:t xml:space="preserve"> </w:t>
      </w:r>
      <w:r w:rsidR="006F404F" w:rsidRPr="00A2171C">
        <w:rPr>
          <w:rFonts w:eastAsia="Times New Roman" w:cs="Times New Roman"/>
          <w:szCs w:val="20"/>
          <w:lang w:val="en-GB"/>
        </w:rPr>
        <w:t xml:space="preserve">they are </w:t>
      </w:r>
      <w:r w:rsidRPr="00A2171C">
        <w:rPr>
          <w:rFonts w:eastAsia="Times New Roman" w:cs="Times New Roman"/>
          <w:szCs w:val="20"/>
          <w:lang w:val="en-GB"/>
        </w:rPr>
        <w:t xml:space="preserve">not aware of </w:t>
      </w:r>
      <w:r w:rsidR="006F404F" w:rsidRPr="00A2171C">
        <w:rPr>
          <w:rFonts w:eastAsia="Times New Roman" w:cs="Times New Roman"/>
          <w:szCs w:val="20"/>
          <w:lang w:val="en-GB"/>
        </w:rPr>
        <w:t xml:space="preserve">territorial </w:t>
      </w:r>
      <w:r w:rsidRPr="00A2171C">
        <w:rPr>
          <w:rFonts w:eastAsia="Times New Roman" w:cs="Times New Roman"/>
          <w:szCs w:val="20"/>
          <w:lang w:val="en-GB"/>
        </w:rPr>
        <w:t>characteristics</w:t>
      </w:r>
      <w:r w:rsidR="006F404F" w:rsidRPr="00A2171C">
        <w:rPr>
          <w:rFonts w:eastAsia="Times New Roman" w:cs="Times New Roman"/>
          <w:szCs w:val="20"/>
          <w:lang w:val="en-GB"/>
        </w:rPr>
        <w:t>,</w:t>
      </w:r>
      <w:r w:rsidRPr="00A2171C">
        <w:rPr>
          <w:rFonts w:eastAsia="Times New Roman" w:cs="Times New Roman"/>
          <w:szCs w:val="20"/>
          <w:lang w:val="en-GB"/>
        </w:rPr>
        <w:t xml:space="preserve"> they </w:t>
      </w:r>
      <w:r w:rsidR="006F404F" w:rsidRPr="00A2171C">
        <w:rPr>
          <w:rFonts w:eastAsia="Times New Roman" w:cs="Times New Roman"/>
          <w:szCs w:val="20"/>
          <w:lang w:val="en-GB"/>
        </w:rPr>
        <w:t xml:space="preserve">may not </w:t>
      </w:r>
      <w:r w:rsidRPr="00A2171C">
        <w:rPr>
          <w:rFonts w:eastAsia="Times New Roman" w:cs="Times New Roman"/>
          <w:szCs w:val="20"/>
          <w:lang w:val="en-GB"/>
        </w:rPr>
        <w:t xml:space="preserve">speak </w:t>
      </w:r>
      <w:r w:rsidR="006F404F" w:rsidRPr="00A2171C">
        <w:rPr>
          <w:rFonts w:eastAsia="Times New Roman" w:cs="Times New Roman"/>
          <w:szCs w:val="20"/>
          <w:lang w:val="en-GB"/>
        </w:rPr>
        <w:t xml:space="preserve">Spanish, </w:t>
      </w:r>
      <w:r w:rsidR="00E0282F" w:rsidRPr="00A2171C">
        <w:rPr>
          <w:rFonts w:eastAsia="Times New Roman" w:cs="Times New Roman"/>
          <w:szCs w:val="20"/>
          <w:lang w:val="en-GB"/>
        </w:rPr>
        <w:t>and are</w:t>
      </w:r>
      <w:r w:rsidRPr="00A2171C">
        <w:rPr>
          <w:rFonts w:eastAsia="Times New Roman" w:cs="Times New Roman"/>
          <w:szCs w:val="20"/>
          <w:lang w:val="en-GB"/>
        </w:rPr>
        <w:t xml:space="preserve"> not familiar with emergency plans and procedures to obtain aid </w:t>
      </w:r>
      <w:r w:rsidR="006F404F" w:rsidRPr="00A2171C">
        <w:rPr>
          <w:rFonts w:eastAsia="Times New Roman" w:cs="Times New Roman"/>
          <w:szCs w:val="20"/>
          <w:lang w:val="en-GB"/>
        </w:rPr>
        <w:t xml:space="preserve">and </w:t>
      </w:r>
      <w:r w:rsidRPr="00A2171C">
        <w:rPr>
          <w:rFonts w:eastAsia="Times New Roman" w:cs="Times New Roman"/>
          <w:szCs w:val="20"/>
          <w:lang w:val="en-GB"/>
        </w:rPr>
        <w:t>recov</w:t>
      </w:r>
      <w:r w:rsidR="006F404F" w:rsidRPr="00A2171C">
        <w:rPr>
          <w:rFonts w:eastAsia="Times New Roman" w:cs="Times New Roman"/>
          <w:szCs w:val="20"/>
          <w:lang w:val="en-GB"/>
        </w:rPr>
        <w:t>er</w:t>
      </w:r>
      <w:r w:rsidRPr="00A2171C">
        <w:rPr>
          <w:rFonts w:eastAsia="Times New Roman" w:cs="Times New Roman"/>
          <w:szCs w:val="20"/>
          <w:lang w:val="en-GB"/>
        </w:rPr>
        <w:t xml:space="preserve"> </w:t>
      </w:r>
      <w:r w:rsidR="006F404F" w:rsidRPr="00A2171C">
        <w:rPr>
          <w:rFonts w:eastAsia="Times New Roman" w:cs="Times New Roman"/>
          <w:szCs w:val="20"/>
          <w:lang w:val="en-GB"/>
        </w:rPr>
        <w:t>faster</w:t>
      </w:r>
      <w:r w:rsidRPr="00A2171C">
        <w:rPr>
          <w:rFonts w:eastAsia="Times New Roman" w:cs="Times New Roman"/>
          <w:szCs w:val="20"/>
          <w:lang w:val="en-GB"/>
        </w:rPr>
        <w:t xml:space="preserve">; 0.4% (52) </w:t>
      </w:r>
      <w:r w:rsidR="006F404F" w:rsidRPr="00A2171C">
        <w:rPr>
          <w:rFonts w:eastAsia="Times New Roman" w:cs="Times New Roman"/>
          <w:szCs w:val="20"/>
          <w:lang w:val="en-GB"/>
        </w:rPr>
        <w:t>have</w:t>
      </w:r>
      <w:r w:rsidRPr="00A2171C">
        <w:rPr>
          <w:rFonts w:eastAsia="Times New Roman" w:cs="Times New Roman"/>
          <w:szCs w:val="20"/>
          <w:lang w:val="en-GB"/>
        </w:rPr>
        <w:t xml:space="preserve"> </w:t>
      </w:r>
      <w:r w:rsidR="006F404F" w:rsidRPr="00A2171C">
        <w:rPr>
          <w:rFonts w:eastAsia="Times New Roman" w:cs="Times New Roman"/>
          <w:szCs w:val="20"/>
          <w:lang w:val="en-GB"/>
        </w:rPr>
        <w:t xml:space="preserve">moderate to </w:t>
      </w:r>
      <w:r w:rsidRPr="00A2171C">
        <w:rPr>
          <w:rFonts w:eastAsia="Times New Roman" w:cs="Times New Roman"/>
          <w:szCs w:val="20"/>
          <w:lang w:val="en-GB"/>
        </w:rPr>
        <w:t>severe dependence (</w:t>
      </w:r>
      <w:r w:rsidRPr="00A2171C">
        <w:rPr>
          <w:rFonts w:eastAsia="Times New Roman" w:cs="Times New Roman"/>
          <w:i/>
          <w:szCs w:val="20"/>
          <w:lang w:val="en-GB"/>
        </w:rPr>
        <w:t>N</w:t>
      </w:r>
      <w:r w:rsidRPr="00A2171C">
        <w:rPr>
          <w:rFonts w:eastAsia="Times New Roman" w:cs="Times New Roman"/>
          <w:i/>
          <w:szCs w:val="20"/>
          <w:vertAlign w:val="subscript"/>
          <w:lang w:val="en-GB"/>
        </w:rPr>
        <w:t>d</w:t>
      </w:r>
      <w:r w:rsidRPr="00A2171C">
        <w:rPr>
          <w:rFonts w:eastAsia="Times New Roman" w:cs="Times New Roman"/>
          <w:szCs w:val="20"/>
          <w:lang w:val="en-GB"/>
        </w:rPr>
        <w:t xml:space="preserve">); and 10.1% (1249) are </w:t>
      </w:r>
      <w:r w:rsidR="006F404F" w:rsidRPr="00A2171C">
        <w:rPr>
          <w:rFonts w:eastAsia="Times New Roman" w:cs="Times New Roman"/>
          <w:szCs w:val="20"/>
          <w:lang w:val="en-GB"/>
        </w:rPr>
        <w:t xml:space="preserve">identified as </w:t>
      </w:r>
      <w:r w:rsidRPr="00A2171C">
        <w:rPr>
          <w:rFonts w:eastAsia="Times New Roman" w:cs="Times New Roman"/>
          <w:szCs w:val="20"/>
          <w:lang w:val="en-GB"/>
        </w:rPr>
        <w:t>indigenous population (</w:t>
      </w:r>
      <w:r w:rsidRPr="00A2171C">
        <w:rPr>
          <w:rFonts w:eastAsia="Times New Roman" w:cs="Times New Roman"/>
          <w:i/>
          <w:szCs w:val="20"/>
          <w:lang w:val="en-GB"/>
        </w:rPr>
        <w:t>N</w:t>
      </w:r>
      <w:r w:rsidRPr="00A2171C">
        <w:rPr>
          <w:rFonts w:eastAsia="Times New Roman" w:cs="Times New Roman"/>
          <w:i/>
          <w:szCs w:val="20"/>
          <w:vertAlign w:val="subscript"/>
          <w:lang w:val="en-GB"/>
        </w:rPr>
        <w:t>in</w:t>
      </w:r>
      <w:r w:rsidRPr="00A2171C">
        <w:rPr>
          <w:rFonts w:eastAsia="Times New Roman" w:cs="Times New Roman"/>
          <w:szCs w:val="20"/>
          <w:lang w:val="en-GB"/>
        </w:rPr>
        <w:t>)</w:t>
      </w:r>
      <w:r w:rsidR="006F404F" w:rsidRPr="00A2171C">
        <w:rPr>
          <w:rFonts w:eastAsia="Times New Roman" w:cs="Times New Roman"/>
          <w:szCs w:val="20"/>
          <w:lang w:val="en-GB"/>
        </w:rPr>
        <w:t>, which face</w:t>
      </w:r>
      <w:r w:rsidRPr="00A2171C">
        <w:rPr>
          <w:rFonts w:eastAsia="Times New Roman" w:cs="Times New Roman"/>
          <w:szCs w:val="20"/>
          <w:lang w:val="en-GB"/>
        </w:rPr>
        <w:t xml:space="preserve"> </w:t>
      </w:r>
      <w:r w:rsidR="006F404F" w:rsidRPr="00A2171C">
        <w:rPr>
          <w:rFonts w:eastAsia="Times New Roman" w:cs="Times New Roman"/>
          <w:szCs w:val="20"/>
          <w:lang w:val="en-GB"/>
        </w:rPr>
        <w:t xml:space="preserve">some </w:t>
      </w:r>
      <w:r w:rsidRPr="00A2171C">
        <w:rPr>
          <w:rFonts w:eastAsia="Times New Roman" w:cs="Times New Roman"/>
          <w:szCs w:val="20"/>
          <w:lang w:val="en-GB"/>
        </w:rPr>
        <w:t xml:space="preserve">cultural barriers </w:t>
      </w:r>
      <w:r w:rsidR="00F0148A" w:rsidRPr="00A2171C">
        <w:rPr>
          <w:rFonts w:eastAsia="Times New Roman" w:cs="Times New Roman"/>
          <w:szCs w:val="20"/>
          <w:lang w:val="en-GB"/>
        </w:rPr>
        <w:t>that delay</w:t>
      </w:r>
      <w:r w:rsidRPr="00A2171C">
        <w:rPr>
          <w:rFonts w:eastAsia="Times New Roman" w:cs="Times New Roman"/>
          <w:szCs w:val="20"/>
          <w:lang w:val="en-GB"/>
        </w:rPr>
        <w:t xml:space="preserve"> timely information in </w:t>
      </w:r>
      <w:r w:rsidR="006F404F" w:rsidRPr="00A2171C">
        <w:rPr>
          <w:rFonts w:eastAsia="Times New Roman" w:cs="Times New Roman"/>
          <w:szCs w:val="20"/>
          <w:lang w:val="en-GB"/>
        </w:rPr>
        <w:t>case</w:t>
      </w:r>
      <w:r w:rsidRPr="00A2171C">
        <w:rPr>
          <w:rFonts w:eastAsia="Times New Roman" w:cs="Times New Roman"/>
          <w:szCs w:val="20"/>
          <w:lang w:val="en-GB"/>
        </w:rPr>
        <w:t xml:space="preserve"> of </w:t>
      </w:r>
      <w:r w:rsidR="006F404F" w:rsidRPr="00A2171C">
        <w:rPr>
          <w:rFonts w:eastAsia="Times New Roman" w:cs="Times New Roman"/>
          <w:szCs w:val="20"/>
          <w:lang w:val="en-GB"/>
        </w:rPr>
        <w:t xml:space="preserve">a </w:t>
      </w:r>
      <w:r w:rsidRPr="00A2171C">
        <w:rPr>
          <w:rFonts w:eastAsia="Times New Roman" w:cs="Times New Roman"/>
          <w:szCs w:val="20"/>
          <w:lang w:val="en-GB"/>
        </w:rPr>
        <w:t xml:space="preserve">disaster, </w:t>
      </w:r>
      <w:r w:rsidR="006F404F" w:rsidRPr="00A2171C">
        <w:rPr>
          <w:rFonts w:eastAsia="Times New Roman" w:cs="Times New Roman"/>
          <w:szCs w:val="20"/>
          <w:lang w:val="en-GB"/>
        </w:rPr>
        <w:t xml:space="preserve">and </w:t>
      </w:r>
      <w:r w:rsidR="00F0148A" w:rsidRPr="00A2171C">
        <w:rPr>
          <w:rFonts w:eastAsia="Times New Roman" w:cs="Times New Roman"/>
          <w:szCs w:val="20"/>
          <w:lang w:val="en-GB"/>
        </w:rPr>
        <w:t xml:space="preserve">as a consequence </w:t>
      </w:r>
      <w:r w:rsidR="006F404F" w:rsidRPr="00A2171C">
        <w:rPr>
          <w:rFonts w:eastAsia="Times New Roman" w:cs="Times New Roman"/>
          <w:szCs w:val="20"/>
          <w:lang w:val="en-GB"/>
        </w:rPr>
        <w:t xml:space="preserve">have a reduced capacity to respond and </w:t>
      </w:r>
      <w:r w:rsidRPr="00A2171C">
        <w:rPr>
          <w:rFonts w:eastAsia="Times New Roman" w:cs="Times New Roman"/>
          <w:szCs w:val="20"/>
          <w:lang w:val="en-GB"/>
        </w:rPr>
        <w:t xml:space="preserve">recover </w:t>
      </w:r>
      <w:r w:rsidR="006F404F" w:rsidRPr="00A2171C">
        <w:rPr>
          <w:rFonts w:eastAsia="Times New Roman" w:cs="Times New Roman"/>
          <w:szCs w:val="20"/>
          <w:lang w:val="en-GB"/>
        </w:rPr>
        <w:t>financially</w:t>
      </w:r>
      <w:r w:rsidRPr="00A2171C">
        <w:rPr>
          <w:rFonts w:eastAsia="Times New Roman" w:cs="Times New Roman"/>
          <w:szCs w:val="20"/>
          <w:lang w:val="en-GB"/>
        </w:rPr>
        <w:t xml:space="preserve">. Finally, the percentage of people </w:t>
      </w:r>
      <w:r w:rsidR="00F0148A" w:rsidRPr="00A2171C">
        <w:rPr>
          <w:rFonts w:eastAsia="Times New Roman" w:cs="Times New Roman"/>
          <w:szCs w:val="20"/>
          <w:lang w:val="en-GB"/>
        </w:rPr>
        <w:t xml:space="preserve">living </w:t>
      </w:r>
      <w:r w:rsidRPr="00A2171C">
        <w:rPr>
          <w:rFonts w:eastAsia="Times New Roman" w:cs="Times New Roman"/>
          <w:szCs w:val="20"/>
          <w:lang w:val="en-GB"/>
        </w:rPr>
        <w:t xml:space="preserve">in </w:t>
      </w:r>
      <w:r w:rsidR="00F0148A" w:rsidRPr="00A2171C">
        <w:rPr>
          <w:rFonts w:eastAsia="Times New Roman" w:cs="Times New Roman"/>
          <w:szCs w:val="20"/>
          <w:lang w:val="en-GB"/>
        </w:rPr>
        <w:t>crowded</w:t>
      </w:r>
      <w:r w:rsidR="006F404F" w:rsidRPr="00A2171C">
        <w:rPr>
          <w:rFonts w:eastAsia="Times New Roman" w:cs="Times New Roman"/>
          <w:szCs w:val="20"/>
          <w:lang w:val="en-GB"/>
        </w:rPr>
        <w:t xml:space="preserve"> </w:t>
      </w:r>
      <w:r w:rsidRPr="00A2171C">
        <w:rPr>
          <w:rFonts w:eastAsia="Times New Roman" w:cs="Times New Roman"/>
          <w:szCs w:val="20"/>
          <w:lang w:val="en-GB"/>
        </w:rPr>
        <w:t>conditions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N</m:t>
            </m:r>
          </m:e>
          <m:sub>
            <m:r>
              <w:rPr>
                <w:rFonts w:ascii="Cambria Math" w:eastAsia="Times New Roman" w:hAnsi="Cambria Math" w:cs="Times New Roman"/>
                <w:szCs w:val="20"/>
                <w:lang w:val="en-GB"/>
              </w:rPr>
              <m:t>ibs</m:t>
            </m:r>
          </m:sub>
        </m:sSub>
      </m:oMath>
      <w:r w:rsidRPr="00A2171C">
        <w:rPr>
          <w:rFonts w:eastAsia="Times New Roman" w:cs="Times New Roman"/>
          <w:szCs w:val="20"/>
          <w:lang w:val="en-GB"/>
        </w:rPr>
        <w:t>) was evaluated</w:t>
      </w:r>
      <w:r w:rsidR="00F0148A" w:rsidRPr="00A2171C">
        <w:rPr>
          <w:rFonts w:eastAsia="Times New Roman" w:cs="Times New Roman"/>
          <w:szCs w:val="20"/>
          <w:lang w:val="en-GB"/>
        </w:rPr>
        <w:t>.</w:t>
      </w:r>
      <w:r w:rsidRPr="00A2171C">
        <w:rPr>
          <w:rFonts w:eastAsia="Times New Roman" w:cs="Times New Roman"/>
          <w:szCs w:val="20"/>
          <w:lang w:val="en-GB"/>
        </w:rPr>
        <w:t xml:space="preserve"> </w:t>
      </w:r>
      <w:r w:rsidR="00F0148A" w:rsidRPr="00A2171C">
        <w:rPr>
          <w:rFonts w:eastAsia="Times New Roman" w:cs="Times New Roman"/>
          <w:szCs w:val="20"/>
          <w:lang w:val="en-GB"/>
        </w:rPr>
        <w:t xml:space="preserve">According </w:t>
      </w:r>
      <w:r w:rsidRPr="00A2171C">
        <w:rPr>
          <w:rFonts w:eastAsia="Times New Roman" w:cs="Times New Roman"/>
          <w:szCs w:val="20"/>
          <w:lang w:val="en-GB"/>
        </w:rPr>
        <w:t xml:space="preserve">to </w:t>
      </w:r>
      <w:r w:rsidRPr="00A2171C">
        <w:rPr>
          <w:rFonts w:eastAsia="Times New Roman" w:cs="Times New Roman"/>
          <w:szCs w:val="20"/>
          <w:lang w:val="en-GB"/>
        </w:rPr>
        <w:fldChar w:fldCharType="begin" w:fldLock="1"/>
      </w:r>
      <w:r w:rsidR="00CC5FDE" w:rsidRPr="00A2171C">
        <w:rPr>
          <w:rFonts w:eastAsia="Times New Roman" w:cs="Times New Roman"/>
          <w:szCs w:val="20"/>
          <w:lang w:val="en-GB"/>
        </w:rPr>
        <w:instrText>ADDIN CSL_CITATION {"citationItems":[{"id":"ITEM-1","itemData":{"DOI":"10.1016/j.ocecoaman.2019.105060","ISSN":"09645691","abstract":"Tsunami risk is analyzed regarding a probable extreme event in Cartagena Bay (33°S), one of the most anthropized areas of Chile and part of its main metropolitan area. An event with characteristics similar to those of the 1730 earthquake (Mw 9.1) was modelled considering the worst-case scenario for the coast of central Chile. Vulnerability is analyzed by applying the Social Vulnerability Index (SoVI) with representative census (2017) variables. A principal component analysis (PCA) was applied to the variables, generating 8 main groups. The results established flooding heights up to 9 m with maximum flow velocities of 10 m/s. The first inundation started 5 min after the earthquake but consecutive hazardous waves were active for at least 6 h after the shaking. Social vulnerability was established as high for the components that made up the following variables: socioeconomic status, housing material, access to basic services and gender, which are directly related to the occupancy, promoted by planning instruments, of dune fields and the periphery of wetlands. The risk area encompasses 99% of the affected area, while 67.5% of the area is at high risk. Mitigation and prevention measures that can be addressed in territorial planning and coastal management are proposed, prioritizing the restoration of the dune system as a natural protection measure against extreme events, the relocation of the population in irregular occupancy conditions, evaluation of tsunami evacuation potential, planning urban design in conjunction with evacuation routes and consideration of vertical evacuation implementation.","author":[{"dropping-particle":"","family":"Martínez","given":"Carolina","non-dropping-particle":"","parse-names":false,"suffix":""},{"dropping-particle":"","family":"Cienfuegos","given":"Rodrigo","non-dropping-particle":"","parse-names":false,"suffix":""},{"dropping-particle":"","family":"Inzunza","given":"Simón","non-dropping-particle":"","parse-names":false,"suffix":""},{"dropping-particle":"","family":"Urrutia","given":"Alejandro","non-dropping-particle":"","parse-names":false,"suffix":""},{"dropping-particle":"","family":"Guerrero","given":"Nikole","non-dropping-particle":"","parse-names":false,"suffix":""}],"container-title":"Ocean and Coastal Management","id":"ITEM-1","issue":"October 2019","issued":{"date-parts":[["2020"]]},"title":"Worst-case tsunami scenario in Cartagena Bay, central Chile: Challenges for coastal risk management","type":"article-journal","volume":"185"},"uris":["http://www.mendeley.com/documents/?uuid=d7f600b8-5399-4dc3-9e3b-41bb1847e6a3"]}],"mendeley":{"formattedCitation":"(Martínez et al., 2020)"},"properties":{"noteIndex":0},"schema":"https://github.com/citation-style-language/schema/raw/master/csl-citation.json"}</w:instrText>
      </w:r>
      <w:r w:rsidRPr="00A2171C">
        <w:rPr>
          <w:rFonts w:eastAsia="Times New Roman" w:cs="Times New Roman"/>
          <w:szCs w:val="20"/>
          <w:lang w:val="en-GB"/>
        </w:rPr>
        <w:fldChar w:fldCharType="separate"/>
      </w:r>
      <w:r w:rsidR="00CC5FDE" w:rsidRPr="00A2171C">
        <w:rPr>
          <w:rFonts w:eastAsia="Times New Roman" w:cs="Times New Roman"/>
          <w:noProof/>
          <w:szCs w:val="20"/>
          <w:lang w:val="en-GB"/>
        </w:rPr>
        <w:t>(Martínez et al., 2020)</w:t>
      </w:r>
      <w:r w:rsidRPr="00A2171C">
        <w:rPr>
          <w:rFonts w:eastAsia="Times New Roman" w:cs="Times New Roman"/>
          <w:szCs w:val="20"/>
          <w:lang w:val="en-GB"/>
        </w:rPr>
        <w:fldChar w:fldCharType="end"/>
      </w:r>
      <w:r w:rsidRPr="00A2171C">
        <w:rPr>
          <w:rFonts w:eastAsia="Times New Roman" w:cs="Times New Roman"/>
          <w:szCs w:val="20"/>
          <w:lang w:val="en-GB"/>
        </w:rPr>
        <w:t xml:space="preserve">, </w:t>
      </w:r>
      <w:r w:rsidR="00F0148A" w:rsidRPr="00A2171C">
        <w:rPr>
          <w:rFonts w:eastAsia="Times New Roman" w:cs="Times New Roman"/>
          <w:szCs w:val="20"/>
          <w:lang w:val="en-GB"/>
        </w:rPr>
        <w:t>all these factors</w:t>
      </w:r>
      <w:r w:rsidRPr="00A2171C">
        <w:rPr>
          <w:rFonts w:eastAsia="Times New Roman" w:cs="Times New Roman"/>
          <w:szCs w:val="20"/>
          <w:lang w:val="en-GB"/>
        </w:rPr>
        <w:t xml:space="preserve"> limit the response </w:t>
      </w:r>
      <w:r w:rsidR="00F0148A" w:rsidRPr="00A2171C">
        <w:rPr>
          <w:rFonts w:eastAsia="Times New Roman" w:cs="Times New Roman"/>
          <w:szCs w:val="20"/>
          <w:lang w:val="en-GB"/>
        </w:rPr>
        <w:t>capacity</w:t>
      </w:r>
      <w:r w:rsidRPr="00A2171C">
        <w:rPr>
          <w:rFonts w:eastAsia="Times New Roman" w:cs="Times New Roman"/>
          <w:szCs w:val="20"/>
          <w:lang w:val="en-GB"/>
        </w:rPr>
        <w:t xml:space="preserve">, absorption and recovery </w:t>
      </w:r>
      <w:r w:rsidR="00F0148A" w:rsidRPr="00A2171C">
        <w:rPr>
          <w:rFonts w:eastAsia="Times New Roman" w:cs="Times New Roman"/>
          <w:szCs w:val="20"/>
          <w:lang w:val="en-GB"/>
        </w:rPr>
        <w:t>processes</w:t>
      </w:r>
      <w:r w:rsidR="00F0148A" w:rsidRPr="00A2171C">
        <w:rPr>
          <w:rFonts w:eastAsia="Times New Roman" w:cs="Times New Roman"/>
          <w:szCs w:val="20"/>
          <w:lang w:val="en-US"/>
        </w:rPr>
        <w:t>, i.e. the resilience of the community</w:t>
      </w:r>
      <w:r w:rsidRPr="00A2171C">
        <w:rPr>
          <w:rFonts w:eastAsia="Times New Roman" w:cs="Times New Roman"/>
          <w:szCs w:val="20"/>
          <w:lang w:val="en-US"/>
        </w:rPr>
        <w:t xml:space="preserve">. </w:t>
      </w:r>
      <w:r w:rsidRPr="00A2171C">
        <w:rPr>
          <w:rFonts w:eastAsia="Times New Roman" w:cs="Times New Roman"/>
          <w:szCs w:val="20"/>
          <w:lang w:val="en-GB"/>
        </w:rPr>
        <w:t xml:space="preserve">All these </w:t>
      </w:r>
      <w:r w:rsidR="00F0148A" w:rsidRPr="00A2171C">
        <w:rPr>
          <w:rFonts w:eastAsia="Times New Roman" w:cs="Times New Roman"/>
          <w:szCs w:val="20"/>
          <w:lang w:val="en-GB"/>
        </w:rPr>
        <w:t xml:space="preserve">social </w:t>
      </w:r>
      <w:r w:rsidRPr="00A2171C">
        <w:rPr>
          <w:rFonts w:eastAsia="Times New Roman" w:cs="Times New Roman"/>
          <w:szCs w:val="20"/>
          <w:lang w:val="en-GB"/>
        </w:rPr>
        <w:t xml:space="preserve">variables dramatically decrease the ability of the population to cope with and recover from a </w:t>
      </w:r>
      <w:r w:rsidR="00F0148A" w:rsidRPr="00A2171C">
        <w:rPr>
          <w:rFonts w:eastAsia="Times New Roman" w:cs="Times New Roman"/>
          <w:szCs w:val="20"/>
          <w:lang w:val="en-GB"/>
        </w:rPr>
        <w:t>fire event</w:t>
      </w:r>
      <w:r w:rsidRPr="00A2171C">
        <w:rPr>
          <w:rFonts w:eastAsia="Times New Roman" w:cs="Times New Roman"/>
          <w:szCs w:val="20"/>
          <w:lang w:val="en-GB"/>
        </w:rPr>
        <w:t xml:space="preserve">. </w:t>
      </w:r>
    </w:p>
    <w:p w14:paraId="406C641A" w14:textId="2115C94F" w:rsidR="001D48E0" w:rsidRPr="00A2171C" w:rsidRDefault="00DB581B" w:rsidP="001D48E0">
      <w:pPr>
        <w:pBdr>
          <w:top w:val="nil"/>
          <w:left w:val="nil"/>
          <w:bottom w:val="nil"/>
          <w:right w:val="nil"/>
          <w:between w:val="nil"/>
        </w:pBdr>
        <w:spacing w:after="0"/>
        <w:rPr>
          <w:rFonts w:eastAsia="Times New Roman" w:cs="Times New Roman"/>
          <w:lang w:val="en-US"/>
        </w:rPr>
      </w:pPr>
      <w:r w:rsidRPr="00A2171C">
        <w:rPr>
          <w:rFonts w:eastAsia="Times New Roman" w:cs="Times New Roman"/>
          <w:lang w:val="en-US"/>
        </w:rPr>
        <w:lastRenderedPageBreak/>
        <w:t>The combination between the frequency of fire risk ignition levels and people living in an overcrowded condition for each urban block (</w:t>
      </w:r>
      <w:r w:rsidR="00417907" w:rsidRPr="00A2171C">
        <w:rPr>
          <w:rFonts w:eastAsia="Times New Roman" w:cs="Times New Roman"/>
          <w:lang w:val="en-US"/>
        </w:rPr>
        <w:fldChar w:fldCharType="begin"/>
      </w:r>
      <w:r w:rsidR="00417907" w:rsidRPr="00A2171C">
        <w:rPr>
          <w:rFonts w:eastAsia="Times New Roman" w:cs="Times New Roman"/>
          <w:lang w:val="en-US"/>
        </w:rPr>
        <w:instrText xml:space="preserve"> REF _Ref121161445 \h </w:instrText>
      </w:r>
      <w:r w:rsidR="00417907" w:rsidRPr="00A2171C">
        <w:rPr>
          <w:rFonts w:eastAsia="Times New Roman" w:cs="Times New Roman"/>
          <w:lang w:val="en-US"/>
        </w:rPr>
      </w:r>
      <w:r w:rsidR="00417907" w:rsidRPr="00A2171C">
        <w:rPr>
          <w:rFonts w:eastAsia="Times New Roman" w:cs="Times New Roman"/>
          <w:lang w:val="en-US"/>
        </w:rPr>
        <w:fldChar w:fldCharType="separate"/>
      </w:r>
      <w:r w:rsidR="00C20049" w:rsidRPr="00A2171C">
        <w:rPr>
          <w:lang w:val="en-US"/>
        </w:rPr>
        <w:t xml:space="preserve">Figure </w:t>
      </w:r>
      <w:r w:rsidR="00C20049" w:rsidRPr="00A2171C">
        <w:rPr>
          <w:noProof/>
          <w:lang w:val="en-US"/>
        </w:rPr>
        <w:t>12</w:t>
      </w:r>
      <w:r w:rsidR="00417907" w:rsidRPr="00A2171C">
        <w:rPr>
          <w:rFonts w:eastAsia="Times New Roman" w:cs="Times New Roman"/>
          <w:lang w:val="en-US"/>
        </w:rPr>
        <w:fldChar w:fldCharType="end"/>
      </w:r>
      <w:r w:rsidR="00417907" w:rsidRPr="00A2171C">
        <w:rPr>
          <w:rFonts w:eastAsia="Times New Roman" w:cs="Times New Roman"/>
          <w:lang w:val="en-US"/>
        </w:rPr>
        <w:t>a</w:t>
      </w:r>
      <w:r w:rsidRPr="00A2171C">
        <w:rPr>
          <w:rFonts w:eastAsia="Times New Roman" w:cs="Times New Roman"/>
          <w:lang w:val="en-US"/>
        </w:rPr>
        <w:t>), could be used to identify in which blocks there is higher risk of fire ignition due to a greater probability of overloading electrical systems, and therefore detect in which blocks prioritize actions. On the other hand, the comparison between frequency of fire evacuation risk levels and percentages of people with limited mobility (</w:t>
      </w:r>
      <w:r w:rsidR="00417907" w:rsidRPr="00A2171C">
        <w:rPr>
          <w:rFonts w:eastAsia="Times New Roman" w:cs="Times New Roman"/>
          <w:lang w:val="en-US"/>
        </w:rPr>
        <w:fldChar w:fldCharType="begin"/>
      </w:r>
      <w:r w:rsidR="00417907" w:rsidRPr="00A2171C">
        <w:rPr>
          <w:rFonts w:eastAsia="Times New Roman" w:cs="Times New Roman"/>
          <w:lang w:val="en-US"/>
        </w:rPr>
        <w:instrText xml:space="preserve"> REF _Ref121161445 \h </w:instrText>
      </w:r>
      <w:r w:rsidR="00417907" w:rsidRPr="00A2171C">
        <w:rPr>
          <w:rFonts w:eastAsia="Times New Roman" w:cs="Times New Roman"/>
          <w:lang w:val="en-US"/>
        </w:rPr>
      </w:r>
      <w:r w:rsidR="00417907" w:rsidRPr="00A2171C">
        <w:rPr>
          <w:rFonts w:eastAsia="Times New Roman" w:cs="Times New Roman"/>
          <w:lang w:val="en-US"/>
        </w:rPr>
        <w:fldChar w:fldCharType="separate"/>
      </w:r>
      <w:r w:rsidR="00C20049" w:rsidRPr="00A2171C">
        <w:rPr>
          <w:lang w:val="en-US"/>
        </w:rPr>
        <w:t xml:space="preserve">Figure </w:t>
      </w:r>
      <w:r w:rsidR="00C20049" w:rsidRPr="00A2171C">
        <w:rPr>
          <w:noProof/>
          <w:lang w:val="en-US"/>
        </w:rPr>
        <w:t>12</w:t>
      </w:r>
      <w:r w:rsidR="00417907" w:rsidRPr="00A2171C">
        <w:rPr>
          <w:rFonts w:eastAsia="Times New Roman" w:cs="Times New Roman"/>
          <w:lang w:val="en-US"/>
        </w:rPr>
        <w:fldChar w:fldCharType="end"/>
      </w:r>
      <w:r w:rsidR="00417907" w:rsidRPr="00A2171C">
        <w:rPr>
          <w:rFonts w:eastAsia="Times New Roman" w:cs="Times New Roman"/>
          <w:lang w:val="en-US"/>
        </w:rPr>
        <w:t>b</w:t>
      </w:r>
      <w:r w:rsidRPr="00A2171C">
        <w:rPr>
          <w:rFonts w:eastAsia="Times New Roman" w:cs="Times New Roman"/>
          <w:lang w:val="en-US"/>
        </w:rPr>
        <w:t>), could be used to identify in which blocks there is higher risk due to a limited response capacity of those people affected by a potential fire</w:t>
      </w:r>
      <w:r w:rsidR="001D48E0" w:rsidRPr="00A2171C">
        <w:rPr>
          <w:rFonts w:eastAsia="Times New Roman" w:cs="Times New Roman"/>
          <w:szCs w:val="20"/>
          <w:lang w:val="en-GB"/>
        </w:rPr>
        <w:t>.</w:t>
      </w:r>
      <w:r w:rsidR="001D48E0" w:rsidRPr="00A2171C">
        <w:rPr>
          <w:rFonts w:eastAsia="Times New Roman" w:cs="Times New Roman"/>
          <w:lang w:val="en-US"/>
        </w:rPr>
        <w:t xml:space="preserve"> </w:t>
      </w:r>
    </w:p>
    <w:p w14:paraId="6590C570" w14:textId="77777777" w:rsidR="00A46867" w:rsidRPr="00A2171C" w:rsidRDefault="00A46867" w:rsidP="00A46867">
      <w:pPr>
        <w:pStyle w:val="Heading1"/>
        <w:numPr>
          <w:ilvl w:val="0"/>
          <w:numId w:val="1"/>
        </w:numPr>
        <w:rPr>
          <w:lang w:val="en-GB"/>
        </w:rPr>
      </w:pPr>
      <w:r w:rsidRPr="00A2171C">
        <w:rPr>
          <w:lang w:val="en-GB"/>
        </w:rPr>
        <w:t xml:space="preserve">Conclusions </w:t>
      </w:r>
    </w:p>
    <w:p w14:paraId="7DF351A5" w14:textId="05FD38BB" w:rsidR="00A46867" w:rsidRPr="00A2171C" w:rsidRDefault="00A46867" w:rsidP="00C36D81">
      <w:pPr>
        <w:pStyle w:val="Caption"/>
        <w:spacing w:line="360" w:lineRule="auto"/>
        <w:rPr>
          <w:i w:val="0"/>
          <w:iCs w:val="0"/>
          <w:color w:val="auto"/>
          <w:sz w:val="20"/>
          <w:szCs w:val="20"/>
          <w:lang w:val="en-US"/>
        </w:rPr>
      </w:pPr>
      <w:r w:rsidRPr="00A2171C">
        <w:rPr>
          <w:i w:val="0"/>
          <w:iCs w:val="0"/>
          <w:color w:val="auto"/>
          <w:sz w:val="20"/>
          <w:szCs w:val="20"/>
          <w:lang w:val="en-US"/>
        </w:rPr>
        <w:t xml:space="preserve">This work </w:t>
      </w:r>
      <w:r w:rsidR="007C2A7C" w:rsidRPr="00A2171C">
        <w:rPr>
          <w:i w:val="0"/>
          <w:iCs w:val="0"/>
          <w:color w:val="auto"/>
          <w:sz w:val="20"/>
          <w:szCs w:val="20"/>
          <w:lang w:val="en-US"/>
        </w:rPr>
        <w:t xml:space="preserve">generated </w:t>
      </w:r>
      <w:r w:rsidRPr="00A2171C">
        <w:rPr>
          <w:i w:val="0"/>
          <w:iCs w:val="0"/>
          <w:color w:val="auto"/>
          <w:sz w:val="20"/>
          <w:szCs w:val="20"/>
          <w:lang w:val="en-US"/>
        </w:rPr>
        <w:t xml:space="preserve">a comprehensive </w:t>
      </w:r>
      <w:r w:rsidR="007C2A7C" w:rsidRPr="00A2171C">
        <w:rPr>
          <w:i w:val="0"/>
          <w:iCs w:val="0"/>
          <w:color w:val="auto"/>
          <w:sz w:val="20"/>
          <w:szCs w:val="20"/>
          <w:lang w:val="en-US"/>
        </w:rPr>
        <w:t xml:space="preserve">building </w:t>
      </w:r>
      <w:r w:rsidRPr="00A2171C">
        <w:rPr>
          <w:i w:val="0"/>
          <w:iCs w:val="0"/>
          <w:color w:val="auto"/>
          <w:sz w:val="20"/>
          <w:szCs w:val="20"/>
          <w:lang w:val="en-US"/>
        </w:rPr>
        <w:t xml:space="preserve">database </w:t>
      </w:r>
      <w:r w:rsidR="007C2A7C" w:rsidRPr="00A2171C">
        <w:rPr>
          <w:i w:val="0"/>
          <w:iCs w:val="0"/>
          <w:color w:val="auto"/>
          <w:sz w:val="20"/>
          <w:szCs w:val="20"/>
          <w:lang w:val="en-US"/>
        </w:rPr>
        <w:t xml:space="preserve">to study </w:t>
      </w:r>
      <w:r w:rsidRPr="00A2171C">
        <w:rPr>
          <w:i w:val="0"/>
          <w:iCs w:val="0"/>
          <w:color w:val="auto"/>
          <w:sz w:val="20"/>
          <w:szCs w:val="20"/>
          <w:lang w:val="en-US"/>
        </w:rPr>
        <w:t xml:space="preserve">the fire vulnerability of Chilean historic buildings and offers a complete overview of </w:t>
      </w:r>
      <w:r w:rsidR="007C2A7C" w:rsidRPr="00A2171C">
        <w:rPr>
          <w:i w:val="0"/>
          <w:iCs w:val="0"/>
          <w:color w:val="auto"/>
          <w:sz w:val="20"/>
          <w:szCs w:val="20"/>
          <w:lang w:val="en-US"/>
        </w:rPr>
        <w:t xml:space="preserve">the </w:t>
      </w:r>
      <w:r w:rsidRPr="00A2171C">
        <w:rPr>
          <w:i w:val="0"/>
          <w:iCs w:val="0"/>
          <w:color w:val="auto"/>
          <w:sz w:val="20"/>
          <w:szCs w:val="20"/>
          <w:lang w:val="en-US"/>
        </w:rPr>
        <w:t>architectural, structural, and constructive features</w:t>
      </w:r>
      <w:r w:rsidR="007C2A7C" w:rsidRPr="00A2171C">
        <w:rPr>
          <w:i w:val="0"/>
          <w:iCs w:val="0"/>
          <w:color w:val="auto"/>
          <w:sz w:val="20"/>
          <w:szCs w:val="20"/>
          <w:lang w:val="en-US"/>
        </w:rPr>
        <w:t xml:space="preserve"> of </w:t>
      </w:r>
      <w:r w:rsidR="003B0748" w:rsidRPr="00A2171C">
        <w:rPr>
          <w:i w:val="0"/>
          <w:iCs w:val="0"/>
          <w:color w:val="auto"/>
          <w:sz w:val="20"/>
          <w:szCs w:val="20"/>
          <w:lang w:val="en-US"/>
        </w:rPr>
        <w:t>443</w:t>
      </w:r>
      <w:r w:rsidR="007C2A7C" w:rsidRPr="00A2171C">
        <w:rPr>
          <w:i w:val="0"/>
          <w:iCs w:val="0"/>
          <w:color w:val="auto"/>
          <w:sz w:val="20"/>
          <w:szCs w:val="20"/>
          <w:lang w:val="en-US"/>
        </w:rPr>
        <w:t xml:space="preserve"> SUs</w:t>
      </w:r>
      <w:r w:rsidR="00832BF8" w:rsidRPr="00A2171C">
        <w:rPr>
          <w:i w:val="0"/>
          <w:iCs w:val="0"/>
          <w:color w:val="auto"/>
          <w:sz w:val="20"/>
          <w:szCs w:val="20"/>
          <w:lang w:val="en-US"/>
        </w:rPr>
        <w:t xml:space="preserve"> in Appendix</w:t>
      </w:r>
      <w:r w:rsidR="00CC6577" w:rsidRPr="00A2171C">
        <w:rPr>
          <w:i w:val="0"/>
          <w:iCs w:val="0"/>
          <w:color w:val="auto"/>
          <w:sz w:val="20"/>
          <w:szCs w:val="20"/>
          <w:lang w:val="en-US"/>
        </w:rPr>
        <w:fldChar w:fldCharType="begin"/>
      </w:r>
      <w:r w:rsidR="00CC6577" w:rsidRPr="00A2171C">
        <w:rPr>
          <w:i w:val="0"/>
          <w:iCs w:val="0"/>
          <w:color w:val="auto"/>
          <w:sz w:val="20"/>
          <w:szCs w:val="20"/>
          <w:lang w:val="en-US"/>
        </w:rPr>
        <w:instrText xml:space="preserve"> REF _Ref121162618 \h </w:instrText>
      </w:r>
      <w:r w:rsidR="00C36D81" w:rsidRPr="00A2171C">
        <w:rPr>
          <w:i w:val="0"/>
          <w:iCs w:val="0"/>
          <w:color w:val="auto"/>
          <w:sz w:val="20"/>
          <w:szCs w:val="20"/>
          <w:lang w:val="en-US"/>
        </w:rPr>
        <w:instrText xml:space="preserve"> \* MERGEFORMAT </w:instrText>
      </w:r>
      <w:r w:rsidR="00CC6577" w:rsidRPr="00A2171C">
        <w:rPr>
          <w:i w:val="0"/>
          <w:iCs w:val="0"/>
          <w:color w:val="auto"/>
          <w:sz w:val="20"/>
          <w:szCs w:val="20"/>
          <w:lang w:val="en-US"/>
        </w:rPr>
      </w:r>
      <w:r w:rsidR="00CC6577" w:rsidRPr="00A2171C">
        <w:rPr>
          <w:i w:val="0"/>
          <w:iCs w:val="0"/>
          <w:color w:val="auto"/>
          <w:sz w:val="20"/>
          <w:szCs w:val="20"/>
          <w:lang w:val="en-US"/>
        </w:rPr>
        <w:fldChar w:fldCharType="separate"/>
      </w:r>
      <w:r w:rsidR="00C36D81" w:rsidRPr="00A2171C">
        <w:rPr>
          <w:i w:val="0"/>
          <w:iCs w:val="0"/>
          <w:color w:val="auto"/>
          <w:sz w:val="20"/>
          <w:szCs w:val="20"/>
          <w:lang w:val="en-US"/>
        </w:rPr>
        <w:t xml:space="preserve"> </w:t>
      </w:r>
      <w:r w:rsidR="00C20049" w:rsidRPr="00A2171C">
        <w:rPr>
          <w:i w:val="0"/>
          <w:iCs w:val="0"/>
          <w:color w:val="auto"/>
          <w:sz w:val="20"/>
          <w:szCs w:val="20"/>
          <w:lang w:val="en-US"/>
        </w:rPr>
        <w:t>Table A 5</w:t>
      </w:r>
      <w:r w:rsidR="00CC6577" w:rsidRPr="00A2171C">
        <w:rPr>
          <w:i w:val="0"/>
          <w:iCs w:val="0"/>
          <w:color w:val="auto"/>
          <w:sz w:val="20"/>
          <w:szCs w:val="20"/>
          <w:lang w:val="en-US"/>
        </w:rPr>
        <w:fldChar w:fldCharType="end"/>
      </w:r>
      <w:r w:rsidR="00EE1B4C" w:rsidRPr="00A2171C">
        <w:rPr>
          <w:i w:val="0"/>
          <w:iCs w:val="0"/>
          <w:color w:val="auto"/>
          <w:sz w:val="20"/>
          <w:szCs w:val="20"/>
          <w:lang w:val="en-US"/>
        </w:rPr>
        <w:t xml:space="preserve">. </w:t>
      </w:r>
      <w:r w:rsidR="007C2A7C" w:rsidRPr="00A2171C">
        <w:rPr>
          <w:i w:val="0"/>
          <w:iCs w:val="0"/>
          <w:color w:val="auto"/>
          <w:sz w:val="20"/>
          <w:szCs w:val="20"/>
          <w:lang w:val="en-US"/>
        </w:rPr>
        <w:t>This material by itself has important archival value</w:t>
      </w:r>
      <w:r w:rsidRPr="00A2171C">
        <w:rPr>
          <w:i w:val="0"/>
          <w:iCs w:val="0"/>
          <w:color w:val="auto"/>
          <w:sz w:val="20"/>
          <w:szCs w:val="20"/>
          <w:lang w:val="en-US"/>
        </w:rPr>
        <w:t xml:space="preserve"> </w:t>
      </w:r>
      <w:r w:rsidR="007C2A7C" w:rsidRPr="00A2171C">
        <w:rPr>
          <w:i w:val="0"/>
          <w:iCs w:val="0"/>
          <w:color w:val="auto"/>
          <w:sz w:val="20"/>
          <w:szCs w:val="20"/>
          <w:lang w:val="en-US"/>
        </w:rPr>
        <w:t xml:space="preserve">and may be used an input for several other risk assessment models. The information gathered </w:t>
      </w:r>
      <w:r w:rsidR="003B0748" w:rsidRPr="00A2171C">
        <w:rPr>
          <w:i w:val="0"/>
          <w:iCs w:val="0"/>
          <w:color w:val="auto"/>
          <w:sz w:val="20"/>
          <w:szCs w:val="20"/>
          <w:lang w:val="en-US"/>
        </w:rPr>
        <w:t>includes</w:t>
      </w:r>
      <w:r w:rsidR="007C2A7C" w:rsidRPr="00A2171C">
        <w:rPr>
          <w:i w:val="0"/>
          <w:iCs w:val="0"/>
          <w:color w:val="auto"/>
          <w:sz w:val="20"/>
          <w:szCs w:val="20"/>
          <w:lang w:val="en-US"/>
        </w:rPr>
        <w:t xml:space="preserve"> </w:t>
      </w:r>
      <w:r w:rsidR="003B0748" w:rsidRPr="00A2171C">
        <w:rPr>
          <w:i w:val="0"/>
          <w:iCs w:val="0"/>
          <w:color w:val="auto"/>
          <w:sz w:val="20"/>
          <w:szCs w:val="20"/>
          <w:lang w:val="en-US"/>
        </w:rPr>
        <w:t>architectural</w:t>
      </w:r>
      <w:r w:rsidR="007C2A7C" w:rsidRPr="00A2171C">
        <w:rPr>
          <w:i w:val="0"/>
          <w:iCs w:val="0"/>
          <w:color w:val="auto"/>
          <w:sz w:val="20"/>
          <w:szCs w:val="20"/>
          <w:lang w:val="en-US"/>
        </w:rPr>
        <w:t xml:space="preserve"> </w:t>
      </w:r>
      <w:r w:rsidR="003B0748" w:rsidRPr="00A2171C">
        <w:rPr>
          <w:i w:val="0"/>
          <w:iCs w:val="0"/>
          <w:color w:val="auto"/>
          <w:sz w:val="20"/>
          <w:szCs w:val="20"/>
          <w:lang w:val="en-US"/>
        </w:rPr>
        <w:t xml:space="preserve">and structural </w:t>
      </w:r>
      <w:r w:rsidR="007C2A7C" w:rsidRPr="00A2171C">
        <w:rPr>
          <w:i w:val="0"/>
          <w:iCs w:val="0"/>
          <w:color w:val="auto"/>
          <w:sz w:val="20"/>
          <w:szCs w:val="20"/>
          <w:lang w:val="en-US"/>
        </w:rPr>
        <w:t>aspects</w:t>
      </w:r>
      <w:r w:rsidR="003B0748" w:rsidRPr="00A2171C">
        <w:rPr>
          <w:i w:val="0"/>
          <w:iCs w:val="0"/>
          <w:color w:val="auto"/>
          <w:sz w:val="20"/>
          <w:szCs w:val="20"/>
          <w:lang w:val="en-US"/>
        </w:rPr>
        <w:t>,</w:t>
      </w:r>
      <w:r w:rsidR="007C2A7C" w:rsidRPr="00A2171C">
        <w:rPr>
          <w:i w:val="0"/>
          <w:iCs w:val="0"/>
          <w:color w:val="auto"/>
          <w:sz w:val="20"/>
          <w:szCs w:val="20"/>
          <w:lang w:val="en-US"/>
        </w:rPr>
        <w:t xml:space="preserve"> such as the</w:t>
      </w:r>
      <w:r w:rsidRPr="00A2171C">
        <w:rPr>
          <w:i w:val="0"/>
          <w:iCs w:val="0"/>
          <w:color w:val="auto"/>
          <w:sz w:val="20"/>
          <w:szCs w:val="20"/>
          <w:lang w:val="en-US"/>
        </w:rPr>
        <w:t xml:space="preserve"> type of roof, </w:t>
      </w:r>
      <w:r w:rsidR="003B0748" w:rsidRPr="00A2171C">
        <w:rPr>
          <w:i w:val="0"/>
          <w:iCs w:val="0"/>
          <w:color w:val="auto"/>
          <w:sz w:val="20"/>
          <w:szCs w:val="20"/>
          <w:lang w:val="en-US"/>
        </w:rPr>
        <w:t xml:space="preserve">floor type, </w:t>
      </w:r>
      <w:r w:rsidRPr="00A2171C">
        <w:rPr>
          <w:i w:val="0"/>
          <w:iCs w:val="0"/>
          <w:color w:val="auto"/>
          <w:sz w:val="20"/>
          <w:szCs w:val="20"/>
          <w:lang w:val="en-US"/>
        </w:rPr>
        <w:t xml:space="preserve">vertical and horizontal structural </w:t>
      </w:r>
      <w:r w:rsidR="003B0748" w:rsidRPr="00A2171C">
        <w:rPr>
          <w:i w:val="0"/>
          <w:iCs w:val="0"/>
          <w:color w:val="auto"/>
          <w:sz w:val="20"/>
          <w:szCs w:val="20"/>
          <w:lang w:val="en-US"/>
        </w:rPr>
        <w:t xml:space="preserve">components at the façade and interior, </w:t>
      </w:r>
      <w:r w:rsidRPr="00A2171C">
        <w:rPr>
          <w:i w:val="0"/>
          <w:iCs w:val="0"/>
          <w:color w:val="auto"/>
          <w:sz w:val="20"/>
          <w:szCs w:val="20"/>
          <w:lang w:val="en-US"/>
        </w:rPr>
        <w:t>no</w:t>
      </w:r>
      <w:r w:rsidR="007C2A7C" w:rsidRPr="00A2171C">
        <w:rPr>
          <w:i w:val="0"/>
          <w:iCs w:val="0"/>
          <w:color w:val="auto"/>
          <w:sz w:val="20"/>
          <w:szCs w:val="20"/>
          <w:lang w:val="en-US"/>
        </w:rPr>
        <w:t>n-</w:t>
      </w:r>
      <w:r w:rsidRPr="00A2171C">
        <w:rPr>
          <w:i w:val="0"/>
          <w:iCs w:val="0"/>
          <w:color w:val="auto"/>
          <w:sz w:val="20"/>
          <w:szCs w:val="20"/>
          <w:lang w:val="en-US"/>
        </w:rPr>
        <w:t xml:space="preserve">structural elements, </w:t>
      </w:r>
      <w:r w:rsidR="003B0748" w:rsidRPr="00A2171C">
        <w:rPr>
          <w:i w:val="0"/>
          <w:iCs w:val="0"/>
          <w:color w:val="auto"/>
          <w:sz w:val="20"/>
          <w:szCs w:val="20"/>
          <w:lang w:val="en-US"/>
        </w:rPr>
        <w:t>state of</w:t>
      </w:r>
      <w:r w:rsidR="007C2A7C" w:rsidRPr="00A2171C">
        <w:rPr>
          <w:i w:val="0"/>
          <w:iCs w:val="0"/>
          <w:color w:val="auto"/>
          <w:sz w:val="20"/>
          <w:szCs w:val="20"/>
          <w:lang w:val="en-US"/>
        </w:rPr>
        <w:t xml:space="preserve"> </w:t>
      </w:r>
      <w:r w:rsidRPr="00A2171C">
        <w:rPr>
          <w:i w:val="0"/>
          <w:iCs w:val="0"/>
          <w:color w:val="auto"/>
          <w:sz w:val="20"/>
          <w:szCs w:val="20"/>
          <w:lang w:val="en-US"/>
        </w:rPr>
        <w:t xml:space="preserve">conservation, </w:t>
      </w:r>
      <w:r w:rsidR="007C2A7C" w:rsidRPr="00A2171C">
        <w:rPr>
          <w:i w:val="0"/>
          <w:iCs w:val="0"/>
          <w:color w:val="auto"/>
          <w:sz w:val="20"/>
          <w:szCs w:val="20"/>
          <w:lang w:val="en-US"/>
        </w:rPr>
        <w:t xml:space="preserve">building </w:t>
      </w:r>
      <w:r w:rsidRPr="00A2171C">
        <w:rPr>
          <w:i w:val="0"/>
          <w:iCs w:val="0"/>
          <w:color w:val="auto"/>
          <w:sz w:val="20"/>
          <w:szCs w:val="20"/>
          <w:lang w:val="en-US"/>
        </w:rPr>
        <w:t xml:space="preserve">use, </w:t>
      </w:r>
      <w:r w:rsidR="007C2A7C" w:rsidRPr="00A2171C">
        <w:rPr>
          <w:i w:val="0"/>
          <w:iCs w:val="0"/>
          <w:color w:val="auto"/>
          <w:sz w:val="20"/>
          <w:szCs w:val="20"/>
          <w:lang w:val="en-US"/>
        </w:rPr>
        <w:t>and</w:t>
      </w:r>
      <w:r w:rsidRPr="00A2171C">
        <w:rPr>
          <w:i w:val="0"/>
          <w:iCs w:val="0"/>
          <w:color w:val="auto"/>
          <w:sz w:val="20"/>
          <w:szCs w:val="20"/>
          <w:lang w:val="en-US"/>
        </w:rPr>
        <w:t xml:space="preserve"> </w:t>
      </w:r>
      <w:r w:rsidR="003B0748" w:rsidRPr="00A2171C">
        <w:rPr>
          <w:i w:val="0"/>
          <w:iCs w:val="0"/>
          <w:color w:val="auto"/>
          <w:sz w:val="20"/>
          <w:szCs w:val="20"/>
          <w:lang w:val="en-US"/>
        </w:rPr>
        <w:t>several</w:t>
      </w:r>
      <w:r w:rsidR="007C2A7C" w:rsidRPr="00A2171C">
        <w:rPr>
          <w:i w:val="0"/>
          <w:iCs w:val="0"/>
          <w:color w:val="auto"/>
          <w:sz w:val="20"/>
          <w:szCs w:val="20"/>
          <w:lang w:val="en-US"/>
        </w:rPr>
        <w:t xml:space="preserve"> other </w:t>
      </w:r>
      <w:r w:rsidR="003B0748" w:rsidRPr="00A2171C">
        <w:rPr>
          <w:i w:val="0"/>
          <w:iCs w:val="0"/>
          <w:color w:val="auto"/>
          <w:sz w:val="20"/>
          <w:szCs w:val="20"/>
          <w:lang w:val="en-US"/>
        </w:rPr>
        <w:t>characteristics</w:t>
      </w:r>
      <w:r w:rsidRPr="00A2171C">
        <w:rPr>
          <w:i w:val="0"/>
          <w:iCs w:val="0"/>
          <w:color w:val="auto"/>
          <w:sz w:val="20"/>
          <w:szCs w:val="20"/>
          <w:lang w:val="en-US"/>
        </w:rPr>
        <w:t xml:space="preserve"> of this varied </w:t>
      </w:r>
      <w:r w:rsidR="007C2A7C" w:rsidRPr="00A2171C">
        <w:rPr>
          <w:i w:val="0"/>
          <w:iCs w:val="0"/>
          <w:color w:val="auto"/>
          <w:sz w:val="20"/>
          <w:szCs w:val="20"/>
          <w:lang w:val="en-US"/>
        </w:rPr>
        <w:t xml:space="preserve">cultural </w:t>
      </w:r>
      <w:r w:rsidRPr="00A2171C">
        <w:rPr>
          <w:i w:val="0"/>
          <w:iCs w:val="0"/>
          <w:color w:val="auto"/>
          <w:sz w:val="20"/>
          <w:szCs w:val="20"/>
          <w:lang w:val="en-US"/>
        </w:rPr>
        <w:t>heritage.</w:t>
      </w:r>
      <w:r w:rsidRPr="00A2171C">
        <w:rPr>
          <w:color w:val="auto"/>
          <w:sz w:val="20"/>
          <w:szCs w:val="20"/>
          <w:lang w:val="en-US"/>
        </w:rPr>
        <w:t xml:space="preserve"> </w:t>
      </w:r>
    </w:p>
    <w:p w14:paraId="7A901FB9" w14:textId="4DDEF215" w:rsidR="00A46867" w:rsidRPr="00A2171C" w:rsidRDefault="003B0748" w:rsidP="00A46867">
      <w:pPr>
        <w:spacing w:after="0"/>
        <w:rPr>
          <w:szCs w:val="20"/>
          <w:lang w:val="en-US"/>
        </w:rPr>
      </w:pPr>
      <w:r w:rsidRPr="00A2171C">
        <w:rPr>
          <w:szCs w:val="20"/>
          <w:lang w:val="en-US"/>
        </w:rPr>
        <w:t xml:space="preserve">This study applies a modified version of the FRI method </w:t>
      </w:r>
      <w:r w:rsidRPr="00A2171C">
        <w:rPr>
          <w:rFonts w:eastAsia="Times New Roman" w:cs="Times New Roman"/>
          <w:szCs w:val="20"/>
          <w:lang w:val="en-GB"/>
        </w:rPr>
        <w:t>(</w:t>
      </w:r>
      <w:r w:rsidRPr="00A2171C">
        <w:rPr>
          <w:rFonts w:eastAsia="Times New Roman" w:cs="Times New Roman"/>
          <w:szCs w:val="20"/>
          <w:lang w:val="en-GB"/>
        </w:rPr>
        <w:fldChar w:fldCharType="begin" w:fldLock="1"/>
      </w:r>
      <w:r w:rsidRPr="00A2171C">
        <w:rPr>
          <w:rFonts w:eastAsia="Times New Roman" w:cs="Times New Roman"/>
          <w:szCs w:val="20"/>
          <w:lang w:val="en-GB"/>
        </w:rPr>
        <w:instrText>ADDIN CSL_CITATION {"citationItems":[{"id":"ITEM-1","itemData":{"DOI":"10.1016/j.culher.2016.01.011","author":[{"dropping-particle":"","family":"Ferreira","given":"T.M","non-dropping-particle":"","parse-names":false,"suffix":""},{"dropping-particle":"","family":"Vicente","given":"Romeu","non-dropping-particle":"","parse-names":false,"suffix":""},{"dropping-particle":"","family":"Mendes da Silva","given":"José Antonio Raimundo","non-dropping-particle":"","parse-names":false,"suffix":""},{"dropping-particle":"","family":"Varum","given":"Humberto","non-dropping-particle":"","parse-names":false,"suffix":""},{"dropping-particle":"","family":"Costa","given":"Aníbal","non-dropping-particle":"","parse-names":false,"suffix":""},{"dropping-particle":"","family":"Maio","given":"Rui","non-dropping-particle":"","parse-names":false,"suffix":""}],"container-title":"Journal of Cultural Heritage","id":"ITEM-1","issue":"426","issued":{"date-parts":[["2016"]]},"page":"1-7","title":"Urban fire risk: Evaluation and emergency planning","type":"article-journal","volume":"20"},"uris":["http://www.mendeley.com/documents/?uuid=8b45f97f-58a1-4a84-9208-ddf32f667d2c"]}],"mendeley":{"formattedCitation":"(Ferreira et al., 2016)","manualFormatting":"Ferreira et al., 2016)","plainTextFormattedCitation":"(Ferreira et al., 2016)","previouslyFormattedCitation":"(Ferreira et al., 2016)"},"properties":{"noteIndex":0},"schema":"https://github.com/citation-style-language/schema/raw/master/csl-citation.json"}</w:instrText>
      </w:r>
      <w:r w:rsidRPr="00A2171C">
        <w:rPr>
          <w:rFonts w:eastAsia="Times New Roman" w:cs="Times New Roman"/>
          <w:szCs w:val="20"/>
          <w:lang w:val="en-GB"/>
        </w:rPr>
        <w:fldChar w:fldCharType="separate"/>
      </w:r>
      <w:r w:rsidRPr="00A2171C">
        <w:rPr>
          <w:rFonts w:eastAsia="Times New Roman" w:cs="Times New Roman"/>
          <w:noProof/>
          <w:szCs w:val="20"/>
          <w:lang w:val="en-GB"/>
        </w:rPr>
        <w:t>Ferreira et al., 2016)</w:t>
      </w:r>
      <w:r w:rsidRPr="00A2171C">
        <w:rPr>
          <w:rFonts w:eastAsia="Times New Roman" w:cs="Times New Roman"/>
          <w:szCs w:val="20"/>
          <w:lang w:val="en-GB"/>
        </w:rPr>
        <w:fldChar w:fldCharType="end"/>
      </w:r>
      <w:r w:rsidRPr="00A2171C">
        <w:rPr>
          <w:szCs w:val="20"/>
          <w:lang w:val="en-US"/>
        </w:rPr>
        <w:t xml:space="preserve"> </w:t>
      </w:r>
      <w:r w:rsidR="00A46867" w:rsidRPr="00A2171C">
        <w:rPr>
          <w:szCs w:val="20"/>
          <w:lang w:val="en-US"/>
        </w:rPr>
        <w:t xml:space="preserve">for empirical </w:t>
      </w:r>
      <w:r w:rsidRPr="00A2171C">
        <w:rPr>
          <w:szCs w:val="20"/>
          <w:lang w:val="en-US"/>
        </w:rPr>
        <w:t xml:space="preserve">and qualitative </w:t>
      </w:r>
      <w:r w:rsidR="00A46867" w:rsidRPr="00A2171C">
        <w:rPr>
          <w:szCs w:val="20"/>
          <w:lang w:val="en-US"/>
        </w:rPr>
        <w:t xml:space="preserve">fire risk assessment of historical aggregate-buildings </w:t>
      </w:r>
      <w:r w:rsidRPr="00A2171C">
        <w:rPr>
          <w:szCs w:val="20"/>
          <w:lang w:val="en-US"/>
        </w:rPr>
        <w:t>belonging to</w:t>
      </w:r>
      <w:r w:rsidR="00A46867" w:rsidRPr="00A2171C">
        <w:rPr>
          <w:szCs w:val="20"/>
          <w:lang w:val="en-US"/>
        </w:rPr>
        <w:t xml:space="preserve"> the Yungay neighborhood in Santiago, Chile.  Th</w:t>
      </w:r>
      <w:r w:rsidRPr="00A2171C">
        <w:rPr>
          <w:szCs w:val="20"/>
          <w:lang w:val="en-US"/>
        </w:rPr>
        <w:t>e</w:t>
      </w:r>
      <w:r w:rsidR="00A46867" w:rsidRPr="00A2171C">
        <w:rPr>
          <w:szCs w:val="20"/>
          <w:lang w:val="en-US"/>
        </w:rPr>
        <w:t xml:space="preserve"> method was adapted to the constructive features of Latin American aggregate heritage buildings</w:t>
      </w:r>
      <w:r w:rsidRPr="00A2171C">
        <w:rPr>
          <w:szCs w:val="20"/>
          <w:lang w:val="en-US"/>
        </w:rPr>
        <w:t>,</w:t>
      </w:r>
      <w:r w:rsidR="00A46867" w:rsidRPr="00A2171C">
        <w:rPr>
          <w:szCs w:val="20"/>
          <w:lang w:val="en-US"/>
        </w:rPr>
        <w:t xml:space="preserve"> and was validated </w:t>
      </w:r>
      <w:r w:rsidRPr="00A2171C">
        <w:rPr>
          <w:szCs w:val="20"/>
          <w:lang w:val="en-US"/>
        </w:rPr>
        <w:t xml:space="preserve">using an available catalog of </w:t>
      </w:r>
      <w:r w:rsidR="00A46867" w:rsidRPr="00A2171C">
        <w:rPr>
          <w:szCs w:val="20"/>
          <w:lang w:val="en-US"/>
        </w:rPr>
        <w:t xml:space="preserve">historic fire events between 2016 and 2020. </w:t>
      </w:r>
      <w:r w:rsidR="00F141E3" w:rsidRPr="00A2171C">
        <w:rPr>
          <w:rFonts w:eastAsia="Times New Roman" w:cs="Times New Roman"/>
          <w:szCs w:val="20"/>
          <w:lang w:val="en-GB"/>
        </w:rPr>
        <w:t xml:space="preserve">A total of 75% of historical fires are identified as high-risk structures by the modified-FRI method, while 25% as moderate risk level. </w:t>
      </w:r>
      <w:r w:rsidRPr="00A2171C">
        <w:rPr>
          <w:szCs w:val="20"/>
          <w:lang w:val="en-US"/>
        </w:rPr>
        <w:t xml:space="preserve">Data collection was based </w:t>
      </w:r>
      <w:r w:rsidR="00A46867" w:rsidRPr="00A2171C">
        <w:rPr>
          <w:szCs w:val="20"/>
          <w:lang w:val="en-US"/>
        </w:rPr>
        <w:t>on</w:t>
      </w:r>
      <w:r w:rsidRPr="00A2171C">
        <w:rPr>
          <w:szCs w:val="20"/>
          <w:lang w:val="en-US"/>
        </w:rPr>
        <w:t xml:space="preserve"> </w:t>
      </w:r>
      <w:r w:rsidR="00A46867" w:rsidRPr="00A2171C">
        <w:rPr>
          <w:szCs w:val="20"/>
          <w:lang w:val="en-US"/>
        </w:rPr>
        <w:t xml:space="preserve">detailed in-situ inspections </w:t>
      </w:r>
      <w:r w:rsidR="0095507A" w:rsidRPr="00A2171C">
        <w:rPr>
          <w:szCs w:val="20"/>
          <w:lang w:val="en-US"/>
        </w:rPr>
        <w:t xml:space="preserve">aimed to understanding </w:t>
      </w:r>
      <w:r w:rsidR="00A46867" w:rsidRPr="00A2171C">
        <w:rPr>
          <w:szCs w:val="20"/>
          <w:lang w:val="en-US"/>
        </w:rPr>
        <w:t xml:space="preserve">the fire </w:t>
      </w:r>
      <w:r w:rsidR="0095507A" w:rsidRPr="00A2171C">
        <w:rPr>
          <w:szCs w:val="20"/>
          <w:lang w:val="en-US"/>
        </w:rPr>
        <w:t xml:space="preserve">vulnerability </w:t>
      </w:r>
      <w:r w:rsidRPr="00A2171C">
        <w:rPr>
          <w:szCs w:val="20"/>
          <w:lang w:val="en-US"/>
        </w:rPr>
        <w:t>of these 443 units</w:t>
      </w:r>
      <w:r w:rsidR="0095507A" w:rsidRPr="00A2171C">
        <w:rPr>
          <w:szCs w:val="20"/>
          <w:lang w:val="en-US"/>
        </w:rPr>
        <w:t>.</w:t>
      </w:r>
      <w:r w:rsidRPr="00A2171C">
        <w:rPr>
          <w:szCs w:val="20"/>
          <w:lang w:val="en-US"/>
        </w:rPr>
        <w:t xml:space="preserve"> </w:t>
      </w:r>
      <w:r w:rsidR="0095507A" w:rsidRPr="00A2171C">
        <w:rPr>
          <w:szCs w:val="20"/>
          <w:lang w:val="en-US"/>
        </w:rPr>
        <w:t>It was our interest to obtain</w:t>
      </w:r>
      <w:r w:rsidR="00A46867" w:rsidRPr="00A2171C">
        <w:rPr>
          <w:rFonts w:eastAsia="Times New Roman" w:cs="Times New Roman"/>
          <w:szCs w:val="20"/>
          <w:lang w:val="en-US"/>
        </w:rPr>
        <w:t xml:space="preserve"> </w:t>
      </w:r>
      <w:r w:rsidRPr="00A2171C">
        <w:rPr>
          <w:rFonts w:eastAsia="Times New Roman" w:cs="Times New Roman"/>
          <w:szCs w:val="20"/>
          <w:lang w:val="en-US"/>
        </w:rPr>
        <w:t xml:space="preserve">data </w:t>
      </w:r>
      <w:r w:rsidR="0095507A" w:rsidRPr="00A2171C">
        <w:rPr>
          <w:rFonts w:eastAsia="Times New Roman" w:cs="Times New Roman"/>
          <w:szCs w:val="20"/>
          <w:lang w:val="en-US"/>
        </w:rPr>
        <w:t>to characterize</w:t>
      </w:r>
      <w:r w:rsidRPr="00A2171C">
        <w:rPr>
          <w:rFonts w:eastAsia="Times New Roman" w:cs="Times New Roman"/>
          <w:szCs w:val="20"/>
          <w:lang w:val="en-US"/>
        </w:rPr>
        <w:t xml:space="preserve"> the different </w:t>
      </w:r>
      <w:r w:rsidR="00A46867" w:rsidRPr="00A2171C">
        <w:rPr>
          <w:rFonts w:eastAsia="Times New Roman" w:cs="Times New Roman"/>
          <w:szCs w:val="20"/>
          <w:lang w:val="en-US"/>
        </w:rPr>
        <w:t>stages of fire growth (ignition, propagation, evacuation</w:t>
      </w:r>
      <w:r w:rsidRPr="00A2171C">
        <w:rPr>
          <w:rFonts w:eastAsia="Times New Roman" w:cs="Times New Roman"/>
          <w:szCs w:val="20"/>
          <w:lang w:val="en-US"/>
        </w:rPr>
        <w:t>,</w:t>
      </w:r>
      <w:r w:rsidR="00A46867" w:rsidRPr="00A2171C">
        <w:rPr>
          <w:rFonts w:eastAsia="Times New Roman" w:cs="Times New Roman"/>
          <w:szCs w:val="20"/>
          <w:lang w:val="en-US"/>
        </w:rPr>
        <w:t xml:space="preserve"> and combat)</w:t>
      </w:r>
      <w:r w:rsidR="00A46867" w:rsidRPr="00A2171C">
        <w:rPr>
          <w:szCs w:val="20"/>
          <w:lang w:val="en-US"/>
        </w:rPr>
        <w:t>.</w:t>
      </w:r>
    </w:p>
    <w:p w14:paraId="5540B7B9" w14:textId="204B1F24" w:rsidR="00295E5D" w:rsidRPr="00A2171C" w:rsidRDefault="0095507A" w:rsidP="007347A1">
      <w:pPr>
        <w:spacing w:before="240"/>
        <w:rPr>
          <w:rFonts w:eastAsia="Times New Roman" w:cs="Times New Roman"/>
          <w:szCs w:val="20"/>
          <w:lang w:val="en-US"/>
        </w:rPr>
      </w:pPr>
      <w:r w:rsidRPr="00A2171C">
        <w:rPr>
          <w:szCs w:val="20"/>
          <w:lang w:val="en-US"/>
        </w:rPr>
        <w:t xml:space="preserve">One modification of the </w:t>
      </w:r>
      <w:r w:rsidR="00A46867" w:rsidRPr="00A2171C">
        <w:rPr>
          <w:szCs w:val="20"/>
          <w:lang w:val="en-US"/>
        </w:rPr>
        <w:t>FRI</w:t>
      </w:r>
      <w:r w:rsidRPr="00A2171C">
        <w:rPr>
          <w:szCs w:val="20"/>
          <w:lang w:val="en-US"/>
        </w:rPr>
        <w:t xml:space="preserve"> methodology</w:t>
      </w:r>
      <w:r w:rsidR="00A46867" w:rsidRPr="00A2171C">
        <w:rPr>
          <w:szCs w:val="20"/>
          <w:lang w:val="en-US"/>
        </w:rPr>
        <w:t xml:space="preserve"> </w:t>
      </w:r>
      <w:r w:rsidRPr="00A2171C">
        <w:rPr>
          <w:szCs w:val="20"/>
          <w:lang w:val="en-US"/>
        </w:rPr>
        <w:t>includes</w:t>
      </w:r>
      <w:r w:rsidR="00A46867" w:rsidRPr="00A2171C">
        <w:rPr>
          <w:rFonts w:eastAsia="Times New Roman" w:cs="Times New Roman"/>
          <w:szCs w:val="20"/>
          <w:lang w:val="en-US"/>
        </w:rPr>
        <w:t xml:space="preserve"> the original </w:t>
      </w:r>
      <m:oMath>
        <m:sSub>
          <m:sSubPr>
            <m:ctrlPr>
              <w:rPr>
                <w:rFonts w:ascii="Cambria Math" w:eastAsia="Times New Roman" w:hAnsi="Cambria Math" w:cs="Times New Roman"/>
                <w:i/>
                <w:szCs w:val="20"/>
                <w:lang w:val="en-US"/>
              </w:rPr>
            </m:ctrlPr>
          </m:sSubPr>
          <m:e>
            <m:r>
              <w:rPr>
                <w:rFonts w:ascii="Cambria Math" w:eastAsia="Times New Roman" w:hAnsi="Cambria Math" w:cs="Times New Roman"/>
                <w:szCs w:val="20"/>
                <w:lang w:val="en-US"/>
              </w:rPr>
              <m:t>PF</m:t>
            </m:r>
          </m:e>
          <m:sub>
            <m:r>
              <w:rPr>
                <w:rFonts w:ascii="Cambria Math" w:eastAsia="Times New Roman" w:hAnsi="Cambria Math" w:cs="Times New Roman"/>
                <w:szCs w:val="20"/>
                <w:lang w:val="en-US"/>
              </w:rPr>
              <m:t>I,2</m:t>
            </m:r>
          </m:sub>
        </m:sSub>
      </m:oMath>
      <w:r w:rsidR="00A46867" w:rsidRPr="00A2171C">
        <w:rPr>
          <w:rFonts w:eastAsia="Times New Roman" w:cs="Times New Roman"/>
          <w:szCs w:val="20"/>
          <w:lang w:val="en-US"/>
        </w:rPr>
        <w:t xml:space="preserve"> partial-factor, </w:t>
      </w:r>
      <w:r w:rsidRPr="00A2171C">
        <w:rPr>
          <w:rFonts w:eastAsia="Times New Roman" w:cs="Times New Roman"/>
          <w:szCs w:val="20"/>
          <w:lang w:val="en-US"/>
        </w:rPr>
        <w:t xml:space="preserve">aimed to </w:t>
      </w:r>
      <w:r w:rsidR="00A46867" w:rsidRPr="00A2171C">
        <w:rPr>
          <w:rFonts w:eastAsia="Times New Roman" w:cs="Times New Roman"/>
          <w:szCs w:val="20"/>
          <w:lang w:val="en-US"/>
        </w:rPr>
        <w:t xml:space="preserve">consider the condition of </w:t>
      </w:r>
      <w:r w:rsidRPr="00A2171C">
        <w:rPr>
          <w:rFonts w:eastAsia="Times New Roman" w:cs="Times New Roman"/>
          <w:szCs w:val="20"/>
          <w:lang w:val="en-US"/>
        </w:rPr>
        <w:t xml:space="preserve">household </w:t>
      </w:r>
      <w:r w:rsidR="00A46867" w:rsidRPr="00A2171C">
        <w:rPr>
          <w:rFonts w:eastAsia="Times New Roman" w:cs="Times New Roman"/>
          <w:szCs w:val="20"/>
          <w:lang w:val="en-US"/>
        </w:rPr>
        <w:t xml:space="preserve">electrical </w:t>
      </w:r>
      <w:r w:rsidRPr="00A2171C">
        <w:rPr>
          <w:rFonts w:eastAsia="Times New Roman" w:cs="Times New Roman"/>
          <w:szCs w:val="20"/>
          <w:lang w:val="en-US"/>
        </w:rPr>
        <w:t>installations</w:t>
      </w:r>
      <w:r w:rsidR="00A46867" w:rsidRPr="00A2171C">
        <w:rPr>
          <w:rFonts w:eastAsia="Times New Roman" w:cs="Times New Roman"/>
          <w:szCs w:val="20"/>
          <w:lang w:val="en-US"/>
        </w:rPr>
        <w:t xml:space="preserve">, </w:t>
      </w:r>
      <w:r w:rsidRPr="00A2171C">
        <w:rPr>
          <w:rFonts w:eastAsia="Times New Roman" w:cs="Times New Roman"/>
          <w:szCs w:val="20"/>
          <w:lang w:val="en-US"/>
        </w:rPr>
        <w:t xml:space="preserve">which </w:t>
      </w:r>
      <w:r w:rsidR="00A46867" w:rsidRPr="00A2171C">
        <w:rPr>
          <w:rFonts w:eastAsia="Times New Roman" w:cs="Times New Roman"/>
          <w:szCs w:val="20"/>
          <w:lang w:val="en-US"/>
        </w:rPr>
        <w:t xml:space="preserve">was extended to </w:t>
      </w:r>
      <w:r w:rsidRPr="00A2171C">
        <w:rPr>
          <w:rFonts w:eastAsia="Times New Roman" w:cs="Times New Roman"/>
          <w:szCs w:val="20"/>
          <w:lang w:val="en-US"/>
        </w:rPr>
        <w:t>account for</w:t>
      </w:r>
      <w:r w:rsidR="00A46867" w:rsidRPr="00A2171C">
        <w:rPr>
          <w:rFonts w:eastAsia="Times New Roman" w:cs="Times New Roman"/>
          <w:szCs w:val="20"/>
          <w:lang w:val="en-US"/>
        </w:rPr>
        <w:t xml:space="preserve"> the </w:t>
      </w:r>
      <w:r w:rsidRPr="00A2171C">
        <w:rPr>
          <w:rFonts w:eastAsia="Times New Roman" w:cs="Times New Roman"/>
          <w:szCs w:val="20"/>
          <w:lang w:val="en-US"/>
        </w:rPr>
        <w:t xml:space="preserve">condition of </w:t>
      </w:r>
      <w:r w:rsidR="00A46867" w:rsidRPr="00A2171C">
        <w:rPr>
          <w:rFonts w:eastAsia="Times New Roman" w:cs="Times New Roman"/>
          <w:szCs w:val="20"/>
          <w:lang w:val="en-US"/>
        </w:rPr>
        <w:t>electrical extension cords (</w:t>
      </w:r>
      <m:oMath>
        <m:sSub>
          <m:sSubPr>
            <m:ctrlPr>
              <w:rPr>
                <w:rFonts w:ascii="Cambria Math" w:eastAsia="Times New Roman" w:hAnsi="Cambria Math" w:cs="Times New Roman"/>
                <w:i/>
                <w:szCs w:val="20"/>
                <w:lang w:val="en-US"/>
              </w:rPr>
            </m:ctrlPr>
          </m:sSubPr>
          <m:e>
            <m:r>
              <w:rPr>
                <w:rFonts w:ascii="Cambria Math" w:eastAsia="Times New Roman" w:hAnsi="Cambria Math" w:cs="Times New Roman"/>
                <w:szCs w:val="20"/>
                <w:lang w:val="en-US"/>
              </w:rPr>
              <m:t>C</m:t>
            </m:r>
          </m:e>
          <m:sub>
            <m:r>
              <w:rPr>
                <w:rFonts w:ascii="Cambria Math" w:eastAsia="Times New Roman" w:hAnsi="Cambria Math" w:cs="Times New Roman"/>
                <w:szCs w:val="20"/>
                <w:lang w:val="en-US"/>
              </w:rPr>
              <m:t>e,2</m:t>
            </m:r>
          </m:sub>
        </m:sSub>
      </m:oMath>
      <w:r w:rsidR="00A46867" w:rsidRPr="00A2171C">
        <w:rPr>
          <w:rFonts w:eastAsia="Times New Roman" w:cs="Times New Roman"/>
          <w:szCs w:val="20"/>
          <w:lang w:val="en-US"/>
        </w:rPr>
        <w:t xml:space="preserve">). </w:t>
      </w:r>
      <w:r w:rsidR="00295E5D" w:rsidRPr="00A2171C">
        <w:rPr>
          <w:rFonts w:eastAsia="Times New Roman" w:cs="Times New Roman"/>
          <w:szCs w:val="20"/>
          <w:lang w:val="en-US"/>
        </w:rPr>
        <w:t>S</w:t>
      </w:r>
      <w:r w:rsidR="00A46867" w:rsidRPr="00A2171C">
        <w:rPr>
          <w:rFonts w:eastAsia="Times New Roman" w:cs="Times New Roman"/>
          <w:szCs w:val="20"/>
          <w:lang w:val="en-US"/>
        </w:rPr>
        <w:t>urveys carried out in the field</w:t>
      </w:r>
      <w:r w:rsidR="00295E5D" w:rsidRPr="00A2171C">
        <w:rPr>
          <w:rFonts w:eastAsia="Times New Roman" w:cs="Times New Roman"/>
          <w:szCs w:val="20"/>
          <w:lang w:val="en-US"/>
        </w:rPr>
        <w:t xml:space="preserve"> showed that the condition of electrical extension cords is relevant, since</w:t>
      </w:r>
      <w:r w:rsidR="00A46867" w:rsidRPr="00A2171C">
        <w:rPr>
          <w:rFonts w:eastAsia="Times New Roman" w:cs="Times New Roman"/>
          <w:szCs w:val="20"/>
          <w:lang w:val="en-US"/>
        </w:rPr>
        <w:t xml:space="preserve">: 73.1% (324) of </w:t>
      </w:r>
      <w:r w:rsidR="00295E5D" w:rsidRPr="00A2171C">
        <w:rPr>
          <w:rFonts w:eastAsia="Times New Roman" w:cs="Times New Roman"/>
          <w:szCs w:val="20"/>
          <w:lang w:val="en-US"/>
        </w:rPr>
        <w:t>households</w:t>
      </w:r>
      <w:r w:rsidR="00A46867" w:rsidRPr="00A2171C">
        <w:rPr>
          <w:rFonts w:eastAsia="Times New Roman" w:cs="Times New Roman"/>
          <w:szCs w:val="20"/>
          <w:lang w:val="en-US"/>
        </w:rPr>
        <w:t xml:space="preserve"> use non-compliant power strips and extension cords (no SEC approval</w:t>
      </w:r>
      <w:r w:rsidR="00295E5D" w:rsidRPr="00A2171C">
        <w:rPr>
          <w:rFonts w:eastAsia="Times New Roman" w:cs="Times New Roman"/>
          <w:szCs w:val="20"/>
          <w:lang w:val="en-US"/>
        </w:rPr>
        <w:t>s</w:t>
      </w:r>
      <w:r w:rsidR="00A46867" w:rsidRPr="00A2171C">
        <w:rPr>
          <w:rFonts w:eastAsia="Times New Roman" w:cs="Times New Roman"/>
          <w:szCs w:val="20"/>
          <w:lang w:val="en-US"/>
        </w:rPr>
        <w:t xml:space="preserve">), and the 51.2% (277) overload the electrical system </w:t>
      </w:r>
      <w:r w:rsidR="00295E5D" w:rsidRPr="00A2171C">
        <w:rPr>
          <w:rFonts w:eastAsia="Times New Roman" w:cs="Times New Roman"/>
          <w:szCs w:val="20"/>
          <w:lang w:val="en-US"/>
        </w:rPr>
        <w:t xml:space="preserve">by using </w:t>
      </w:r>
      <w:r w:rsidR="00A46867" w:rsidRPr="00A2171C">
        <w:rPr>
          <w:rFonts w:eastAsia="Times New Roman" w:cs="Times New Roman"/>
          <w:szCs w:val="20"/>
          <w:lang w:val="en-US"/>
        </w:rPr>
        <w:t>two or more high</w:t>
      </w:r>
      <w:r w:rsidR="00295E5D" w:rsidRPr="00A2171C">
        <w:rPr>
          <w:rFonts w:eastAsia="Times New Roman" w:cs="Times New Roman"/>
          <w:szCs w:val="20"/>
          <w:lang w:val="en-US"/>
        </w:rPr>
        <w:t>-</w:t>
      </w:r>
      <w:r w:rsidR="00A46867" w:rsidRPr="00A2171C">
        <w:rPr>
          <w:rFonts w:eastAsia="Times New Roman" w:cs="Times New Roman"/>
          <w:szCs w:val="20"/>
          <w:lang w:val="en-US"/>
        </w:rPr>
        <w:t xml:space="preserve">consumption appliances </w:t>
      </w:r>
      <w:r w:rsidR="00295E5D" w:rsidRPr="00A2171C">
        <w:rPr>
          <w:rFonts w:eastAsia="Times New Roman" w:cs="Times New Roman"/>
          <w:szCs w:val="20"/>
          <w:lang w:val="en-US"/>
        </w:rPr>
        <w:t>simultaneously.</w:t>
      </w:r>
      <w:r w:rsidR="00A46867" w:rsidRPr="00A2171C">
        <w:rPr>
          <w:rFonts w:eastAsia="Times New Roman" w:cs="Times New Roman"/>
          <w:szCs w:val="20"/>
          <w:lang w:val="en-US"/>
        </w:rPr>
        <w:t xml:space="preserve"> </w:t>
      </w:r>
      <w:r w:rsidR="00295E5D" w:rsidRPr="00A2171C">
        <w:rPr>
          <w:rFonts w:eastAsia="Times New Roman" w:cs="Times New Roman"/>
          <w:szCs w:val="20"/>
          <w:lang w:val="en-US"/>
        </w:rPr>
        <w:t>Also,</w:t>
      </w:r>
      <w:r w:rsidR="00A46867" w:rsidRPr="00A2171C">
        <w:rPr>
          <w:rFonts w:eastAsia="Times New Roman" w:cs="Times New Roman"/>
          <w:szCs w:val="20"/>
          <w:lang w:val="en-US"/>
        </w:rPr>
        <w:t xml:space="preserve"> new partial-factors </w:t>
      </w:r>
      <m:oMath>
        <m:sSub>
          <m:sSubPr>
            <m:ctrlPr>
              <w:rPr>
                <w:rFonts w:ascii="Cambria Math" w:eastAsia="Times New Roman" w:hAnsi="Cambria Math" w:cs="Times New Roman"/>
                <w:i/>
                <w:szCs w:val="20"/>
                <w:lang w:val="en-US"/>
              </w:rPr>
            </m:ctrlPr>
          </m:sSubPr>
          <m:e>
            <m:r>
              <w:rPr>
                <w:rFonts w:ascii="Cambria Math" w:eastAsia="Times New Roman" w:hAnsi="Cambria Math" w:cs="Times New Roman"/>
                <w:szCs w:val="20"/>
                <w:lang w:val="en-US"/>
              </w:rPr>
              <m:t>PF</m:t>
            </m:r>
          </m:e>
          <m:sub>
            <m:r>
              <w:rPr>
                <w:rFonts w:ascii="Cambria Math" w:eastAsia="Times New Roman" w:hAnsi="Cambria Math" w:cs="Times New Roman"/>
                <w:szCs w:val="20"/>
                <w:lang w:val="en-US"/>
              </w:rPr>
              <m:t>I,5</m:t>
            </m:r>
          </m:sub>
        </m:sSub>
      </m:oMath>
      <w:r w:rsidR="00A46867" w:rsidRPr="00A2171C">
        <w:rPr>
          <w:rFonts w:eastAsia="Times New Roman" w:cs="Times New Roman"/>
          <w:szCs w:val="20"/>
          <w:lang w:val="en-US"/>
        </w:rPr>
        <w:t xml:space="preserve">, </w:t>
      </w:r>
      <m:oMath>
        <m:sSub>
          <m:sSubPr>
            <m:ctrlPr>
              <w:rPr>
                <w:rFonts w:ascii="Cambria Math" w:eastAsia="Times New Roman" w:hAnsi="Cambria Math" w:cs="Times New Roman"/>
                <w:i/>
                <w:szCs w:val="20"/>
                <w:lang w:val="en-US"/>
              </w:rPr>
            </m:ctrlPr>
          </m:sSubPr>
          <m:e>
            <m:r>
              <w:rPr>
                <w:rFonts w:ascii="Cambria Math" w:eastAsia="Times New Roman" w:hAnsi="Cambria Math" w:cs="Times New Roman"/>
                <w:szCs w:val="20"/>
                <w:lang w:val="en-US"/>
              </w:rPr>
              <m:t>PF</m:t>
            </m:r>
          </m:e>
          <m:sub>
            <m:r>
              <w:rPr>
                <w:rFonts w:ascii="Cambria Math" w:eastAsia="Times New Roman" w:hAnsi="Cambria Math" w:cs="Times New Roman"/>
                <w:szCs w:val="20"/>
                <w:lang w:val="en-US"/>
              </w:rPr>
              <m:t>P,4</m:t>
            </m:r>
          </m:sub>
        </m:sSub>
      </m:oMath>
      <w:r w:rsidR="00A46867" w:rsidRPr="00A2171C">
        <w:rPr>
          <w:rFonts w:eastAsia="Times New Roman" w:cs="Times New Roman"/>
          <w:szCs w:val="20"/>
          <w:lang w:val="en-US"/>
        </w:rPr>
        <w:t xml:space="preserve"> and</w:t>
      </w:r>
      <w:r w:rsidR="00A46867" w:rsidRPr="00A2171C">
        <w:rPr>
          <w:rFonts w:eastAsia="Times New Roman" w:cs="Times New Roman"/>
          <w:szCs w:val="20"/>
          <w:vertAlign w:val="subscript"/>
          <w:lang w:val="en-US"/>
        </w:rPr>
        <w:t xml:space="preserve"> </w:t>
      </w:r>
      <m:oMath>
        <m:sSub>
          <m:sSubPr>
            <m:ctrlPr>
              <w:rPr>
                <w:rFonts w:ascii="Cambria Math" w:eastAsia="Times New Roman" w:hAnsi="Cambria Math" w:cs="Times New Roman"/>
                <w:i/>
                <w:szCs w:val="20"/>
                <w:lang w:val="en-US"/>
              </w:rPr>
            </m:ctrlPr>
          </m:sSubPr>
          <m:e>
            <m:r>
              <w:rPr>
                <w:rFonts w:ascii="Cambria Math" w:eastAsia="Times New Roman" w:hAnsi="Cambria Math" w:cs="Times New Roman"/>
                <w:szCs w:val="20"/>
                <w:lang w:val="en-US"/>
              </w:rPr>
              <m:t>PF</m:t>
            </m:r>
          </m:e>
          <m:sub>
            <m:r>
              <w:rPr>
                <w:rFonts w:ascii="Cambria Math" w:eastAsia="Times New Roman" w:hAnsi="Cambria Math" w:cs="Times New Roman"/>
                <w:szCs w:val="20"/>
                <w:lang w:val="en-US"/>
              </w:rPr>
              <m:t>P,5</m:t>
            </m:r>
          </m:sub>
        </m:sSub>
      </m:oMath>
      <w:r w:rsidR="00A46867" w:rsidRPr="00A2171C">
        <w:rPr>
          <w:rFonts w:eastAsia="Times New Roman" w:cs="Times New Roman"/>
          <w:szCs w:val="20"/>
          <w:lang w:val="en-US"/>
        </w:rPr>
        <w:t xml:space="preserve"> were introduced </w:t>
      </w:r>
      <w:r w:rsidR="00295E5D" w:rsidRPr="00A2171C">
        <w:rPr>
          <w:rFonts w:eastAsia="Times New Roman" w:cs="Times New Roman"/>
          <w:szCs w:val="20"/>
          <w:lang w:val="en-US"/>
        </w:rPr>
        <w:t>into this index to account for</w:t>
      </w:r>
      <w:r w:rsidR="00A46867" w:rsidRPr="00A2171C">
        <w:rPr>
          <w:rFonts w:eastAsia="Times New Roman" w:cs="Times New Roman"/>
          <w:szCs w:val="20"/>
          <w:lang w:val="en-US"/>
        </w:rPr>
        <w:t xml:space="preserve"> the type of heating system, the fixed fire loads </w:t>
      </w:r>
      <w:r w:rsidR="00295E5D" w:rsidRPr="00A2171C">
        <w:rPr>
          <w:rFonts w:eastAsia="Times New Roman" w:cs="Times New Roman"/>
          <w:szCs w:val="20"/>
          <w:lang w:val="en-US"/>
        </w:rPr>
        <w:t>based on the</w:t>
      </w:r>
      <w:r w:rsidR="00A46867" w:rsidRPr="00A2171C">
        <w:rPr>
          <w:rFonts w:eastAsia="Times New Roman" w:cs="Times New Roman"/>
          <w:szCs w:val="20"/>
          <w:lang w:val="en-US"/>
        </w:rPr>
        <w:t xml:space="preserve"> structural typologies</w:t>
      </w:r>
      <w:r w:rsidR="00295E5D" w:rsidRPr="00A2171C">
        <w:rPr>
          <w:rFonts w:eastAsia="Times New Roman" w:cs="Times New Roman"/>
          <w:szCs w:val="20"/>
          <w:lang w:val="en-US"/>
        </w:rPr>
        <w:t>,</w:t>
      </w:r>
      <w:r w:rsidR="00A46867" w:rsidRPr="00A2171C">
        <w:rPr>
          <w:rFonts w:eastAsia="Times New Roman" w:cs="Times New Roman"/>
          <w:szCs w:val="20"/>
          <w:lang w:val="en-US"/>
        </w:rPr>
        <w:t xml:space="preserve"> and movable fire loads </w:t>
      </w:r>
      <w:r w:rsidR="00295E5D" w:rsidRPr="00A2171C">
        <w:rPr>
          <w:rFonts w:eastAsia="Times New Roman" w:cs="Times New Roman"/>
          <w:szCs w:val="20"/>
          <w:lang w:val="en-US"/>
        </w:rPr>
        <w:t xml:space="preserve">classified </w:t>
      </w:r>
      <w:r w:rsidR="00A46867" w:rsidRPr="00A2171C">
        <w:rPr>
          <w:rFonts w:eastAsia="Times New Roman" w:cs="Times New Roman"/>
          <w:szCs w:val="20"/>
          <w:lang w:val="en-US"/>
        </w:rPr>
        <w:t>according to the building use</w:t>
      </w:r>
      <w:r w:rsidR="00295E5D" w:rsidRPr="00A2171C">
        <w:rPr>
          <w:rFonts w:eastAsia="Times New Roman" w:cs="Times New Roman"/>
          <w:szCs w:val="20"/>
          <w:lang w:val="en-US"/>
        </w:rPr>
        <w:t>, respectively</w:t>
      </w:r>
      <w:r w:rsidR="00A46867" w:rsidRPr="00A2171C">
        <w:rPr>
          <w:rFonts w:eastAsia="Times New Roman" w:cs="Times New Roman"/>
          <w:szCs w:val="20"/>
          <w:lang w:val="en-US"/>
        </w:rPr>
        <w:t xml:space="preserve"> (</w:t>
      </w:r>
      <w:r w:rsidR="00217FF5" w:rsidRPr="00A2171C">
        <w:rPr>
          <w:rFonts w:eastAsia="Times New Roman" w:cs="Times New Roman"/>
          <w:szCs w:val="20"/>
          <w:lang w:val="en-US"/>
        </w:rPr>
        <w:fldChar w:fldCharType="begin"/>
      </w:r>
      <w:r w:rsidR="00217FF5" w:rsidRPr="00A2171C">
        <w:rPr>
          <w:rFonts w:eastAsia="Times New Roman" w:cs="Times New Roman"/>
          <w:szCs w:val="20"/>
          <w:lang w:val="en-US"/>
        </w:rPr>
        <w:instrText xml:space="preserve"> REF _Ref121155972 \h </w:instrText>
      </w:r>
      <w:r w:rsidR="00217FF5" w:rsidRPr="00A2171C">
        <w:rPr>
          <w:rFonts w:eastAsia="Times New Roman" w:cs="Times New Roman"/>
          <w:szCs w:val="20"/>
          <w:lang w:val="en-US"/>
        </w:rPr>
      </w:r>
      <w:r w:rsidR="00217FF5" w:rsidRPr="00A2171C">
        <w:rPr>
          <w:rFonts w:eastAsia="Times New Roman" w:cs="Times New Roman"/>
          <w:szCs w:val="20"/>
          <w:lang w:val="en-US"/>
        </w:rPr>
        <w:fldChar w:fldCharType="separate"/>
      </w:r>
      <w:r w:rsidR="00C20049" w:rsidRPr="00A2171C">
        <w:rPr>
          <w:lang w:val="en-US"/>
        </w:rPr>
        <w:t xml:space="preserve">Table </w:t>
      </w:r>
      <w:r w:rsidR="00C20049" w:rsidRPr="00A2171C">
        <w:rPr>
          <w:noProof/>
          <w:lang w:val="en-US"/>
        </w:rPr>
        <w:t>1</w:t>
      </w:r>
      <w:r w:rsidR="00217FF5" w:rsidRPr="00A2171C">
        <w:rPr>
          <w:rFonts w:eastAsia="Times New Roman" w:cs="Times New Roman"/>
          <w:szCs w:val="20"/>
          <w:lang w:val="en-US"/>
        </w:rPr>
        <w:fldChar w:fldCharType="end"/>
      </w:r>
      <w:r w:rsidR="00A46867" w:rsidRPr="00A2171C">
        <w:rPr>
          <w:rFonts w:eastAsia="Times New Roman" w:cs="Times New Roman"/>
          <w:szCs w:val="20"/>
          <w:lang w:val="en-US"/>
        </w:rPr>
        <w:t>).</w:t>
      </w:r>
    </w:p>
    <w:p w14:paraId="5C590E21" w14:textId="79FD2F10" w:rsidR="007347A1" w:rsidRPr="00A2171C" w:rsidRDefault="007347A1" w:rsidP="007347A1">
      <w:pPr>
        <w:pBdr>
          <w:top w:val="nil"/>
          <w:left w:val="nil"/>
          <w:bottom w:val="nil"/>
          <w:right w:val="nil"/>
          <w:between w:val="nil"/>
        </w:pBdr>
        <w:spacing w:before="240"/>
        <w:rPr>
          <w:rFonts w:eastAsia="Times New Roman" w:cs="Times New Roman"/>
          <w:szCs w:val="20"/>
          <w:lang w:val="en-US"/>
        </w:rPr>
      </w:pPr>
      <w:r w:rsidRPr="00A2171C">
        <w:rPr>
          <w:lang w:val="en-US"/>
        </w:rPr>
        <w:t xml:space="preserve">One of the constraints in the use of index-based risk assessment methodologies applied on a large urban scale is the large amount of data involved. Collecting information, analysing it and obtaining results for a large number of buildings can be a major challenge. To simplify the data interpretation, the FRI method assigns values to the identified phenomena related to the ignition, propagation, evacuation, and combat phase. The </w:t>
      </w:r>
      <w:r w:rsidRPr="00A2171C">
        <w:rPr>
          <w:lang w:val="en-US"/>
        </w:rPr>
        <w:lastRenderedPageBreak/>
        <w:t>values obtained are related to risk levels (low, medium, high, extreme) and processed through the GIS tool. This process allows for a simplified identification of the areas with the highest risk that require more attention from the authorities. However, the methodology also allows for detailed identification of each of the parameters that make up the sub-factors, e.g., identifying buildings that could be eligible for state support for electrical installation upgrades.</w:t>
      </w:r>
    </w:p>
    <w:p w14:paraId="7CF74743" w14:textId="592CB1C4" w:rsidR="00A46867" w:rsidRPr="00A2171C" w:rsidRDefault="00295E5D" w:rsidP="007347A1">
      <w:pPr>
        <w:rPr>
          <w:rFonts w:eastAsia="Times New Roman" w:cs="Times New Roman"/>
          <w:szCs w:val="20"/>
          <w:lang w:val="en-GB"/>
        </w:rPr>
      </w:pPr>
      <w:r w:rsidRPr="00A2171C">
        <w:rPr>
          <w:rFonts w:eastAsia="Times New Roman" w:cs="Times New Roman"/>
          <w:szCs w:val="20"/>
          <w:lang w:val="en-US"/>
        </w:rPr>
        <w:t>It is first concluded that the f</w:t>
      </w:r>
      <w:r w:rsidR="00A46867" w:rsidRPr="00A2171C">
        <w:rPr>
          <w:rFonts w:eastAsia="Times New Roman" w:cs="Times New Roman"/>
          <w:szCs w:val="20"/>
          <w:lang w:val="en-US"/>
        </w:rPr>
        <w:t xml:space="preserve">ire risk index results are </w:t>
      </w:r>
      <w:r w:rsidRPr="00A2171C">
        <w:rPr>
          <w:rFonts w:eastAsia="Times New Roman" w:cs="Times New Roman"/>
          <w:szCs w:val="20"/>
          <w:lang w:val="en-US"/>
        </w:rPr>
        <w:t xml:space="preserve">well </w:t>
      </w:r>
      <w:r w:rsidR="00A46867" w:rsidRPr="00A2171C">
        <w:rPr>
          <w:rFonts w:eastAsia="Times New Roman" w:cs="Times New Roman"/>
          <w:szCs w:val="20"/>
          <w:lang w:val="en-US"/>
        </w:rPr>
        <w:t>correlated with the data of historical fires (from 2016 to 2021)</w:t>
      </w:r>
      <w:r w:rsidRPr="00A2171C">
        <w:rPr>
          <w:rFonts w:eastAsia="Times New Roman" w:cs="Times New Roman"/>
          <w:szCs w:val="20"/>
          <w:lang w:val="en-US"/>
        </w:rPr>
        <w:t>, and hence,</w:t>
      </w:r>
      <w:r w:rsidR="00A46867" w:rsidRPr="00A2171C">
        <w:rPr>
          <w:rFonts w:eastAsia="Times New Roman" w:cs="Times New Roman"/>
          <w:szCs w:val="20"/>
          <w:lang w:val="en-US"/>
        </w:rPr>
        <w:t xml:space="preserve"> </w:t>
      </w:r>
      <w:r w:rsidR="00597136" w:rsidRPr="00A2171C">
        <w:rPr>
          <w:rFonts w:eastAsia="Times New Roman" w:cs="Times New Roman"/>
          <w:szCs w:val="20"/>
          <w:lang w:val="en-US"/>
        </w:rPr>
        <w:t xml:space="preserve">the index </w:t>
      </w:r>
      <w:r w:rsidRPr="00A2171C">
        <w:rPr>
          <w:rFonts w:eastAsia="Times New Roman" w:cs="Times New Roman"/>
          <w:szCs w:val="20"/>
          <w:lang w:val="en-US"/>
        </w:rPr>
        <w:t>has the ability</w:t>
      </w:r>
      <w:r w:rsidR="00A46867" w:rsidRPr="00A2171C">
        <w:rPr>
          <w:rFonts w:eastAsia="Times New Roman" w:cs="Times New Roman"/>
          <w:szCs w:val="20"/>
          <w:lang w:val="en-US"/>
        </w:rPr>
        <w:t xml:space="preserve"> to predict </w:t>
      </w:r>
      <w:r w:rsidRPr="00A2171C">
        <w:rPr>
          <w:rFonts w:eastAsia="Times New Roman" w:cs="Times New Roman"/>
          <w:szCs w:val="20"/>
          <w:lang w:val="en-US"/>
        </w:rPr>
        <w:t xml:space="preserve">potential cases of </w:t>
      </w:r>
      <w:r w:rsidR="00597136" w:rsidRPr="00A2171C">
        <w:rPr>
          <w:rFonts w:eastAsia="Times New Roman" w:cs="Times New Roman"/>
          <w:szCs w:val="20"/>
          <w:lang w:val="en-US"/>
        </w:rPr>
        <w:t xml:space="preserve">larger </w:t>
      </w:r>
      <w:r w:rsidRPr="00A2171C">
        <w:rPr>
          <w:rFonts w:eastAsia="Times New Roman" w:cs="Times New Roman"/>
          <w:szCs w:val="20"/>
          <w:lang w:val="en-US"/>
        </w:rPr>
        <w:t xml:space="preserve">fire </w:t>
      </w:r>
      <w:r w:rsidR="00A46867" w:rsidRPr="00A2171C">
        <w:rPr>
          <w:rFonts w:eastAsia="Times New Roman" w:cs="Times New Roman"/>
          <w:szCs w:val="20"/>
          <w:lang w:val="en-US"/>
        </w:rPr>
        <w:t xml:space="preserve">risk. </w:t>
      </w:r>
      <w:r w:rsidR="00597136" w:rsidRPr="00A2171C">
        <w:rPr>
          <w:rFonts w:eastAsia="Times New Roman" w:cs="Times New Roman"/>
          <w:szCs w:val="20"/>
          <w:lang w:val="en-US"/>
        </w:rPr>
        <w:t>T</w:t>
      </w:r>
      <w:r w:rsidR="00A46867" w:rsidRPr="00A2171C">
        <w:rPr>
          <w:rFonts w:eastAsia="Times New Roman" w:cs="Times New Roman"/>
          <w:szCs w:val="20"/>
          <w:lang w:val="en-US"/>
        </w:rPr>
        <w:t xml:space="preserve">he risk level for each fire </w:t>
      </w:r>
      <w:r w:rsidR="00597136" w:rsidRPr="00A2171C">
        <w:rPr>
          <w:rFonts w:eastAsia="Times New Roman" w:cs="Times New Roman"/>
          <w:szCs w:val="20"/>
          <w:lang w:val="en-US"/>
        </w:rPr>
        <w:t xml:space="preserve">development </w:t>
      </w:r>
      <w:r w:rsidR="00A46867" w:rsidRPr="00A2171C">
        <w:rPr>
          <w:rFonts w:eastAsia="Times New Roman" w:cs="Times New Roman"/>
          <w:szCs w:val="20"/>
          <w:lang w:val="en-US"/>
        </w:rPr>
        <w:t xml:space="preserve">stage is linked with urban and architectural configurations in order to identify the most vulnerable </w:t>
      </w:r>
      <w:r w:rsidR="00597136" w:rsidRPr="00A2171C">
        <w:rPr>
          <w:rFonts w:eastAsia="Times New Roman" w:cs="Times New Roman"/>
          <w:szCs w:val="20"/>
          <w:lang w:val="en-US"/>
        </w:rPr>
        <w:t>cases in the neighborhood</w:t>
      </w:r>
      <w:r w:rsidR="00A46867" w:rsidRPr="00A2171C">
        <w:rPr>
          <w:rFonts w:eastAsia="Times New Roman" w:cs="Times New Roman"/>
          <w:szCs w:val="20"/>
          <w:lang w:val="en-US"/>
        </w:rPr>
        <w:t xml:space="preserve">. </w:t>
      </w:r>
      <w:r w:rsidR="00597136" w:rsidRPr="00A2171C">
        <w:rPr>
          <w:rFonts w:eastAsia="Times New Roman" w:cs="Times New Roman"/>
          <w:szCs w:val="20"/>
          <w:lang w:val="en-US"/>
        </w:rPr>
        <w:t xml:space="preserve">The distribution of FRI </w:t>
      </w:r>
      <w:r w:rsidR="00597136" w:rsidRPr="00A2171C">
        <w:rPr>
          <w:rFonts w:eastAsia="Times New Roman" w:cs="Times New Roman"/>
          <w:szCs w:val="20"/>
          <w:lang w:val="en-GB"/>
        </w:rPr>
        <w:t>values show that</w:t>
      </w:r>
      <w:r w:rsidR="00A46867" w:rsidRPr="00A2171C">
        <w:rPr>
          <w:rFonts w:eastAsia="Times New Roman" w:cs="Times New Roman"/>
          <w:szCs w:val="20"/>
          <w:lang w:val="en-GB"/>
        </w:rPr>
        <w:t xml:space="preserve"> </w:t>
      </w:r>
      <w:r w:rsidR="00597136" w:rsidRPr="00A2171C">
        <w:rPr>
          <w:rFonts w:eastAsia="Times New Roman" w:cs="Times New Roman"/>
          <w:szCs w:val="20"/>
          <w:lang w:val="en-GB"/>
        </w:rPr>
        <w:t xml:space="preserve">the levels of fire risk are well beyond what is acceptable: </w:t>
      </w:r>
      <w:r w:rsidR="00A46867" w:rsidRPr="00A2171C">
        <w:rPr>
          <w:rFonts w:eastAsia="Times New Roman" w:cs="Times New Roman"/>
          <w:szCs w:val="20"/>
          <w:lang w:val="en-GB"/>
        </w:rPr>
        <w:t xml:space="preserve">39% of the building stock (173) presents a moderate fire risk, while </w:t>
      </w:r>
      <w:r w:rsidR="00597136" w:rsidRPr="00A2171C">
        <w:rPr>
          <w:rFonts w:eastAsia="Times New Roman" w:cs="Times New Roman"/>
          <w:szCs w:val="20"/>
          <w:lang w:val="en-GB"/>
        </w:rPr>
        <w:t xml:space="preserve">the rest </w:t>
      </w:r>
      <w:r w:rsidR="00A46867" w:rsidRPr="00A2171C">
        <w:rPr>
          <w:rFonts w:eastAsia="Times New Roman" w:cs="Times New Roman"/>
          <w:szCs w:val="20"/>
          <w:lang w:val="en-GB"/>
        </w:rPr>
        <w:t xml:space="preserve">61% (270) has high levels of risk. </w:t>
      </w:r>
      <w:r w:rsidR="00597136" w:rsidRPr="00A2171C">
        <w:rPr>
          <w:rFonts w:eastAsia="Times New Roman" w:cs="Times New Roman"/>
          <w:szCs w:val="20"/>
          <w:lang w:val="en-GB"/>
        </w:rPr>
        <w:t>In conclusion</w:t>
      </w:r>
      <w:r w:rsidR="00A46867" w:rsidRPr="00A2171C">
        <w:rPr>
          <w:rFonts w:eastAsia="Times New Roman" w:cs="Times New Roman"/>
          <w:szCs w:val="20"/>
          <w:lang w:val="en-GB"/>
        </w:rPr>
        <w:t xml:space="preserve">, there are no buildings that comply with the requirements of the Chilean fire safety regulations, which </w:t>
      </w:r>
      <w:r w:rsidR="00597136" w:rsidRPr="00A2171C">
        <w:rPr>
          <w:rFonts w:eastAsia="Times New Roman" w:cs="Times New Roman"/>
          <w:szCs w:val="20"/>
          <w:lang w:val="en-GB"/>
        </w:rPr>
        <w:t xml:space="preserve">implies that the </w:t>
      </w:r>
      <w:r w:rsidR="00A46867" w:rsidRPr="00A2171C">
        <w:rPr>
          <w:rFonts w:eastAsia="Times New Roman" w:cs="Times New Roman"/>
          <w:szCs w:val="20"/>
          <w:lang w:val="en-GB"/>
        </w:rPr>
        <w:t>study area is currently ‘‘unsafe’’</w:t>
      </w:r>
      <w:r w:rsidR="00597136" w:rsidRPr="00A2171C">
        <w:rPr>
          <w:rFonts w:eastAsia="Times New Roman" w:cs="Times New Roman"/>
          <w:szCs w:val="20"/>
          <w:lang w:val="en-GB"/>
        </w:rPr>
        <w:t xml:space="preserve"> and needs to be intervened</w:t>
      </w:r>
      <w:r w:rsidR="00A46867" w:rsidRPr="00A2171C">
        <w:rPr>
          <w:rFonts w:eastAsia="Times New Roman" w:cs="Times New Roman"/>
          <w:szCs w:val="20"/>
          <w:lang w:val="en-GB"/>
        </w:rPr>
        <w:t xml:space="preserve">. </w:t>
      </w:r>
    </w:p>
    <w:p w14:paraId="25837A78" w14:textId="24C6FFE9" w:rsidR="00F141E3" w:rsidRPr="00A2171C" w:rsidRDefault="00597136" w:rsidP="00A46867">
      <w:pPr>
        <w:rPr>
          <w:rFonts w:eastAsia="Times New Roman" w:cs="Times New Roman"/>
          <w:szCs w:val="20"/>
          <w:lang w:val="en-GB"/>
        </w:rPr>
      </w:pPr>
      <w:r w:rsidRPr="00A2171C">
        <w:rPr>
          <w:rFonts w:eastAsia="Times New Roman" w:cs="Times New Roman"/>
          <w:szCs w:val="20"/>
          <w:lang w:val="en-GB"/>
        </w:rPr>
        <w:t>It is also the case that</w:t>
      </w:r>
      <w:r w:rsidR="00A46867" w:rsidRPr="00A2171C">
        <w:rPr>
          <w:rFonts w:eastAsia="Times New Roman" w:cs="Times New Roman"/>
          <w:szCs w:val="20"/>
          <w:lang w:val="en-GB"/>
        </w:rPr>
        <w:t xml:space="preserve"> </w:t>
      </w:r>
      <w:r w:rsidR="00A46867" w:rsidRPr="00A2171C">
        <w:rPr>
          <w:rFonts w:eastAsia="Times New Roman" w:cs="Times New Roman"/>
          <w:i/>
          <w:szCs w:val="20"/>
          <w:lang w:val="en-GB"/>
        </w:rPr>
        <w:t>Cités</w:t>
      </w:r>
      <w:r w:rsidR="007E5A49" w:rsidRPr="00A2171C">
        <w:rPr>
          <w:rFonts w:eastAsia="Times New Roman" w:cs="Times New Roman"/>
          <w:szCs w:val="20"/>
          <w:lang w:val="en-GB"/>
        </w:rPr>
        <w:t xml:space="preserve"> with</w:t>
      </w:r>
      <w:r w:rsidR="00A46867" w:rsidRPr="00A2171C">
        <w:rPr>
          <w:rFonts w:eastAsia="Times New Roman" w:cs="Times New Roman"/>
          <w:szCs w:val="20"/>
          <w:lang w:val="en-GB"/>
        </w:rPr>
        <w:t xml:space="preserve"> CL&amp;Va</w:t>
      </w:r>
      <w:r w:rsidR="007E5A49" w:rsidRPr="00A2171C">
        <w:rPr>
          <w:rFonts w:eastAsia="Times New Roman" w:cs="Times New Roman"/>
          <w:szCs w:val="20"/>
          <w:lang w:val="en-GB"/>
        </w:rPr>
        <w:t xml:space="preserve"> architectural style, </w:t>
      </w:r>
      <w:r w:rsidR="00A46867" w:rsidRPr="00A2171C">
        <w:rPr>
          <w:rFonts w:eastAsia="Times New Roman" w:cs="Times New Roman"/>
          <w:szCs w:val="20"/>
          <w:lang w:val="en-GB"/>
        </w:rPr>
        <w:t>2-storey and commercial lots</w:t>
      </w:r>
      <w:r w:rsidR="007E5A49" w:rsidRPr="00A2171C">
        <w:rPr>
          <w:rFonts w:eastAsia="Times New Roman" w:cs="Times New Roman"/>
          <w:szCs w:val="20"/>
          <w:lang w:val="en-GB"/>
        </w:rPr>
        <w:t>,</w:t>
      </w:r>
      <w:r w:rsidR="00A46867" w:rsidRPr="00A2171C">
        <w:rPr>
          <w:rFonts w:eastAsia="Times New Roman" w:cs="Times New Roman"/>
          <w:szCs w:val="20"/>
          <w:lang w:val="en-GB"/>
        </w:rPr>
        <w:t xml:space="preserve"> have the highest fire risk index (FRI = 1.4, </w:t>
      </w:r>
      <w:r w:rsidR="007E5A49" w:rsidRPr="00A2171C">
        <w:rPr>
          <w:rFonts w:eastAsia="Times New Roman" w:cs="Times New Roman"/>
          <w:szCs w:val="20"/>
          <w:lang w:val="en-GB"/>
        </w:rPr>
        <w:t>which is</w:t>
      </w:r>
      <w:r w:rsidR="00A46867" w:rsidRPr="00A2171C">
        <w:rPr>
          <w:rFonts w:eastAsia="Times New Roman" w:cs="Times New Roman"/>
          <w:szCs w:val="20"/>
          <w:lang w:val="en-GB"/>
        </w:rPr>
        <w:t xml:space="preserve"> </w:t>
      </w:r>
      <w:r w:rsidR="00A46867" w:rsidRPr="00A2171C">
        <w:rPr>
          <w:rFonts w:cs="Times New Roman"/>
          <w:lang w:val="en-US"/>
        </w:rPr>
        <w:t>unacceptable)</w:t>
      </w:r>
      <w:r w:rsidR="00A46867" w:rsidRPr="00A2171C">
        <w:rPr>
          <w:rFonts w:eastAsia="Times New Roman" w:cs="Times New Roman"/>
          <w:szCs w:val="20"/>
          <w:lang w:val="en-GB"/>
        </w:rPr>
        <w:t xml:space="preserve"> with </w:t>
      </w:r>
      <w:r w:rsidR="007E5A49" w:rsidRPr="00A2171C">
        <w:rPr>
          <w:rFonts w:eastAsia="Times New Roman" w:cs="Times New Roman"/>
          <w:szCs w:val="20"/>
          <w:lang w:val="en-GB"/>
        </w:rPr>
        <w:t xml:space="preserve">a </w:t>
      </w:r>
      <w:r w:rsidR="00A46867" w:rsidRPr="00A2171C">
        <w:rPr>
          <w:rFonts w:eastAsia="Times New Roman" w:cs="Times New Roman"/>
          <w:szCs w:val="20"/>
          <w:lang w:val="en-GB"/>
        </w:rPr>
        <w:t>high</w:t>
      </w:r>
      <w:r w:rsidR="007E5A49" w:rsidRPr="00A2171C">
        <w:rPr>
          <w:rFonts w:eastAsia="Times New Roman" w:cs="Times New Roman"/>
          <w:szCs w:val="20"/>
          <w:lang w:val="en-GB"/>
        </w:rPr>
        <w:t>-level of</w:t>
      </w:r>
      <w:r w:rsidR="00A46867" w:rsidRPr="00A2171C">
        <w:rPr>
          <w:rFonts w:eastAsia="Times New Roman" w:cs="Times New Roman"/>
          <w:szCs w:val="20"/>
          <w:lang w:val="en-GB"/>
        </w:rPr>
        <w:t xml:space="preserve"> propagation and evacuation risk (</w:t>
      </w:r>
      <m:oMath>
        <m:sSub>
          <m:sSubPr>
            <m:ctrlPr>
              <w:rPr>
                <w:rFonts w:ascii="Cambria Math" w:eastAsia="Times New Roman" w:hAnsi="Cambria Math" w:cs="Times New Roman"/>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w:rPr>
            <w:rFonts w:ascii="Cambria Math" w:eastAsia="Times New Roman" w:hAnsi="Cambria Math" w:cs="Times New Roman"/>
            <w:szCs w:val="20"/>
            <w:lang w:val="en-GB"/>
          </w:rPr>
          <m:t>=1.8</m:t>
        </m:r>
      </m:oMath>
      <w:r w:rsidR="00A46867" w:rsidRPr="00A2171C">
        <w:rPr>
          <w:rFonts w:eastAsia="Times New Roman" w:cs="Times New Roman"/>
          <w:szCs w:val="20"/>
          <w:lang w:val="en-GB"/>
        </w:rPr>
        <w:t xml:space="preserve"> and 1.4</w:t>
      </w:r>
      <w:r w:rsidR="00F141E3" w:rsidRPr="00A2171C">
        <w:rPr>
          <w:rFonts w:eastAsia="Times New Roman" w:cs="Times New Roman"/>
          <w:szCs w:val="20"/>
          <w:lang w:val="en-GB"/>
        </w:rPr>
        <w:t xml:space="preserve"> for the two-story and commercial lots,</w:t>
      </w:r>
      <w:r w:rsidR="00A46867" w:rsidRPr="00A2171C">
        <w:rPr>
          <w:rFonts w:eastAsia="Times New Roman" w:cs="Times New Roman"/>
          <w:szCs w:val="20"/>
          <w:lang w:val="en-GB"/>
        </w:rPr>
        <w:t xml:space="preserve"> respectively).</w:t>
      </w:r>
      <w:r w:rsidR="00A46867" w:rsidRPr="00A2171C">
        <w:rPr>
          <w:rFonts w:eastAsia="Times New Roman" w:cs="Times New Roman"/>
          <w:i/>
          <w:szCs w:val="20"/>
          <w:lang w:val="en-GB"/>
        </w:rPr>
        <w:t xml:space="preserve"> Cités</w:t>
      </w:r>
      <w:r w:rsidR="00A46867" w:rsidRPr="00A2171C">
        <w:rPr>
          <w:rFonts w:eastAsia="Times New Roman" w:cs="Times New Roman"/>
          <w:szCs w:val="20"/>
          <w:lang w:val="en-GB"/>
        </w:rPr>
        <w:t xml:space="preserve"> also present high levels of </w:t>
      </w:r>
      <w:r w:rsidR="00F141E3" w:rsidRPr="00A2171C">
        <w:rPr>
          <w:rFonts w:eastAsia="Times New Roman" w:cs="Times New Roman"/>
          <w:szCs w:val="20"/>
          <w:lang w:val="en-GB"/>
        </w:rPr>
        <w:t xml:space="preserve">risk in fire </w:t>
      </w:r>
      <w:r w:rsidR="00A46867" w:rsidRPr="00A2171C">
        <w:rPr>
          <w:rFonts w:eastAsia="Times New Roman" w:cs="Times New Roman"/>
          <w:szCs w:val="20"/>
          <w:lang w:val="en-GB"/>
        </w:rPr>
        <w:t>combat</w:t>
      </w:r>
      <w:r w:rsidR="00F141E3" w:rsidRPr="00A2171C">
        <w:rPr>
          <w:rFonts w:eastAsia="Times New Roman" w:cs="Times New Roman"/>
          <w:szCs w:val="20"/>
          <w:lang w:val="en-GB"/>
        </w:rPr>
        <w:t xml:space="preserve"> risk</w:t>
      </w:r>
      <w:r w:rsidR="00A46867" w:rsidRPr="00A2171C">
        <w:rPr>
          <w:rFonts w:eastAsia="Times New Roman" w:cs="Times New Roman"/>
          <w:szCs w:val="20"/>
          <w:lang w:val="en-GB"/>
        </w:rPr>
        <w:t xml:space="preserve">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C</m:t>
            </m:r>
          </m:sub>
        </m:sSub>
        <m:r>
          <w:rPr>
            <w:rFonts w:ascii="Cambria Math" w:eastAsia="Times New Roman" w:hAnsi="Cambria Math" w:cs="Times New Roman"/>
            <w:szCs w:val="20"/>
            <w:vertAlign w:val="subscript"/>
            <w:lang w:val="en-GB"/>
          </w:rPr>
          <m:t xml:space="preserve"> </m:t>
        </m:r>
        <m:r>
          <w:rPr>
            <w:rFonts w:ascii="Cambria Math" w:eastAsia="Times New Roman" w:hAnsi="Cambria Math" w:cs="Times New Roman"/>
            <w:szCs w:val="20"/>
            <w:lang w:val="en-GB"/>
          </w:rPr>
          <m:t>= 1.4</m:t>
        </m:r>
      </m:oMath>
      <w:r w:rsidR="00A46867" w:rsidRPr="00A2171C">
        <w:rPr>
          <w:rFonts w:eastAsia="Times New Roman" w:cs="Times New Roman"/>
          <w:szCs w:val="20"/>
          <w:lang w:val="en-GB"/>
        </w:rPr>
        <w:t xml:space="preserve">. Only commercial buildings exhibit </w:t>
      </w:r>
      <w:r w:rsidR="00F141E3" w:rsidRPr="00A2171C">
        <w:rPr>
          <w:rFonts w:eastAsia="Times New Roman" w:cs="Times New Roman"/>
          <w:szCs w:val="20"/>
          <w:lang w:val="en-GB"/>
        </w:rPr>
        <w:t xml:space="preserve">simultaneously </w:t>
      </w:r>
      <w:r w:rsidR="00A46867" w:rsidRPr="00A2171C">
        <w:rPr>
          <w:rFonts w:eastAsia="Times New Roman" w:cs="Times New Roman"/>
          <w:szCs w:val="20"/>
          <w:lang w:val="en-GB"/>
        </w:rPr>
        <w:t>high</w:t>
      </w:r>
      <w:r w:rsidR="00F141E3" w:rsidRPr="00A2171C">
        <w:rPr>
          <w:rFonts w:eastAsia="Times New Roman" w:cs="Times New Roman"/>
          <w:szCs w:val="20"/>
          <w:lang w:val="en-GB"/>
        </w:rPr>
        <w:t>-</w:t>
      </w:r>
      <w:r w:rsidR="00A46867" w:rsidRPr="00A2171C">
        <w:rPr>
          <w:rFonts w:eastAsia="Times New Roman" w:cs="Times New Roman"/>
          <w:szCs w:val="20"/>
          <w:lang w:val="en-GB"/>
        </w:rPr>
        <w:t xml:space="preserve">ignition and combat risk levels, </w:t>
      </w:r>
      <m:oMath>
        <m:sSub>
          <m:sSubPr>
            <m:ctrlPr>
              <w:rPr>
                <w:rFonts w:ascii="Cambria Math" w:eastAsia="Times New Roman" w:hAnsi="Cambria Math" w:cs="Times New Roman"/>
                <w:i/>
                <w:iCs/>
                <w:szCs w:val="20"/>
                <w:vertAlign w:val="subscript"/>
                <w:lang w:val="en-GB"/>
              </w:rPr>
            </m:ctrlPr>
          </m:sSubPr>
          <m:e>
            <m:r>
              <w:rPr>
                <w:rFonts w:ascii="Cambria Math" w:eastAsia="Times New Roman" w:hAnsi="Cambria Math" w:cs="Times New Roman"/>
                <w:szCs w:val="20"/>
                <w:vertAlign w:val="subscript"/>
                <w:lang w:val="en-GB"/>
              </w:rPr>
              <m:t>SF</m:t>
            </m:r>
          </m:e>
          <m:sub>
            <m:r>
              <w:rPr>
                <w:rFonts w:ascii="Cambria Math" w:eastAsia="Times New Roman" w:hAnsi="Cambria Math" w:cs="Times New Roman"/>
                <w:szCs w:val="20"/>
                <w:vertAlign w:val="subscript"/>
                <w:lang w:val="en-GB"/>
              </w:rPr>
              <m:t>I</m:t>
            </m:r>
          </m:sub>
        </m:sSub>
        <m:r>
          <w:rPr>
            <w:rFonts w:ascii="Cambria Math" w:eastAsia="Times New Roman" w:hAnsi="Cambria Math" w:cs="Times New Roman"/>
            <w:szCs w:val="20"/>
            <w:lang w:val="en-GB"/>
          </w:rPr>
          <m:t xml:space="preserve"> =1.66</m:t>
        </m:r>
      </m:oMath>
      <w:r w:rsidR="00A46867" w:rsidRPr="00A2171C">
        <w:rPr>
          <w:rFonts w:eastAsia="Times New Roman" w:cs="Times New Roman"/>
          <w:szCs w:val="20"/>
          <w:lang w:val="en-GB"/>
        </w:rPr>
        <w:t xml:space="preserve"> and </w:t>
      </w: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C</m:t>
            </m:r>
          </m:sub>
        </m:sSub>
        <m:r>
          <w:rPr>
            <w:rFonts w:ascii="Cambria Math" w:eastAsia="Times New Roman" w:hAnsi="Cambria Math" w:cs="Times New Roman"/>
            <w:szCs w:val="20"/>
            <w:vertAlign w:val="subscript"/>
            <w:lang w:val="en-GB"/>
          </w:rPr>
          <m:t xml:space="preserve"> </m:t>
        </m:r>
        <m:r>
          <w:rPr>
            <w:rFonts w:ascii="Cambria Math" w:eastAsia="Times New Roman" w:hAnsi="Cambria Math" w:cs="Times New Roman"/>
            <w:szCs w:val="20"/>
            <w:lang w:val="en-GB"/>
          </w:rPr>
          <m:t>= 1.6</m:t>
        </m:r>
      </m:oMath>
      <w:r w:rsidR="00A46867" w:rsidRPr="00A2171C">
        <w:rPr>
          <w:rFonts w:eastAsia="Times New Roman" w:cs="Times New Roman"/>
          <w:szCs w:val="20"/>
          <w:lang w:val="en-GB"/>
        </w:rPr>
        <w:t>, respectively. Crowded and empty lots have a high propagation risk level (</w:t>
      </w:r>
      <m:oMath>
        <m:sSub>
          <m:sSubPr>
            <m:ctrlPr>
              <w:rPr>
                <w:rFonts w:ascii="Cambria Math" w:eastAsia="Times New Roman" w:hAnsi="Cambria Math" w:cs="Times New Roman"/>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m:rPr>
            <m:sty m:val="p"/>
          </m:rPr>
          <w:rPr>
            <w:rFonts w:ascii="Cambria Math" w:eastAsia="Times New Roman" w:hAnsi="Cambria Math" w:cs="Times New Roman"/>
            <w:szCs w:val="20"/>
            <w:lang w:val="en-GB"/>
          </w:rPr>
          <m:t>=1.8</m:t>
        </m:r>
      </m:oMath>
      <w:r w:rsidR="00A46867" w:rsidRPr="00A2171C">
        <w:rPr>
          <w:rFonts w:eastAsia="Times New Roman" w:cs="Times New Roman"/>
          <w:szCs w:val="20"/>
          <w:lang w:val="en-GB"/>
        </w:rPr>
        <w:t>), and crowded buildings also have high</w:t>
      </w:r>
      <w:r w:rsidR="00F141E3" w:rsidRPr="00A2171C">
        <w:rPr>
          <w:rFonts w:eastAsia="Times New Roman" w:cs="Times New Roman"/>
          <w:szCs w:val="20"/>
          <w:lang w:val="en-GB"/>
        </w:rPr>
        <w:t>er</w:t>
      </w:r>
      <w:r w:rsidR="00A46867" w:rsidRPr="00A2171C">
        <w:rPr>
          <w:rFonts w:eastAsia="Times New Roman" w:cs="Times New Roman"/>
          <w:szCs w:val="20"/>
          <w:lang w:val="en-GB"/>
        </w:rPr>
        <w:t xml:space="preserve"> levels of evacuation risk. </w:t>
      </w:r>
    </w:p>
    <w:p w14:paraId="24AE31F6" w14:textId="2FE597C1" w:rsidR="00A46867" w:rsidRPr="00A2171C" w:rsidRDefault="00F141E3" w:rsidP="008600AE">
      <w:pPr>
        <w:rPr>
          <w:rFonts w:eastAsia="Times New Roman" w:cs="Times New Roman"/>
          <w:szCs w:val="20"/>
          <w:lang w:val="en-GB"/>
        </w:rPr>
      </w:pPr>
      <w:r w:rsidRPr="00A2171C">
        <w:rPr>
          <w:rFonts w:eastAsia="Times New Roman" w:cs="Times New Roman"/>
          <w:szCs w:val="20"/>
          <w:lang w:val="en-GB"/>
        </w:rPr>
        <w:t>A 10% of the analysed structures present high-ignition</w:t>
      </w:r>
      <w:r w:rsidR="00A46867" w:rsidRPr="00A2171C">
        <w:rPr>
          <w:rFonts w:eastAsia="Times New Roman" w:cs="Times New Roman"/>
          <w:szCs w:val="20"/>
          <w:lang w:val="en-GB"/>
        </w:rPr>
        <w:t xml:space="preserve"> risk, </w:t>
      </w:r>
      <w:r w:rsidRPr="00A2171C">
        <w:rPr>
          <w:rFonts w:eastAsia="Times New Roman" w:cs="Times New Roman"/>
          <w:szCs w:val="20"/>
          <w:lang w:val="en-GB"/>
        </w:rPr>
        <w:t xml:space="preserve">which is </w:t>
      </w:r>
      <w:r w:rsidR="00A46867" w:rsidRPr="00A2171C">
        <w:rPr>
          <w:rFonts w:eastAsia="Times New Roman" w:cs="Times New Roman"/>
          <w:szCs w:val="20"/>
          <w:lang w:val="en-GB"/>
        </w:rPr>
        <w:t xml:space="preserve">unacceptable </w:t>
      </w:r>
      <w:r w:rsidRPr="00A2171C">
        <w:rPr>
          <w:rFonts w:eastAsia="Times New Roman" w:cs="Times New Roman"/>
          <w:szCs w:val="20"/>
          <w:lang w:val="en-GB"/>
        </w:rPr>
        <w:t>and</w:t>
      </w:r>
      <w:r w:rsidR="00A46867" w:rsidRPr="00A2171C">
        <w:rPr>
          <w:rFonts w:eastAsia="Times New Roman" w:cs="Times New Roman"/>
          <w:szCs w:val="20"/>
          <w:lang w:val="en-GB"/>
        </w:rPr>
        <w:t xml:space="preserve"> should be reduced or mitigated as soon as possible, while 90% </w:t>
      </w:r>
      <w:r w:rsidR="00CF4A4D" w:rsidRPr="00A2171C">
        <w:rPr>
          <w:rFonts w:eastAsia="Times New Roman" w:cs="Times New Roman"/>
          <w:szCs w:val="20"/>
          <w:lang w:val="en-GB"/>
        </w:rPr>
        <w:t xml:space="preserve">have </w:t>
      </w:r>
      <w:r w:rsidR="00A46867" w:rsidRPr="00A2171C">
        <w:rPr>
          <w:rFonts w:eastAsia="Times New Roman" w:cs="Times New Roman"/>
          <w:szCs w:val="20"/>
          <w:lang w:val="en-GB"/>
        </w:rPr>
        <w:t>low to moderate risk level</w:t>
      </w:r>
      <w:r w:rsidR="00CF4A4D" w:rsidRPr="00A2171C">
        <w:rPr>
          <w:rFonts w:eastAsia="Times New Roman" w:cs="Times New Roman"/>
          <w:szCs w:val="20"/>
          <w:lang w:val="en-GB"/>
        </w:rPr>
        <w:t>s</w:t>
      </w:r>
      <w:r w:rsidR="00A46867" w:rsidRPr="00A2171C">
        <w:rPr>
          <w:rFonts w:eastAsia="Times New Roman" w:cs="Times New Roman"/>
          <w:szCs w:val="20"/>
          <w:lang w:val="en-GB"/>
        </w:rPr>
        <w:t>. Several vulnerabilities were identified as contributors for increasing fire ignition probability,</w:t>
      </w:r>
      <w:r w:rsidR="00CF4A4D" w:rsidRPr="00A2171C">
        <w:rPr>
          <w:rFonts w:eastAsia="Times New Roman" w:cs="Times New Roman"/>
          <w:szCs w:val="20"/>
          <w:lang w:val="en-GB"/>
        </w:rPr>
        <w:t xml:space="preserve"> such as</w:t>
      </w:r>
      <w:r w:rsidR="00A46867" w:rsidRPr="00A2171C">
        <w:rPr>
          <w:rFonts w:eastAsia="Times New Roman" w:cs="Times New Roman"/>
          <w:szCs w:val="20"/>
          <w:lang w:val="en-GB"/>
        </w:rPr>
        <w:t xml:space="preserve"> </w:t>
      </w:r>
      <w:r w:rsidR="00CF4A4D" w:rsidRPr="00A2171C">
        <w:rPr>
          <w:rFonts w:eastAsia="Times New Roman" w:cs="Times New Roman"/>
          <w:szCs w:val="20"/>
          <w:lang w:val="en-GB"/>
        </w:rPr>
        <w:t xml:space="preserve">the </w:t>
      </w:r>
      <w:r w:rsidR="00A46867" w:rsidRPr="00A2171C">
        <w:rPr>
          <w:rFonts w:eastAsia="Times New Roman" w:cs="Times New Roman"/>
          <w:szCs w:val="20"/>
          <w:lang w:val="en-GB"/>
        </w:rPr>
        <w:t xml:space="preserve">poor conservation state of the buildings, </w:t>
      </w:r>
      <w:r w:rsidR="00CF4A4D" w:rsidRPr="00A2171C">
        <w:rPr>
          <w:rFonts w:eastAsia="Times New Roman" w:cs="Times New Roman"/>
          <w:szCs w:val="20"/>
          <w:lang w:val="en-GB"/>
        </w:rPr>
        <w:t xml:space="preserve">the </w:t>
      </w:r>
      <w:r w:rsidR="00A46867" w:rsidRPr="00A2171C">
        <w:rPr>
          <w:rFonts w:eastAsia="Times New Roman" w:cs="Times New Roman"/>
          <w:szCs w:val="20"/>
          <w:lang w:val="en-GB"/>
        </w:rPr>
        <w:t xml:space="preserve">existence of old and overloaded electrical installations with </w:t>
      </w:r>
      <w:r w:rsidR="00CF4A4D" w:rsidRPr="00A2171C">
        <w:rPr>
          <w:rFonts w:eastAsia="Times New Roman" w:cs="Times New Roman"/>
          <w:szCs w:val="20"/>
          <w:lang w:val="en-GB"/>
        </w:rPr>
        <w:t>poor</w:t>
      </w:r>
      <w:r w:rsidR="00A46867" w:rsidRPr="00A2171C">
        <w:rPr>
          <w:rFonts w:eastAsia="Times New Roman" w:cs="Times New Roman"/>
          <w:szCs w:val="20"/>
          <w:lang w:val="en-GB"/>
        </w:rPr>
        <w:t xml:space="preserve"> maintenance, use of non-</w:t>
      </w:r>
      <w:r w:rsidR="00CF4A4D" w:rsidRPr="00A2171C">
        <w:rPr>
          <w:rFonts w:eastAsia="Times New Roman" w:cs="Times New Roman"/>
          <w:szCs w:val="20"/>
          <w:lang w:val="en-GB"/>
        </w:rPr>
        <w:t xml:space="preserve">certified </w:t>
      </w:r>
      <w:r w:rsidR="00A46867" w:rsidRPr="00A2171C">
        <w:rPr>
          <w:rFonts w:eastAsia="Times New Roman" w:cs="Times New Roman"/>
          <w:szCs w:val="20"/>
          <w:lang w:val="en-GB"/>
        </w:rPr>
        <w:t xml:space="preserve">power bars </w:t>
      </w:r>
      <w:r w:rsidR="00CF4A4D" w:rsidRPr="00A2171C">
        <w:rPr>
          <w:rFonts w:eastAsia="Times New Roman" w:cs="Times New Roman"/>
          <w:szCs w:val="20"/>
          <w:lang w:val="en-GB"/>
        </w:rPr>
        <w:t>with potential</w:t>
      </w:r>
      <w:r w:rsidR="00A46867" w:rsidRPr="00A2171C">
        <w:rPr>
          <w:rFonts w:eastAsia="Times New Roman" w:cs="Times New Roman"/>
          <w:szCs w:val="20"/>
          <w:lang w:val="en-GB"/>
        </w:rPr>
        <w:t xml:space="preserve"> </w:t>
      </w:r>
      <w:r w:rsidR="00CF4A4D" w:rsidRPr="00A2171C">
        <w:rPr>
          <w:rFonts w:eastAsia="Times New Roman" w:cs="Times New Roman"/>
          <w:szCs w:val="20"/>
          <w:lang w:val="en-GB"/>
        </w:rPr>
        <w:t xml:space="preserve">of </w:t>
      </w:r>
      <w:r w:rsidR="00A46867" w:rsidRPr="00A2171C">
        <w:rPr>
          <w:rFonts w:eastAsia="Times New Roman" w:cs="Times New Roman"/>
          <w:szCs w:val="20"/>
          <w:lang w:val="en-GB"/>
        </w:rPr>
        <w:t>overload</w:t>
      </w:r>
      <w:r w:rsidR="00CF4A4D" w:rsidRPr="00A2171C">
        <w:rPr>
          <w:rFonts w:eastAsia="Times New Roman" w:cs="Times New Roman"/>
          <w:szCs w:val="20"/>
          <w:lang w:val="en-GB"/>
        </w:rPr>
        <w:t>ing</w:t>
      </w:r>
      <w:r w:rsidR="00A46867" w:rsidRPr="00A2171C">
        <w:rPr>
          <w:rFonts w:eastAsia="Times New Roman" w:cs="Times New Roman"/>
          <w:szCs w:val="20"/>
          <w:lang w:val="en-GB"/>
        </w:rPr>
        <w:t xml:space="preserve"> the electrical circuit, and gas cylinders placed inside buildings in non-ventilated areas</w:t>
      </w:r>
      <w:r w:rsidR="00CF4A4D" w:rsidRPr="00A2171C">
        <w:rPr>
          <w:rFonts w:eastAsia="Times New Roman" w:cs="Times New Roman"/>
          <w:szCs w:val="20"/>
          <w:lang w:val="en-GB"/>
        </w:rPr>
        <w:t>.</w:t>
      </w:r>
    </w:p>
    <w:p w14:paraId="02F75917" w14:textId="69945A93" w:rsidR="00CF4A4D" w:rsidRPr="00A2171C" w:rsidRDefault="00CF4A4D" w:rsidP="008600AE">
      <w:pPr>
        <w:rPr>
          <w:rFonts w:eastAsia="Times New Roman" w:cs="Times New Roman"/>
          <w:szCs w:val="20"/>
          <w:lang w:val="en-GB"/>
        </w:rPr>
      </w:pPr>
      <w:r w:rsidRPr="00A2171C">
        <w:rPr>
          <w:rFonts w:eastAsia="Times New Roman" w:cs="Times New Roman"/>
          <w:szCs w:val="20"/>
          <w:lang w:val="en-GB"/>
        </w:rPr>
        <w:t>Furthermore</w:t>
      </w:r>
      <w:r w:rsidR="00A46867" w:rsidRPr="00A2171C">
        <w:rPr>
          <w:rFonts w:eastAsia="Times New Roman" w:cs="Times New Roman"/>
          <w:szCs w:val="20"/>
          <w:lang w:val="en-GB"/>
        </w:rPr>
        <w:t xml:space="preserve">, 89.6% (388) and 11.1% (214) of </w:t>
      </w:r>
      <w:r w:rsidRPr="00A2171C">
        <w:rPr>
          <w:rFonts w:eastAsia="Times New Roman" w:cs="Times New Roman"/>
          <w:szCs w:val="20"/>
          <w:lang w:val="en-GB"/>
        </w:rPr>
        <w:t>the portfolio of</w:t>
      </w:r>
      <w:r w:rsidR="00A46867" w:rsidRPr="00A2171C">
        <w:rPr>
          <w:rFonts w:eastAsia="Times New Roman" w:cs="Times New Roman"/>
          <w:szCs w:val="20"/>
          <w:lang w:val="en-GB"/>
        </w:rPr>
        <w:t xml:space="preserve"> structures have high and extreme risk levels</w:t>
      </w:r>
      <w:r w:rsidRPr="00A2171C">
        <w:rPr>
          <w:rFonts w:eastAsia="Times New Roman" w:cs="Times New Roman"/>
          <w:szCs w:val="20"/>
          <w:lang w:val="en-GB"/>
        </w:rPr>
        <w:t xml:space="preserve"> of propagation</w:t>
      </w:r>
      <w:r w:rsidR="00A46867" w:rsidRPr="00A2171C">
        <w:rPr>
          <w:rFonts w:eastAsia="Times New Roman" w:cs="Times New Roman"/>
          <w:szCs w:val="20"/>
          <w:lang w:val="en-GB"/>
        </w:rPr>
        <w:t xml:space="preserve">, </w:t>
      </w:r>
      <w:r w:rsidRPr="00A2171C">
        <w:rPr>
          <w:rFonts w:eastAsia="Times New Roman" w:cs="Times New Roman"/>
          <w:szCs w:val="20"/>
          <w:lang w:val="en-GB"/>
        </w:rPr>
        <w:t xml:space="preserve">corresponding to </w:t>
      </w:r>
      <w:r w:rsidR="00A46867" w:rsidRPr="00A2171C">
        <w:rPr>
          <w:rFonts w:eastAsia="Times New Roman" w:cs="Times New Roman"/>
          <w:szCs w:val="20"/>
          <w:lang w:val="en-GB"/>
        </w:rPr>
        <w:t xml:space="preserve">unacceptable and totally unacceptable </w:t>
      </w:r>
      <w:r w:rsidRPr="00A2171C">
        <w:rPr>
          <w:rFonts w:eastAsia="Times New Roman" w:cs="Times New Roman"/>
          <w:szCs w:val="20"/>
          <w:lang w:val="en-GB"/>
        </w:rPr>
        <w:t xml:space="preserve">conditions, </w:t>
      </w:r>
      <w:r w:rsidR="00A46867" w:rsidRPr="00A2171C">
        <w:rPr>
          <w:szCs w:val="20"/>
          <w:lang w:val="en-US"/>
        </w:rPr>
        <w:t>which should be immediately reduced or mitigated</w:t>
      </w:r>
      <w:r w:rsidRPr="00A2171C">
        <w:rPr>
          <w:rFonts w:eastAsia="Times New Roman" w:cs="Times New Roman"/>
          <w:szCs w:val="20"/>
          <w:lang w:val="en-GB"/>
        </w:rPr>
        <w:t xml:space="preserve">. Also, in terms of evacuation conditions, we conclude that </w:t>
      </w:r>
      <w:r w:rsidR="00A46867" w:rsidRPr="00A2171C">
        <w:rPr>
          <w:rFonts w:eastAsia="Times New Roman" w:cs="Times New Roman"/>
          <w:szCs w:val="20"/>
          <w:lang w:val="en-GB"/>
        </w:rPr>
        <w:t xml:space="preserve">99.5% (421) of </w:t>
      </w:r>
      <w:r w:rsidRPr="00A2171C">
        <w:rPr>
          <w:rFonts w:eastAsia="Times New Roman" w:cs="Times New Roman"/>
          <w:szCs w:val="20"/>
          <w:lang w:val="en-GB"/>
        </w:rPr>
        <w:t>the people</w:t>
      </w:r>
      <w:r w:rsidR="00A46867" w:rsidRPr="00A2171C">
        <w:rPr>
          <w:rFonts w:eastAsia="Times New Roman" w:cs="Times New Roman"/>
          <w:szCs w:val="20"/>
          <w:lang w:val="en-GB"/>
        </w:rPr>
        <w:t xml:space="preserve"> live in buildings with moderate risk (</w:t>
      </w:r>
      <m:oMath>
        <m:sSub>
          <m:sSubPr>
            <m:ctrlPr>
              <w:rPr>
                <w:rFonts w:ascii="Cambria Math" w:eastAsia="Times New Roman" w:hAnsi="Cambria Math" w:cs="Times New Roman"/>
                <w:i/>
                <w:szCs w:val="20"/>
                <w:vertAlign w:val="subscript"/>
                <w:lang w:val="en-GB"/>
              </w:rPr>
            </m:ctrlPr>
          </m:sSubPr>
          <m:e>
            <m:r>
              <w:rPr>
                <w:rFonts w:ascii="Cambria Math" w:eastAsia="Times New Roman" w:hAnsi="Cambria Math" w:cs="Times New Roman"/>
                <w:szCs w:val="20"/>
                <w:vertAlign w:val="subscript"/>
                <w:lang w:val="en-GB"/>
              </w:rPr>
              <m:t>SF</m:t>
            </m:r>
          </m:e>
          <m:sub>
            <m:r>
              <w:rPr>
                <w:rFonts w:ascii="Cambria Math" w:eastAsia="Times New Roman" w:hAnsi="Cambria Math" w:cs="Times New Roman"/>
                <w:szCs w:val="20"/>
                <w:vertAlign w:val="subscript"/>
                <w:lang w:val="en-GB"/>
              </w:rPr>
              <m:t>E</m:t>
            </m:r>
          </m:sub>
        </m:sSub>
        <m:r>
          <w:rPr>
            <w:rFonts w:ascii="Cambria Math" w:eastAsia="Times New Roman" w:hAnsi="Cambria Math" w:cs="Times New Roman"/>
            <w:szCs w:val="20"/>
            <w:lang w:val="en-GB"/>
          </w:rPr>
          <m:t>=1.24-1.30</m:t>
        </m:r>
      </m:oMath>
      <w:r w:rsidR="00A46867" w:rsidRPr="00A2171C">
        <w:rPr>
          <w:rFonts w:eastAsia="Times New Roman" w:cs="Times New Roman"/>
          <w:szCs w:val="20"/>
          <w:lang w:val="en-GB"/>
        </w:rPr>
        <w:t xml:space="preserve">), and 0.5% (22) with high to extreme risk. </w:t>
      </w:r>
      <w:r w:rsidR="003B024E" w:rsidRPr="00A2171C">
        <w:rPr>
          <w:rFonts w:eastAsia="Times New Roman" w:cs="Times New Roman"/>
          <w:szCs w:val="20"/>
          <w:lang w:val="en-GB"/>
        </w:rPr>
        <w:t xml:space="preserve">Moreover, high </w:t>
      </w:r>
      <w:r w:rsidR="00A46867" w:rsidRPr="00A2171C">
        <w:rPr>
          <w:rFonts w:eastAsia="Times New Roman" w:cs="Times New Roman"/>
          <w:szCs w:val="20"/>
          <w:lang w:val="en-GB"/>
        </w:rPr>
        <w:t xml:space="preserve">levels of propagation risk are </w:t>
      </w:r>
      <w:r w:rsidR="003B024E" w:rsidRPr="00A2171C">
        <w:rPr>
          <w:rFonts w:eastAsia="Times New Roman" w:cs="Times New Roman"/>
          <w:szCs w:val="20"/>
          <w:lang w:val="en-GB"/>
        </w:rPr>
        <w:t xml:space="preserve">closely related </w:t>
      </w:r>
      <w:r w:rsidR="00A46867" w:rsidRPr="00A2171C">
        <w:rPr>
          <w:rFonts w:eastAsia="Times New Roman" w:cs="Times New Roman"/>
          <w:szCs w:val="20"/>
          <w:lang w:val="en-GB"/>
        </w:rPr>
        <w:t xml:space="preserve">to </w:t>
      </w:r>
      <w:r w:rsidR="003B024E" w:rsidRPr="00A2171C">
        <w:rPr>
          <w:rFonts w:eastAsia="Times New Roman" w:cs="Times New Roman"/>
          <w:szCs w:val="20"/>
          <w:lang w:val="en-GB"/>
        </w:rPr>
        <w:t xml:space="preserve">building </w:t>
      </w:r>
      <w:r w:rsidR="00A46867" w:rsidRPr="00A2171C">
        <w:rPr>
          <w:rFonts w:eastAsia="Times New Roman" w:cs="Times New Roman"/>
          <w:szCs w:val="20"/>
          <w:lang w:val="en-GB"/>
        </w:rPr>
        <w:t>use</w:t>
      </w:r>
      <w:r w:rsidR="003B024E" w:rsidRPr="00A2171C">
        <w:rPr>
          <w:rFonts w:eastAsia="Times New Roman" w:cs="Times New Roman"/>
          <w:szCs w:val="20"/>
          <w:lang w:val="en-GB"/>
        </w:rPr>
        <w:t>,</w:t>
      </w:r>
      <w:r w:rsidR="00A46867" w:rsidRPr="00A2171C">
        <w:rPr>
          <w:rFonts w:eastAsia="Times New Roman" w:cs="Times New Roman"/>
          <w:szCs w:val="20"/>
          <w:lang w:val="en-GB"/>
        </w:rPr>
        <w:t xml:space="preserve"> </w:t>
      </w:r>
      <w:r w:rsidR="003B024E" w:rsidRPr="00A2171C">
        <w:rPr>
          <w:rFonts w:eastAsia="Times New Roman" w:cs="Times New Roman"/>
          <w:szCs w:val="20"/>
          <w:lang w:val="en-GB"/>
        </w:rPr>
        <w:t>especially in</w:t>
      </w:r>
      <w:r w:rsidRPr="00A2171C">
        <w:rPr>
          <w:rFonts w:eastAsia="Times New Roman" w:cs="Times New Roman"/>
          <w:szCs w:val="20"/>
          <w:lang w:val="en-GB"/>
        </w:rPr>
        <w:t xml:space="preserve"> </w:t>
      </w:r>
      <w:r w:rsidR="00A46867" w:rsidRPr="00A2171C">
        <w:rPr>
          <w:rFonts w:eastAsia="Times New Roman" w:cs="Times New Roman"/>
          <w:szCs w:val="20"/>
          <w:lang w:val="en-GB"/>
        </w:rPr>
        <w:t xml:space="preserve">non-residential-buildings </w:t>
      </w:r>
      <w:r w:rsidR="003B024E" w:rsidRPr="00A2171C">
        <w:rPr>
          <w:rFonts w:eastAsia="Times New Roman" w:cs="Times New Roman"/>
          <w:szCs w:val="20"/>
          <w:lang w:val="en-GB"/>
        </w:rPr>
        <w:t>that lack</w:t>
      </w:r>
      <w:r w:rsidR="00A46867" w:rsidRPr="00A2171C">
        <w:rPr>
          <w:rFonts w:eastAsia="Times New Roman" w:cs="Times New Roman"/>
          <w:szCs w:val="20"/>
          <w:lang w:val="en-GB"/>
        </w:rPr>
        <w:t xml:space="preserve"> </w:t>
      </w:r>
      <w:r w:rsidR="003B024E" w:rsidRPr="00A2171C">
        <w:rPr>
          <w:rFonts w:eastAsia="Times New Roman" w:cs="Times New Roman"/>
          <w:szCs w:val="20"/>
          <w:lang w:val="en-GB"/>
        </w:rPr>
        <w:t xml:space="preserve">a </w:t>
      </w:r>
      <w:r w:rsidR="00A46867" w:rsidRPr="00A2171C">
        <w:rPr>
          <w:rFonts w:eastAsia="Times New Roman" w:cs="Times New Roman"/>
          <w:szCs w:val="20"/>
          <w:lang w:val="en-GB"/>
        </w:rPr>
        <w:t xml:space="preserve">fire detection and alarm systems. </w:t>
      </w:r>
      <w:r w:rsidR="003B024E" w:rsidRPr="00A2171C">
        <w:rPr>
          <w:rFonts w:eastAsia="Times New Roman" w:cs="Times New Roman"/>
          <w:szCs w:val="20"/>
          <w:lang w:val="en-GB"/>
        </w:rPr>
        <w:t>In addition to</w:t>
      </w:r>
      <w:r w:rsidR="00A46867" w:rsidRPr="00A2171C">
        <w:rPr>
          <w:rFonts w:eastAsia="Times New Roman" w:cs="Times New Roman"/>
          <w:szCs w:val="20"/>
          <w:lang w:val="en-GB"/>
        </w:rPr>
        <w:t xml:space="preserve"> use</w:t>
      </w:r>
      <w:r w:rsidR="003B024E" w:rsidRPr="00A2171C">
        <w:rPr>
          <w:rFonts w:eastAsia="Times New Roman" w:cs="Times New Roman"/>
          <w:szCs w:val="20"/>
          <w:lang w:val="en-GB"/>
        </w:rPr>
        <w:t>,</w:t>
      </w:r>
      <w:r w:rsidR="00A46867" w:rsidRPr="00A2171C">
        <w:rPr>
          <w:rFonts w:eastAsia="Times New Roman" w:cs="Times New Roman"/>
          <w:szCs w:val="20"/>
          <w:lang w:val="en-GB"/>
        </w:rPr>
        <w:t xml:space="preserve"> </w:t>
      </w:r>
      <w:r w:rsidR="003B024E" w:rsidRPr="00A2171C">
        <w:rPr>
          <w:rFonts w:eastAsia="Times New Roman" w:cs="Times New Roman"/>
          <w:szCs w:val="20"/>
          <w:lang w:val="en-GB"/>
        </w:rPr>
        <w:t>construction techniques and partitioning systems are</w:t>
      </w:r>
      <w:r w:rsidR="00A46867" w:rsidRPr="00A2171C">
        <w:rPr>
          <w:rFonts w:eastAsia="Times New Roman" w:cs="Times New Roman"/>
          <w:szCs w:val="20"/>
          <w:lang w:val="en-GB"/>
        </w:rPr>
        <w:t xml:space="preserve"> </w:t>
      </w:r>
      <w:r w:rsidR="003B024E" w:rsidRPr="00A2171C">
        <w:rPr>
          <w:rFonts w:eastAsia="Times New Roman" w:cs="Times New Roman"/>
          <w:szCs w:val="20"/>
          <w:lang w:val="en-GB"/>
        </w:rPr>
        <w:t xml:space="preserve">a </w:t>
      </w:r>
      <w:r w:rsidR="00A46867" w:rsidRPr="00A2171C">
        <w:rPr>
          <w:rFonts w:eastAsia="Times New Roman" w:cs="Times New Roman"/>
          <w:szCs w:val="20"/>
          <w:lang w:val="en-GB"/>
        </w:rPr>
        <w:t xml:space="preserve">determining factor in fire propagation (e.g., commercial lots </w:t>
      </w:r>
      <m:oMath>
        <m:sSub>
          <m:sSubPr>
            <m:ctrlPr>
              <w:rPr>
                <w:rFonts w:ascii="Cambria Math" w:eastAsia="Times New Roman" w:hAnsi="Cambria Math" w:cs="Times New Roman"/>
                <w:szCs w:val="20"/>
                <w:lang w:val="en-GB"/>
              </w:rPr>
            </m:ctrlPr>
          </m:sSubPr>
          <m:e>
            <m:r>
              <w:rPr>
                <w:rFonts w:ascii="Cambria Math" w:eastAsia="Times New Roman" w:hAnsi="Cambria Math" w:cs="Times New Roman"/>
                <w:szCs w:val="20"/>
                <w:lang w:val="en-GB"/>
              </w:rPr>
              <m:t>SF</m:t>
            </m:r>
          </m:e>
          <m:sub>
            <m:r>
              <w:rPr>
                <w:rFonts w:ascii="Cambria Math" w:eastAsia="Times New Roman" w:hAnsi="Cambria Math" w:cs="Times New Roman"/>
                <w:szCs w:val="20"/>
                <w:lang w:val="en-GB"/>
              </w:rPr>
              <m:t>P</m:t>
            </m:r>
          </m:sub>
        </m:sSub>
        <m:r>
          <m:rPr>
            <m:sty m:val="p"/>
          </m:rPr>
          <w:rPr>
            <w:rFonts w:ascii="Cambria Math" w:eastAsia="Times New Roman" w:hAnsi="Cambria Math" w:cs="Times New Roman"/>
            <w:szCs w:val="20"/>
            <w:lang w:val="en-GB"/>
          </w:rPr>
          <m:t>= 1.8</m:t>
        </m:r>
      </m:oMath>
      <w:r w:rsidR="00A46867" w:rsidRPr="00A2171C">
        <w:rPr>
          <w:rFonts w:eastAsia="Times New Roman" w:cs="Times New Roman"/>
          <w:szCs w:val="20"/>
          <w:lang w:val="en-GB"/>
        </w:rPr>
        <w:t>).</w:t>
      </w:r>
    </w:p>
    <w:p w14:paraId="0571B7C3" w14:textId="04881EAE" w:rsidR="003B024E" w:rsidRPr="00A2171C" w:rsidRDefault="00A46867" w:rsidP="008600AE">
      <w:pPr>
        <w:rPr>
          <w:rFonts w:eastAsia="Times New Roman" w:cs="Times New Roman"/>
          <w:szCs w:val="20"/>
          <w:lang w:val="en-GB"/>
        </w:rPr>
      </w:pPr>
      <w:r w:rsidRPr="00A2171C">
        <w:rPr>
          <w:rFonts w:eastAsia="Times New Roman" w:cs="Times New Roman"/>
          <w:szCs w:val="20"/>
          <w:lang w:val="en-GB"/>
        </w:rPr>
        <w:t>Finally, 67.4%, 22.2%, and 12.9% of the SUs have a conditioned, limited</w:t>
      </w:r>
      <w:r w:rsidR="003B024E" w:rsidRPr="00A2171C">
        <w:rPr>
          <w:rFonts w:eastAsia="Times New Roman" w:cs="Times New Roman"/>
          <w:szCs w:val="20"/>
          <w:lang w:val="en-GB"/>
        </w:rPr>
        <w:t>,</w:t>
      </w:r>
      <w:r w:rsidRPr="00A2171C">
        <w:rPr>
          <w:rFonts w:eastAsia="Times New Roman" w:cs="Times New Roman"/>
          <w:szCs w:val="20"/>
          <w:lang w:val="en-GB"/>
        </w:rPr>
        <w:t xml:space="preserve"> or extremely limited fire combat capacity, respectively</w:t>
      </w:r>
      <w:r w:rsidR="003B024E" w:rsidRPr="00A2171C">
        <w:rPr>
          <w:rFonts w:eastAsia="Times New Roman" w:cs="Times New Roman"/>
          <w:szCs w:val="20"/>
          <w:lang w:val="en-GB"/>
        </w:rPr>
        <w:t>.</w:t>
      </w:r>
      <w:r w:rsidRPr="00A2171C">
        <w:rPr>
          <w:rFonts w:eastAsia="Times New Roman" w:cs="Times New Roman"/>
          <w:szCs w:val="20"/>
          <w:lang w:val="en-GB"/>
        </w:rPr>
        <w:t xml:space="preserve"> This result is </w:t>
      </w:r>
      <w:r w:rsidR="003B024E" w:rsidRPr="00A2171C">
        <w:rPr>
          <w:rFonts w:eastAsia="Times New Roman" w:cs="Times New Roman"/>
          <w:szCs w:val="20"/>
          <w:lang w:val="en-GB"/>
        </w:rPr>
        <w:t>correlated with</w:t>
      </w:r>
      <w:r w:rsidRPr="00A2171C">
        <w:rPr>
          <w:rFonts w:eastAsia="Times New Roman" w:cs="Times New Roman"/>
          <w:szCs w:val="20"/>
          <w:lang w:val="en-GB"/>
        </w:rPr>
        <w:t xml:space="preserve"> the inefficiency of hydrants, </w:t>
      </w:r>
      <w:r w:rsidR="001833B9" w:rsidRPr="00A2171C">
        <w:rPr>
          <w:rFonts w:eastAsia="Times New Roman" w:cs="Times New Roman"/>
          <w:szCs w:val="20"/>
          <w:lang w:val="en-GB"/>
        </w:rPr>
        <w:t xml:space="preserve">their location, and </w:t>
      </w:r>
      <w:r w:rsidRPr="00A2171C">
        <w:rPr>
          <w:rFonts w:eastAsia="Times New Roman" w:cs="Times New Roman"/>
          <w:szCs w:val="20"/>
          <w:lang w:val="en-GB"/>
        </w:rPr>
        <w:t xml:space="preserve">the </w:t>
      </w:r>
      <w:r w:rsidRPr="00A2171C">
        <w:rPr>
          <w:rFonts w:eastAsia="Times New Roman" w:cs="Times New Roman"/>
          <w:szCs w:val="20"/>
          <w:lang w:val="en-GB"/>
        </w:rPr>
        <w:lastRenderedPageBreak/>
        <w:t xml:space="preserve">accessibility of streets. </w:t>
      </w:r>
      <w:r w:rsidR="001833B9" w:rsidRPr="00A2171C">
        <w:rPr>
          <w:rFonts w:eastAsia="Times New Roman" w:cs="Times New Roman"/>
          <w:szCs w:val="20"/>
          <w:lang w:val="en-GB"/>
        </w:rPr>
        <w:t xml:space="preserve">It is concluded that the </w:t>
      </w:r>
      <w:r w:rsidRPr="00A2171C">
        <w:rPr>
          <w:rFonts w:eastAsia="Times New Roman" w:cs="Times New Roman"/>
          <w:szCs w:val="20"/>
          <w:lang w:val="en-GB"/>
        </w:rPr>
        <w:t xml:space="preserve">requirements of the Chilean Code </w:t>
      </w:r>
      <w:r w:rsidR="001833B9" w:rsidRPr="00A2171C">
        <w:rPr>
          <w:rFonts w:eastAsia="Times New Roman" w:cs="Times New Roman"/>
          <w:szCs w:val="20"/>
          <w:lang w:val="en-GB"/>
        </w:rPr>
        <w:t xml:space="preserve">relative </w:t>
      </w:r>
      <w:r w:rsidRPr="00A2171C">
        <w:rPr>
          <w:rFonts w:eastAsia="Times New Roman" w:cs="Times New Roman"/>
          <w:szCs w:val="20"/>
          <w:lang w:val="en-GB"/>
        </w:rPr>
        <w:t xml:space="preserve">to hydrant efficiency in terms of </w:t>
      </w:r>
      <w:r w:rsidRPr="00A2171C">
        <w:rPr>
          <w:rFonts w:eastAsia="Times New Roman" w:cs="Times New Roman"/>
          <w:i/>
          <w:szCs w:val="20"/>
          <w:lang w:val="en-GB"/>
        </w:rPr>
        <w:t>fire volume</w:t>
      </w:r>
      <w:r w:rsidRPr="00A2171C">
        <w:rPr>
          <w:rFonts w:eastAsia="Times New Roman" w:cs="Times New Roman"/>
          <w:szCs w:val="20"/>
          <w:lang w:val="en-GB"/>
        </w:rPr>
        <w:t xml:space="preserve"> and </w:t>
      </w:r>
      <w:r w:rsidRPr="00A2171C">
        <w:rPr>
          <w:rFonts w:eastAsia="Times New Roman" w:cs="Times New Roman"/>
          <w:i/>
          <w:szCs w:val="20"/>
          <w:lang w:val="en-GB"/>
        </w:rPr>
        <w:t>static pressure</w:t>
      </w:r>
      <w:r w:rsidRPr="00A2171C">
        <w:rPr>
          <w:rFonts w:eastAsia="Times New Roman" w:cs="Times New Roman"/>
          <w:szCs w:val="20"/>
          <w:lang w:val="en-GB"/>
        </w:rPr>
        <w:t xml:space="preserve"> are </w:t>
      </w:r>
      <w:r w:rsidR="001833B9" w:rsidRPr="00A2171C">
        <w:rPr>
          <w:rFonts w:eastAsia="Times New Roman" w:cs="Times New Roman"/>
          <w:szCs w:val="20"/>
          <w:lang w:val="en-GB"/>
        </w:rPr>
        <w:t xml:space="preserve">insufficient for the typical </w:t>
      </w:r>
      <w:r w:rsidRPr="00A2171C">
        <w:rPr>
          <w:rFonts w:eastAsia="Times New Roman" w:cs="Times New Roman"/>
          <w:szCs w:val="20"/>
          <w:lang w:val="en-GB"/>
        </w:rPr>
        <w:t xml:space="preserve">fire loads of historical structures. </w:t>
      </w:r>
    </w:p>
    <w:p w14:paraId="15EFFA6A" w14:textId="6AC42035" w:rsidR="0085626F" w:rsidRPr="00A2171C" w:rsidRDefault="0085626F" w:rsidP="007347A1">
      <w:pPr>
        <w:pBdr>
          <w:top w:val="nil"/>
          <w:left w:val="nil"/>
          <w:bottom w:val="nil"/>
          <w:right w:val="nil"/>
          <w:between w:val="nil"/>
        </w:pBdr>
        <w:spacing w:after="0"/>
        <w:rPr>
          <w:lang w:val="en-US"/>
        </w:rPr>
      </w:pPr>
      <w:r w:rsidRPr="00A2171C">
        <w:rPr>
          <w:lang w:val="en-US"/>
        </w:rPr>
        <w:t>Fire Risk Index (</w:t>
      </w:r>
      <w:r w:rsidRPr="00A2171C">
        <w:rPr>
          <w:i/>
          <w:iCs/>
          <w:lang w:val="en-US"/>
        </w:rPr>
        <w:t>FRI</w:t>
      </w:r>
      <w:r w:rsidRPr="00A2171C">
        <w:rPr>
          <w:lang w:val="en-US"/>
        </w:rPr>
        <w:t>) and the partial factors (</w:t>
      </w:r>
      <w:r w:rsidRPr="00A2171C">
        <w:rPr>
          <w:i/>
          <w:iCs/>
          <w:lang w:val="en-US"/>
        </w:rPr>
        <w:t>PF</w:t>
      </w:r>
      <w:r w:rsidRPr="00A2171C">
        <w:rPr>
          <w:i/>
          <w:iCs/>
          <w:vertAlign w:val="subscript"/>
          <w:lang w:val="en-US"/>
        </w:rPr>
        <w:t>I</w:t>
      </w:r>
      <w:r w:rsidRPr="00A2171C">
        <w:rPr>
          <w:i/>
          <w:iCs/>
          <w:lang w:val="en-US"/>
        </w:rPr>
        <w:t>, PF</w:t>
      </w:r>
      <w:r w:rsidRPr="00A2171C">
        <w:rPr>
          <w:i/>
          <w:iCs/>
          <w:vertAlign w:val="subscript"/>
          <w:lang w:val="en-US"/>
        </w:rPr>
        <w:t>P</w:t>
      </w:r>
      <w:r w:rsidRPr="00A2171C">
        <w:rPr>
          <w:i/>
          <w:iCs/>
          <w:lang w:val="en-US"/>
        </w:rPr>
        <w:t>, PF</w:t>
      </w:r>
      <w:r w:rsidRPr="00A2171C">
        <w:rPr>
          <w:i/>
          <w:iCs/>
          <w:vertAlign w:val="subscript"/>
          <w:lang w:val="en-US"/>
        </w:rPr>
        <w:t>E</w:t>
      </w:r>
      <w:r w:rsidRPr="00A2171C">
        <w:rPr>
          <w:i/>
          <w:iCs/>
          <w:lang w:val="en-US"/>
        </w:rPr>
        <w:t>, PF</w:t>
      </w:r>
      <w:r w:rsidRPr="00A2171C">
        <w:rPr>
          <w:i/>
          <w:iCs/>
          <w:vertAlign w:val="subscript"/>
          <w:lang w:val="en-US"/>
        </w:rPr>
        <w:t>C</w:t>
      </w:r>
      <w:r w:rsidRPr="00A2171C">
        <w:rPr>
          <w:lang w:val="en-US"/>
        </w:rPr>
        <w:t xml:space="preserve">) exhibit low variability, generally centered around intermediate and high risk, which </w:t>
      </w:r>
      <w:r w:rsidRPr="00A2171C">
        <w:rPr>
          <w:i/>
          <w:iCs/>
          <w:lang w:val="en-US"/>
        </w:rPr>
        <w:t>PF</w:t>
      </w:r>
      <w:r w:rsidRPr="00A2171C">
        <w:rPr>
          <w:i/>
          <w:iCs/>
          <w:vertAlign w:val="subscript"/>
          <w:lang w:val="en-US"/>
        </w:rPr>
        <w:t>I</w:t>
      </w:r>
      <w:r w:rsidRPr="00A2171C">
        <w:rPr>
          <w:lang w:val="en-US"/>
        </w:rPr>
        <w:t xml:space="preserve"> (ignition risk) being the only variable spanning low risk levels. Regarding correlations, all variables are positively correlated, meaning that the greater the value of a variable, the greater the value of other correlated variables. The correlations among the partial factors, however, are not large (&lt;0.54), which show that they probably capture different phenomena. With regards to the Fire Risk Index (</w:t>
      </w:r>
      <w:r w:rsidRPr="00A2171C">
        <w:rPr>
          <w:i/>
          <w:iCs/>
          <w:lang w:val="en-US"/>
        </w:rPr>
        <w:t>FRI</w:t>
      </w:r>
      <w:r w:rsidRPr="00A2171C">
        <w:rPr>
          <w:lang w:val="en-US"/>
        </w:rPr>
        <w:t>), the correlations it has with the other variables are not surprising, because its functional dependency is practically a linear combination of them.</w:t>
      </w:r>
    </w:p>
    <w:p w14:paraId="16AC84C4" w14:textId="6506E794" w:rsidR="00A46867" w:rsidRPr="00A2171C" w:rsidRDefault="001833B9" w:rsidP="0085626F">
      <w:pPr>
        <w:pBdr>
          <w:top w:val="nil"/>
          <w:left w:val="nil"/>
          <w:bottom w:val="nil"/>
          <w:right w:val="nil"/>
          <w:between w:val="nil"/>
        </w:pBdr>
        <w:spacing w:before="240" w:after="0"/>
        <w:rPr>
          <w:rFonts w:eastAsia="Times New Roman" w:cs="Times New Roman"/>
          <w:szCs w:val="20"/>
          <w:lang w:val="en-GB"/>
        </w:rPr>
      </w:pPr>
      <w:r w:rsidRPr="00A2171C">
        <w:rPr>
          <w:rFonts w:eastAsia="Times New Roman" w:cs="Times New Roman"/>
          <w:szCs w:val="20"/>
          <w:lang w:val="en-GB"/>
        </w:rPr>
        <w:t xml:space="preserve">It is apparent that the </w:t>
      </w:r>
      <w:r w:rsidR="00A46867" w:rsidRPr="00A2171C">
        <w:rPr>
          <w:rFonts w:eastAsia="Times New Roman" w:cs="Times New Roman"/>
          <w:szCs w:val="20"/>
          <w:lang w:val="en-GB"/>
        </w:rPr>
        <w:t xml:space="preserve">proposed method could be </w:t>
      </w:r>
      <w:r w:rsidRPr="00A2171C">
        <w:rPr>
          <w:rFonts w:eastAsia="Times New Roman" w:cs="Times New Roman"/>
          <w:szCs w:val="20"/>
          <w:lang w:val="en-GB"/>
        </w:rPr>
        <w:t>extended</w:t>
      </w:r>
      <w:r w:rsidR="00A46867" w:rsidRPr="00A2171C">
        <w:rPr>
          <w:rFonts w:eastAsia="Times New Roman" w:cs="Times New Roman"/>
          <w:szCs w:val="20"/>
          <w:lang w:val="en-GB"/>
        </w:rPr>
        <w:t xml:space="preserve"> to other historical urban areas in Chile, and </w:t>
      </w:r>
      <w:r w:rsidRPr="00A2171C">
        <w:rPr>
          <w:rFonts w:eastAsia="Times New Roman" w:cs="Times New Roman"/>
          <w:szCs w:val="20"/>
          <w:lang w:val="en-GB"/>
        </w:rPr>
        <w:t xml:space="preserve">possibly </w:t>
      </w:r>
      <w:r w:rsidR="00AE392E" w:rsidRPr="00A2171C">
        <w:rPr>
          <w:rFonts w:eastAsia="Times New Roman" w:cs="Times New Roman"/>
          <w:szCs w:val="20"/>
          <w:lang w:val="en-GB"/>
        </w:rPr>
        <w:t>to</w:t>
      </w:r>
      <w:r w:rsidRPr="00A2171C">
        <w:rPr>
          <w:rFonts w:eastAsia="Times New Roman" w:cs="Times New Roman"/>
          <w:szCs w:val="20"/>
          <w:lang w:val="en-GB"/>
        </w:rPr>
        <w:t xml:space="preserve"> </w:t>
      </w:r>
      <w:r w:rsidR="00A46867" w:rsidRPr="00A2171C">
        <w:rPr>
          <w:rFonts w:eastAsia="Times New Roman" w:cs="Times New Roman"/>
          <w:szCs w:val="20"/>
          <w:lang w:val="en-GB"/>
        </w:rPr>
        <w:t xml:space="preserve">other </w:t>
      </w:r>
      <w:r w:rsidRPr="00A2171C">
        <w:rPr>
          <w:rFonts w:eastAsia="Times New Roman" w:cs="Times New Roman"/>
          <w:szCs w:val="20"/>
          <w:lang w:val="en-GB"/>
        </w:rPr>
        <w:t xml:space="preserve">historical neighborhoods in </w:t>
      </w:r>
      <w:r w:rsidR="00A46867" w:rsidRPr="00A2171C">
        <w:rPr>
          <w:rFonts w:eastAsia="Times New Roman" w:cs="Times New Roman"/>
          <w:szCs w:val="20"/>
          <w:lang w:val="en-GB"/>
        </w:rPr>
        <w:t>Latin</w:t>
      </w:r>
      <w:r w:rsidR="00A46867" w:rsidRPr="00A2171C">
        <w:rPr>
          <w:rFonts w:eastAsia="Times New Roman" w:cs="Times New Roman"/>
          <w:szCs w:val="20"/>
          <w:lang w:val="en-US"/>
        </w:rPr>
        <w:t xml:space="preserve"> America, </w:t>
      </w:r>
      <w:r w:rsidRPr="00A2171C">
        <w:rPr>
          <w:rFonts w:eastAsia="Times New Roman" w:cs="Times New Roman"/>
          <w:szCs w:val="20"/>
          <w:lang w:val="en-US"/>
        </w:rPr>
        <w:t xml:space="preserve">if they </w:t>
      </w:r>
      <w:r w:rsidR="00AE392E" w:rsidRPr="00A2171C">
        <w:rPr>
          <w:rFonts w:eastAsia="Times New Roman" w:cs="Times New Roman"/>
          <w:szCs w:val="20"/>
          <w:lang w:val="en-US"/>
        </w:rPr>
        <w:t>share some common origin</w:t>
      </w:r>
      <w:r w:rsidR="00A46867" w:rsidRPr="00A2171C">
        <w:rPr>
          <w:rFonts w:eastAsia="Times New Roman" w:cs="Times New Roman"/>
          <w:szCs w:val="20"/>
          <w:lang w:val="en-US"/>
        </w:rPr>
        <w:t xml:space="preserve">. </w:t>
      </w:r>
      <w:r w:rsidRPr="00A2171C">
        <w:rPr>
          <w:rFonts w:eastAsia="Times New Roman" w:cs="Times New Roman"/>
          <w:szCs w:val="20"/>
          <w:lang w:val="en-US"/>
        </w:rPr>
        <w:t>However</w:t>
      </w:r>
      <w:r w:rsidR="00A46867" w:rsidRPr="00A2171C">
        <w:rPr>
          <w:rFonts w:eastAsia="Times New Roman" w:cs="Times New Roman"/>
          <w:szCs w:val="20"/>
          <w:lang w:val="en-US"/>
        </w:rPr>
        <w:t xml:space="preserve">, </w:t>
      </w:r>
      <w:r w:rsidR="00A46867" w:rsidRPr="00A2171C">
        <w:rPr>
          <w:rFonts w:cs="Times New Roman"/>
          <w:szCs w:val="20"/>
          <w:lang w:val="en-US"/>
        </w:rPr>
        <w:t>to apply the modified FRI method in other countries</w:t>
      </w:r>
      <w:r w:rsidRPr="00A2171C">
        <w:rPr>
          <w:rFonts w:cs="Times New Roman"/>
          <w:szCs w:val="20"/>
          <w:lang w:val="en-US"/>
        </w:rPr>
        <w:t xml:space="preserve">, </w:t>
      </w:r>
      <w:r w:rsidR="00A46867" w:rsidRPr="00A2171C">
        <w:rPr>
          <w:rFonts w:cs="Times New Roman"/>
          <w:szCs w:val="20"/>
          <w:lang w:val="en-US"/>
        </w:rPr>
        <w:t xml:space="preserve">modifications need to be </w:t>
      </w:r>
      <w:r w:rsidR="00AE392E" w:rsidRPr="00A2171C">
        <w:rPr>
          <w:rFonts w:cs="Times New Roman"/>
          <w:szCs w:val="20"/>
          <w:lang w:val="en-US"/>
        </w:rPr>
        <w:t xml:space="preserve">introduced </w:t>
      </w:r>
      <w:r w:rsidRPr="00A2171C">
        <w:rPr>
          <w:rFonts w:cs="Times New Roman"/>
          <w:szCs w:val="20"/>
          <w:lang w:val="en-US"/>
        </w:rPr>
        <w:t xml:space="preserve">at least </w:t>
      </w:r>
      <w:r w:rsidR="00A46867" w:rsidRPr="00A2171C">
        <w:rPr>
          <w:rFonts w:cs="Times New Roman"/>
          <w:szCs w:val="20"/>
          <w:lang w:val="en-US"/>
        </w:rPr>
        <w:t xml:space="preserve">in certain factors </w:t>
      </w:r>
      <w:r w:rsidRPr="00A2171C">
        <w:rPr>
          <w:rFonts w:cs="Times New Roman"/>
          <w:szCs w:val="20"/>
          <w:lang w:val="en-US"/>
        </w:rPr>
        <w:t xml:space="preserve">appropriate to the </w:t>
      </w:r>
      <w:r w:rsidR="00A46867" w:rsidRPr="00A2171C">
        <w:rPr>
          <w:rFonts w:cs="Times New Roman"/>
          <w:szCs w:val="20"/>
          <w:lang w:val="en-US"/>
        </w:rPr>
        <w:t>country</w:t>
      </w:r>
      <w:r w:rsidR="00AE392E" w:rsidRPr="00A2171C">
        <w:rPr>
          <w:rFonts w:cs="Times New Roman"/>
          <w:szCs w:val="20"/>
          <w:lang w:val="en-US"/>
        </w:rPr>
        <w:t>’</w:t>
      </w:r>
      <w:r w:rsidR="00A46867" w:rsidRPr="00A2171C">
        <w:rPr>
          <w:rFonts w:cs="Times New Roman"/>
          <w:szCs w:val="20"/>
          <w:lang w:val="en-US"/>
        </w:rPr>
        <w:t xml:space="preserve">s fire safety standard. Since </w:t>
      </w:r>
      <w:r w:rsidRPr="00A2171C">
        <w:rPr>
          <w:rFonts w:cs="Times New Roman"/>
          <w:szCs w:val="20"/>
          <w:lang w:val="en-US"/>
        </w:rPr>
        <w:t xml:space="preserve">the FRI </w:t>
      </w:r>
      <w:r w:rsidR="00A46867" w:rsidRPr="00A2171C">
        <w:rPr>
          <w:rFonts w:cs="Times New Roman"/>
          <w:szCs w:val="20"/>
          <w:lang w:val="en-US"/>
        </w:rPr>
        <w:t xml:space="preserve">method </w:t>
      </w:r>
      <w:r w:rsidRPr="00A2171C">
        <w:rPr>
          <w:rFonts w:cs="Times New Roman"/>
          <w:szCs w:val="20"/>
          <w:lang w:val="en-US"/>
        </w:rPr>
        <w:t xml:space="preserve">has </w:t>
      </w:r>
      <w:r w:rsidR="00A46867" w:rsidRPr="00A2171C">
        <w:rPr>
          <w:rFonts w:cs="Times New Roman"/>
          <w:szCs w:val="20"/>
          <w:lang w:val="en-US"/>
        </w:rPr>
        <w:t xml:space="preserve">limitations, further </w:t>
      </w:r>
      <w:r w:rsidR="00AE392E" w:rsidRPr="00A2171C">
        <w:rPr>
          <w:rFonts w:cs="Times New Roman"/>
          <w:szCs w:val="20"/>
          <w:lang w:val="en-US"/>
        </w:rPr>
        <w:t xml:space="preserve">statistical and analytical </w:t>
      </w:r>
      <w:r w:rsidR="00A46867" w:rsidRPr="00A2171C">
        <w:rPr>
          <w:rFonts w:cs="Times New Roman"/>
          <w:szCs w:val="20"/>
          <w:lang w:val="en-US"/>
        </w:rPr>
        <w:t xml:space="preserve">investigations are </w:t>
      </w:r>
      <w:r w:rsidRPr="00A2171C">
        <w:rPr>
          <w:rFonts w:cs="Times New Roman"/>
          <w:szCs w:val="20"/>
          <w:lang w:val="en-US"/>
        </w:rPr>
        <w:t xml:space="preserve">still </w:t>
      </w:r>
      <w:r w:rsidR="00A46867" w:rsidRPr="00A2171C">
        <w:rPr>
          <w:rFonts w:cs="Times New Roman"/>
          <w:szCs w:val="20"/>
          <w:lang w:val="en-US"/>
        </w:rPr>
        <w:t xml:space="preserve">necessary for a systematic fire standard review </w:t>
      </w:r>
      <w:r w:rsidRPr="00A2171C">
        <w:rPr>
          <w:rFonts w:cs="Times New Roman"/>
          <w:szCs w:val="20"/>
          <w:lang w:val="en-US"/>
        </w:rPr>
        <w:t xml:space="preserve">and </w:t>
      </w:r>
      <w:r w:rsidR="00AE392E" w:rsidRPr="00A2171C">
        <w:rPr>
          <w:rFonts w:cs="Times New Roman"/>
          <w:szCs w:val="20"/>
          <w:lang w:val="en-US"/>
        </w:rPr>
        <w:t xml:space="preserve">method </w:t>
      </w:r>
      <w:r w:rsidRPr="00A2171C">
        <w:rPr>
          <w:rFonts w:cs="Times New Roman"/>
          <w:szCs w:val="20"/>
          <w:lang w:val="en-US"/>
        </w:rPr>
        <w:t>calibration</w:t>
      </w:r>
      <w:r w:rsidR="00AE392E" w:rsidRPr="00A2171C">
        <w:rPr>
          <w:rFonts w:cs="Times New Roman"/>
          <w:szCs w:val="20"/>
          <w:lang w:val="en-US"/>
        </w:rPr>
        <w:t xml:space="preserve"> in different contexts</w:t>
      </w:r>
      <w:r w:rsidRPr="00A2171C">
        <w:rPr>
          <w:rFonts w:cs="Times New Roman"/>
          <w:szCs w:val="20"/>
          <w:lang w:val="en-US"/>
        </w:rPr>
        <w:t xml:space="preserve">. </w:t>
      </w:r>
      <w:r w:rsidR="00A46867" w:rsidRPr="00A2171C">
        <w:rPr>
          <w:rFonts w:cs="Times New Roman"/>
          <w:szCs w:val="20"/>
          <w:lang w:val="en-US"/>
        </w:rPr>
        <w:t xml:space="preserve">Although it goes beyond the scope of this </w:t>
      </w:r>
      <w:r w:rsidRPr="00A2171C">
        <w:rPr>
          <w:rFonts w:cs="Times New Roman"/>
          <w:szCs w:val="20"/>
          <w:lang w:val="en-US"/>
        </w:rPr>
        <w:t>study</w:t>
      </w:r>
      <w:r w:rsidR="00A46867" w:rsidRPr="00A2171C">
        <w:rPr>
          <w:rFonts w:cs="Times New Roman"/>
          <w:szCs w:val="20"/>
          <w:lang w:val="en-US"/>
        </w:rPr>
        <w:t xml:space="preserve">, the impact of different mitigation measures could also be incorporated </w:t>
      </w:r>
      <w:r w:rsidR="00AE392E" w:rsidRPr="00A2171C">
        <w:rPr>
          <w:rFonts w:cs="Times New Roman"/>
          <w:szCs w:val="20"/>
          <w:lang w:val="en-US"/>
        </w:rPr>
        <w:t xml:space="preserve">rather straight-forward </w:t>
      </w:r>
      <w:r w:rsidR="00A46867" w:rsidRPr="00A2171C">
        <w:rPr>
          <w:rFonts w:cs="Times New Roman"/>
          <w:szCs w:val="20"/>
          <w:lang w:val="en-US"/>
        </w:rPr>
        <w:t xml:space="preserve">by modifying the fire risk subfactors. Fire risk evaluation of the urban blocks and structures with and without mitigation measures would enable a fair comparison of the technical effectiveness of </w:t>
      </w:r>
      <w:r w:rsidR="00AE392E" w:rsidRPr="00A2171C">
        <w:rPr>
          <w:rFonts w:cs="Times New Roman"/>
          <w:szCs w:val="20"/>
          <w:lang w:val="en-US"/>
        </w:rPr>
        <w:t xml:space="preserve">each </w:t>
      </w:r>
      <w:r w:rsidR="00A46867" w:rsidRPr="00A2171C">
        <w:rPr>
          <w:rFonts w:cs="Times New Roman"/>
          <w:szCs w:val="20"/>
          <w:lang w:val="en-US"/>
        </w:rPr>
        <w:t xml:space="preserve">measure. </w:t>
      </w:r>
      <w:r w:rsidR="00AE392E" w:rsidRPr="00A2171C">
        <w:rPr>
          <w:rFonts w:cs="Times New Roman"/>
          <w:szCs w:val="20"/>
          <w:lang w:val="en-US"/>
        </w:rPr>
        <w:t>Finally</w:t>
      </w:r>
      <w:r w:rsidR="00A46867" w:rsidRPr="00A2171C">
        <w:rPr>
          <w:rFonts w:cs="Times New Roman"/>
          <w:szCs w:val="20"/>
          <w:lang w:val="en-US"/>
        </w:rPr>
        <w:t>, the FRI analysis</w:t>
      </w:r>
      <w:r w:rsidR="00AE392E" w:rsidRPr="00A2171C">
        <w:rPr>
          <w:rFonts w:cs="Times New Roman"/>
          <w:szCs w:val="20"/>
          <w:lang w:val="en-US"/>
        </w:rPr>
        <w:t xml:space="preserve"> enable us to include other </w:t>
      </w:r>
      <w:r w:rsidR="00A46867" w:rsidRPr="00A2171C">
        <w:rPr>
          <w:rFonts w:cs="Times New Roman"/>
          <w:szCs w:val="20"/>
          <w:lang w:val="en-US"/>
        </w:rPr>
        <w:t xml:space="preserve">urban and socio-economic variables </w:t>
      </w:r>
      <w:r w:rsidR="00AE392E" w:rsidRPr="00A2171C">
        <w:rPr>
          <w:rFonts w:cs="Times New Roman"/>
          <w:szCs w:val="20"/>
          <w:lang w:val="en-US"/>
        </w:rPr>
        <w:t xml:space="preserve">in the analyses that </w:t>
      </w:r>
      <w:r w:rsidR="00A46867" w:rsidRPr="00A2171C">
        <w:rPr>
          <w:rFonts w:cs="Times New Roman"/>
          <w:szCs w:val="20"/>
          <w:lang w:val="en-US"/>
        </w:rPr>
        <w:t xml:space="preserve">could be </w:t>
      </w:r>
      <w:r w:rsidR="00AE392E" w:rsidRPr="00A2171C">
        <w:rPr>
          <w:rFonts w:cs="Times New Roman"/>
          <w:szCs w:val="20"/>
          <w:lang w:val="en-US"/>
        </w:rPr>
        <w:t xml:space="preserve">correlated to formulate more </w:t>
      </w:r>
      <w:r w:rsidR="00A46867" w:rsidRPr="00A2171C">
        <w:rPr>
          <w:rFonts w:cs="Times New Roman"/>
          <w:szCs w:val="20"/>
          <w:lang w:val="en-US"/>
        </w:rPr>
        <w:t>integrated risk assessment</w:t>
      </w:r>
      <w:r w:rsidR="00AE392E" w:rsidRPr="00A2171C">
        <w:rPr>
          <w:rFonts w:cs="Times New Roman"/>
          <w:szCs w:val="20"/>
          <w:lang w:val="en-US"/>
        </w:rPr>
        <w:t>s and better public policies</w:t>
      </w:r>
      <w:r w:rsidR="007347A1" w:rsidRPr="00A2171C">
        <w:rPr>
          <w:rFonts w:eastAsia="Times New Roman" w:cs="Times New Roman"/>
          <w:szCs w:val="20"/>
          <w:lang w:val="en-US"/>
        </w:rPr>
        <w:t xml:space="preserve">. Due to the historical condition of the Yungay neighbourhood, there are many actors involved who could influence decision-making to prioritise risk mitigation measures (neighbours, the municipality, Council of National Monuments, firefighters, among the most relevant). There must be coordination of the different actors in order to achieve effective risk management, using the great organizational capacity of the community and preserving the environmental characteristics of the heritage site. </w:t>
      </w:r>
    </w:p>
    <w:p w14:paraId="736E1ECE" w14:textId="77777777" w:rsidR="00A46867" w:rsidRPr="00A2171C" w:rsidRDefault="00A46867" w:rsidP="00A46867">
      <w:pPr>
        <w:pStyle w:val="Heading1"/>
        <w:numPr>
          <w:ilvl w:val="0"/>
          <w:numId w:val="1"/>
        </w:numPr>
        <w:rPr>
          <w:lang w:val="en-US"/>
        </w:rPr>
      </w:pPr>
      <w:r w:rsidRPr="00A2171C">
        <w:rPr>
          <w:lang w:val="en-US"/>
        </w:rPr>
        <w:t>Acknowledgements</w:t>
      </w:r>
    </w:p>
    <w:p w14:paraId="62A0A93D" w14:textId="605F450D" w:rsidR="00A46867" w:rsidRPr="00A2171C" w:rsidRDefault="00A46867" w:rsidP="00A46867">
      <w:pPr>
        <w:spacing w:after="0"/>
        <w:rPr>
          <w:rFonts w:eastAsia="Times New Roman" w:cs="Times New Roman"/>
          <w:szCs w:val="20"/>
          <w:lang w:val="en-GB"/>
        </w:rPr>
      </w:pPr>
      <w:r w:rsidRPr="00A2171C">
        <w:rPr>
          <w:rFonts w:eastAsia="Times New Roman" w:cs="Times New Roman"/>
          <w:szCs w:val="20"/>
          <w:lang w:val="en-GB"/>
        </w:rPr>
        <w:t>The work presented in this paper was supported and funded by</w:t>
      </w:r>
      <w:r w:rsidRPr="00A2171C">
        <w:rPr>
          <w:rFonts w:ascii="Times" w:eastAsia="Times" w:hAnsi="Times" w:cs="Times"/>
          <w:szCs w:val="20"/>
          <w:lang w:val="en-GB"/>
        </w:rPr>
        <w:t xml:space="preserve"> </w:t>
      </w:r>
      <w:r w:rsidRPr="00A2171C">
        <w:rPr>
          <w:rFonts w:eastAsia="Times New Roman" w:cs="Times New Roman"/>
          <w:szCs w:val="20"/>
          <w:lang w:val="en-GB"/>
        </w:rPr>
        <w:t>the Postdoctoral Fondecyt project ANID/FONDECYT/ 3210374. Also partially funded by the National Agency for Research and Development (ANID), through the scholarship program DOCTORADO BECAS CHILE/2018 - N◦ 72190590, by the National Research Center for Integrated Natural Disaster Management CONICYT/FONDAP/15110017, and by the Regular Fondecyt project CONICYT/FONDECYT/</w:t>
      </w:r>
      <w:r w:rsidR="00F34CAA" w:rsidRPr="00A2171C">
        <w:rPr>
          <w:rFonts w:eastAsia="Times New Roman" w:cs="Times New Roman"/>
          <w:szCs w:val="20"/>
          <w:lang w:val="en-GB"/>
        </w:rPr>
        <w:t>1220292</w:t>
      </w:r>
      <w:r w:rsidRPr="00A2171C">
        <w:rPr>
          <w:rFonts w:eastAsia="Times New Roman" w:cs="Times New Roman"/>
          <w:szCs w:val="20"/>
          <w:lang w:val="en-GB"/>
        </w:rPr>
        <w:t xml:space="preserve"> The authors would like to acknowledge the 2</w:t>
      </w:r>
      <w:r w:rsidRPr="00A2171C">
        <w:rPr>
          <w:rFonts w:eastAsia="Times New Roman" w:cs="Times New Roman"/>
          <w:szCs w:val="20"/>
          <w:vertAlign w:val="superscript"/>
          <w:lang w:val="en-GB"/>
        </w:rPr>
        <w:t>nd</w:t>
      </w:r>
      <w:r w:rsidRPr="00A2171C">
        <w:rPr>
          <w:rFonts w:eastAsia="Times New Roman" w:cs="Times New Roman"/>
          <w:szCs w:val="20"/>
          <w:lang w:val="en-GB"/>
        </w:rPr>
        <w:t xml:space="preserve"> Company Wing of the Santiago Firefighters Corps “Esmeralda”, the Captain García Sepúlveda, the “Junta de Vecinos Barrio Yungay” and its director José Osorio for the support and contribution to the development of this work.</w:t>
      </w:r>
      <w:r w:rsidRPr="00A2171C">
        <w:rPr>
          <w:lang w:val="en-US"/>
        </w:rPr>
        <w:t xml:space="preserve"> </w:t>
      </w:r>
      <w:r w:rsidRPr="00A2171C">
        <w:rPr>
          <w:rFonts w:eastAsia="Times New Roman" w:cs="Times New Roman"/>
          <w:szCs w:val="20"/>
          <w:lang w:val="en-GB"/>
        </w:rPr>
        <w:t>Finally, the author</w:t>
      </w:r>
      <w:r w:rsidR="00F34CAA" w:rsidRPr="00A2171C">
        <w:rPr>
          <w:rFonts w:eastAsia="Times New Roman" w:cs="Times New Roman"/>
          <w:szCs w:val="20"/>
          <w:lang w:val="en-GB"/>
        </w:rPr>
        <w:t>s</w:t>
      </w:r>
      <w:r w:rsidRPr="00A2171C">
        <w:rPr>
          <w:rFonts w:eastAsia="Times New Roman" w:cs="Times New Roman"/>
          <w:szCs w:val="20"/>
          <w:lang w:val="en-GB"/>
        </w:rPr>
        <w:t xml:space="preserve"> </w:t>
      </w:r>
      <w:r w:rsidR="00F34CAA" w:rsidRPr="00A2171C">
        <w:rPr>
          <w:rFonts w:eastAsia="Times New Roman" w:cs="Times New Roman"/>
          <w:szCs w:val="20"/>
          <w:lang w:val="en-GB"/>
        </w:rPr>
        <w:t xml:space="preserve">also </w:t>
      </w:r>
      <w:r w:rsidRPr="00A2171C">
        <w:rPr>
          <w:rFonts w:eastAsia="Times New Roman" w:cs="Times New Roman"/>
          <w:szCs w:val="20"/>
          <w:lang w:val="en-GB"/>
        </w:rPr>
        <w:t xml:space="preserve">thank the electrical engineer Graciela Ramirez for her </w:t>
      </w:r>
      <w:r w:rsidR="00CA4EF7" w:rsidRPr="00A2171C">
        <w:rPr>
          <w:rFonts w:eastAsia="Times New Roman" w:cs="Times New Roman"/>
          <w:szCs w:val="20"/>
          <w:lang w:val="en-GB"/>
        </w:rPr>
        <w:t>assistance</w:t>
      </w:r>
      <w:r w:rsidR="00F34CAA" w:rsidRPr="00A2171C">
        <w:rPr>
          <w:rFonts w:eastAsia="Times New Roman" w:cs="Times New Roman"/>
          <w:szCs w:val="20"/>
          <w:lang w:val="en-GB"/>
        </w:rPr>
        <w:t xml:space="preserve"> in the </w:t>
      </w:r>
      <w:r w:rsidRPr="00A2171C">
        <w:rPr>
          <w:rFonts w:eastAsia="Times New Roman" w:cs="Times New Roman"/>
          <w:szCs w:val="20"/>
          <w:lang w:val="en-GB"/>
        </w:rPr>
        <w:t>in-situ work.</w:t>
      </w:r>
    </w:p>
    <w:p w14:paraId="48897249" w14:textId="77777777" w:rsidR="00A46867" w:rsidRPr="00A2171C" w:rsidRDefault="00A46867" w:rsidP="00A46867">
      <w:pPr>
        <w:pStyle w:val="Heading1"/>
        <w:numPr>
          <w:ilvl w:val="0"/>
          <w:numId w:val="1"/>
        </w:numPr>
      </w:pPr>
      <w:r w:rsidRPr="00A2171C">
        <w:lastRenderedPageBreak/>
        <w:t xml:space="preserve">Referencies </w:t>
      </w:r>
    </w:p>
    <w:p w14:paraId="5563D89E" w14:textId="7E48059E" w:rsidR="00CC5FDE" w:rsidRPr="00A2171C" w:rsidRDefault="00A46867" w:rsidP="00A2171C">
      <w:pPr>
        <w:widowControl w:val="0"/>
        <w:autoSpaceDE w:val="0"/>
        <w:autoSpaceDN w:val="0"/>
        <w:adjustRightInd w:val="0"/>
        <w:spacing w:after="0" w:line="276" w:lineRule="auto"/>
        <w:ind w:left="480" w:hanging="480"/>
        <w:rPr>
          <w:rFonts w:cs="Times New Roman"/>
          <w:noProof/>
          <w:szCs w:val="24"/>
          <w:lang w:val="en-US"/>
        </w:rPr>
      </w:pPr>
      <w:r w:rsidRPr="00A2171C">
        <w:rPr>
          <w:szCs w:val="20"/>
          <w:lang w:val="en-GB"/>
        </w:rPr>
        <w:fldChar w:fldCharType="begin" w:fldLock="1"/>
      </w:r>
      <w:r w:rsidRPr="00A2171C">
        <w:rPr>
          <w:szCs w:val="20"/>
        </w:rPr>
        <w:instrText xml:space="preserve">ADDIN Mendeley Bibliography CSL_BIBLIOGRAPHY </w:instrText>
      </w:r>
      <w:r w:rsidRPr="00A2171C">
        <w:rPr>
          <w:szCs w:val="20"/>
          <w:lang w:val="en-GB"/>
        </w:rPr>
        <w:fldChar w:fldCharType="separate"/>
      </w:r>
      <w:r w:rsidR="00CC5FDE" w:rsidRPr="00A2171C">
        <w:rPr>
          <w:rFonts w:cs="Times New Roman"/>
          <w:noProof/>
          <w:szCs w:val="24"/>
        </w:rPr>
        <w:t xml:space="preserve">Abatzoglou, J. T., Rupp, D. E., O’Neill, L. W., &amp; Sadegh, M. (2021). </w:t>
      </w:r>
      <w:r w:rsidR="00CC5FDE" w:rsidRPr="00A2171C">
        <w:rPr>
          <w:rFonts w:cs="Times New Roman"/>
          <w:noProof/>
          <w:szCs w:val="24"/>
          <w:lang w:val="en-US"/>
        </w:rPr>
        <w:t xml:space="preserve">Compound Extremes Drive the Western Oregon Wildfires of September 2020. </w:t>
      </w:r>
      <w:r w:rsidR="00CC5FDE" w:rsidRPr="00A2171C">
        <w:rPr>
          <w:rFonts w:cs="Times New Roman"/>
          <w:i/>
          <w:iCs/>
          <w:noProof/>
          <w:szCs w:val="24"/>
          <w:lang w:val="en-US"/>
        </w:rPr>
        <w:t>Geophysical Research Letters</w:t>
      </w:r>
      <w:r w:rsidR="00CC5FDE" w:rsidRPr="00A2171C">
        <w:rPr>
          <w:rFonts w:cs="Times New Roman"/>
          <w:noProof/>
          <w:szCs w:val="24"/>
          <w:lang w:val="en-US"/>
        </w:rPr>
        <w:t xml:space="preserve">, </w:t>
      </w:r>
      <w:r w:rsidR="00CC5FDE" w:rsidRPr="00A2171C">
        <w:rPr>
          <w:rFonts w:cs="Times New Roman"/>
          <w:i/>
          <w:iCs/>
          <w:noProof/>
          <w:szCs w:val="24"/>
          <w:lang w:val="en-US"/>
        </w:rPr>
        <w:t>48</w:t>
      </w:r>
      <w:r w:rsidR="00CC5FDE" w:rsidRPr="00A2171C">
        <w:rPr>
          <w:rFonts w:cs="Times New Roman"/>
          <w:noProof/>
          <w:szCs w:val="24"/>
          <w:lang w:val="en-US"/>
        </w:rPr>
        <w:t>(8). https://doi.org/10.1029/2021GL092520</w:t>
      </w:r>
    </w:p>
    <w:p w14:paraId="727A1351"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Arborea, A., Mossa, G., &amp; Cucurachi, G. (2014). Preventive fire risk assessment of Italian architectural heritage: An index based approach. </w:t>
      </w:r>
      <w:r w:rsidRPr="00A2171C">
        <w:rPr>
          <w:rFonts w:cs="Times New Roman"/>
          <w:i/>
          <w:iCs/>
          <w:noProof/>
          <w:szCs w:val="24"/>
          <w:lang w:val="en-US"/>
        </w:rPr>
        <w:t>Key Engineering Materials</w:t>
      </w:r>
      <w:r w:rsidRPr="00A2171C">
        <w:rPr>
          <w:rFonts w:cs="Times New Roman"/>
          <w:noProof/>
          <w:szCs w:val="24"/>
          <w:lang w:val="en-US"/>
        </w:rPr>
        <w:t xml:space="preserve">, </w:t>
      </w:r>
      <w:r w:rsidRPr="00A2171C">
        <w:rPr>
          <w:rFonts w:cs="Times New Roman"/>
          <w:i/>
          <w:iCs/>
          <w:noProof/>
          <w:szCs w:val="24"/>
          <w:lang w:val="en-US"/>
        </w:rPr>
        <w:t>628</w:t>
      </w:r>
      <w:r w:rsidRPr="00A2171C">
        <w:rPr>
          <w:rFonts w:cs="Times New Roman"/>
          <w:noProof/>
          <w:szCs w:val="24"/>
          <w:lang w:val="en-US"/>
        </w:rPr>
        <w:t>, 27–33. https://doi.org/10.4028/www.scientific.net/KEM.628.27</w:t>
      </w:r>
    </w:p>
    <w:p w14:paraId="5043F62C"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rPr>
        <w:t xml:space="preserve">Baquedano Juliá, P., &amp; Ferreira, T. M. (2021). </w:t>
      </w:r>
      <w:r w:rsidRPr="00A2171C">
        <w:rPr>
          <w:rFonts w:cs="Times New Roman"/>
          <w:noProof/>
          <w:szCs w:val="24"/>
          <w:lang w:val="en-US"/>
        </w:rPr>
        <w:t xml:space="preserve">From single- to multi-hazard vulnerability and risk in Historic Urban Areas: a literature review. In </w:t>
      </w:r>
      <w:r w:rsidRPr="00A2171C">
        <w:rPr>
          <w:rFonts w:cs="Times New Roman"/>
          <w:i/>
          <w:iCs/>
          <w:noProof/>
          <w:szCs w:val="24"/>
          <w:lang w:val="en-US"/>
        </w:rPr>
        <w:t>Natural Hazards</w:t>
      </w:r>
      <w:r w:rsidRPr="00A2171C">
        <w:rPr>
          <w:rFonts w:cs="Times New Roman"/>
          <w:noProof/>
          <w:szCs w:val="24"/>
          <w:lang w:val="en-US"/>
        </w:rPr>
        <w:t xml:space="preserve"> (Issue 0123456789). Springer Netherlands. https://doi.org/10.1007/s11069-021-04734-5</w:t>
      </w:r>
    </w:p>
    <w:p w14:paraId="5A47D79D"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it-IT"/>
        </w:rPr>
      </w:pPr>
      <w:r w:rsidRPr="00A2171C">
        <w:rPr>
          <w:rFonts w:cs="Times New Roman"/>
          <w:noProof/>
          <w:szCs w:val="24"/>
          <w:lang w:val="it-IT"/>
        </w:rPr>
        <w:t xml:space="preserve">Bramerini, F., &amp; Castenetto, S. (2014). </w:t>
      </w:r>
      <w:r w:rsidRPr="00A2171C">
        <w:rPr>
          <w:rFonts w:cs="Times New Roman"/>
          <w:i/>
          <w:iCs/>
          <w:noProof/>
          <w:szCs w:val="24"/>
          <w:lang w:val="it-IT"/>
        </w:rPr>
        <w:t>Manuale per l’analisi della Condizione Limite per l’Emergenza (CLE) dell’insediamento urbano. Commissione tecnica per la microzonazione sismica.</w:t>
      </w:r>
      <w:r w:rsidRPr="00A2171C">
        <w:rPr>
          <w:rFonts w:cs="Times New Roman"/>
          <w:noProof/>
          <w:szCs w:val="24"/>
          <w:lang w:val="it-IT"/>
        </w:rPr>
        <w:t xml:space="preserve"> (BetMultime).</w:t>
      </w:r>
    </w:p>
    <w:p w14:paraId="112795E1"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lang w:val="it-IT"/>
        </w:rPr>
        <w:t xml:space="preserve">Coelho, A. L. (2010). </w:t>
      </w:r>
      <w:r w:rsidRPr="00A2171C">
        <w:rPr>
          <w:rFonts w:cs="Times New Roman"/>
          <w:i/>
          <w:iCs/>
          <w:noProof/>
          <w:szCs w:val="24"/>
        </w:rPr>
        <w:t>Incêndios em edifícios</w:t>
      </w:r>
      <w:r w:rsidRPr="00A2171C">
        <w:rPr>
          <w:rFonts w:cs="Times New Roman"/>
          <w:noProof/>
          <w:szCs w:val="24"/>
        </w:rPr>
        <w:t xml:space="preserve"> (E. Orion (ed.); Primerira).</w:t>
      </w:r>
    </w:p>
    <w:p w14:paraId="36AD852C"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lang w:val="en-US"/>
        </w:rPr>
        <w:t xml:space="preserve">Cutter, S. L., Boruff, B. J., &amp; Shirley, W. L. (2003). Social vulnerability to environmental hazards. </w:t>
      </w:r>
      <w:r w:rsidRPr="00A2171C">
        <w:rPr>
          <w:rFonts w:cs="Times New Roman"/>
          <w:i/>
          <w:iCs/>
          <w:noProof/>
          <w:szCs w:val="24"/>
        </w:rPr>
        <w:t>Social Science Quarterly</w:t>
      </w:r>
      <w:r w:rsidRPr="00A2171C">
        <w:rPr>
          <w:rFonts w:cs="Times New Roman"/>
          <w:noProof/>
          <w:szCs w:val="24"/>
        </w:rPr>
        <w:t xml:space="preserve">, </w:t>
      </w:r>
      <w:r w:rsidRPr="00A2171C">
        <w:rPr>
          <w:rFonts w:cs="Times New Roman"/>
          <w:i/>
          <w:iCs/>
          <w:noProof/>
          <w:szCs w:val="24"/>
        </w:rPr>
        <w:t>84</w:t>
      </w:r>
      <w:r w:rsidRPr="00A2171C">
        <w:rPr>
          <w:rFonts w:cs="Times New Roman"/>
          <w:noProof/>
          <w:szCs w:val="24"/>
        </w:rPr>
        <w:t>(2), 242–261. https://doi.org/10.1111/1540-6237.8402002</w:t>
      </w:r>
    </w:p>
    <w:p w14:paraId="39DAB7CF" w14:textId="5999B6D0"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Decree No. 1199. (2004). </w:t>
      </w:r>
      <w:r w:rsidRPr="00A2171C">
        <w:rPr>
          <w:rFonts w:cs="Times New Roman"/>
          <w:i/>
          <w:iCs/>
          <w:noProof/>
          <w:szCs w:val="24"/>
        </w:rPr>
        <w:t>A</w:t>
      </w:r>
      <w:r w:rsidR="00A2171C" w:rsidRPr="00A2171C">
        <w:rPr>
          <w:rFonts w:cs="Times New Roman"/>
          <w:i/>
          <w:iCs/>
          <w:noProof/>
          <w:szCs w:val="24"/>
        </w:rPr>
        <w:t>prueba el reglamento de las concesiones sanitarias de produccion y distribucion de agua potable y de recoleccion y disposicion de aguas servidas y de las normas sobre calidad de atencion a los usuarios de estos servicios.</w:t>
      </w:r>
      <w:r w:rsidRPr="00A2171C">
        <w:rPr>
          <w:rFonts w:cs="Times New Roman"/>
          <w:i/>
          <w:iCs/>
          <w:noProof/>
          <w:szCs w:val="24"/>
        </w:rPr>
        <w:t xml:space="preserve"> Ministerio de Obras Públicas</w:t>
      </w:r>
      <w:r w:rsidRPr="00A2171C">
        <w:rPr>
          <w:rFonts w:cs="Times New Roman"/>
          <w:noProof/>
          <w:szCs w:val="24"/>
        </w:rPr>
        <w:t>.</w:t>
      </w:r>
    </w:p>
    <w:p w14:paraId="16CA5D57"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Decree No. 43. (2009). </w:t>
      </w:r>
      <w:r w:rsidRPr="00A2171C">
        <w:rPr>
          <w:rFonts w:cs="Times New Roman"/>
          <w:i/>
          <w:iCs/>
          <w:noProof/>
          <w:szCs w:val="24"/>
        </w:rPr>
        <w:t>Declárese Monumento Nacional en la Categoría de Zona Típica o Pintoresca el Sector que indica de los Barrios Yungay y Brasil de Santiago Poniente, de la Cuidad de Santiago, Comuna y Provincia de Santiago, Región Metropolitana. Consejo de Monumentos Nacion</w:t>
      </w:r>
      <w:r w:rsidRPr="00A2171C">
        <w:rPr>
          <w:rFonts w:cs="Times New Roman"/>
          <w:noProof/>
          <w:szCs w:val="24"/>
        </w:rPr>
        <w:t>.</w:t>
      </w:r>
    </w:p>
    <w:p w14:paraId="6C6B7D9D"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Decree No. 47. (1992). </w:t>
      </w:r>
      <w:r w:rsidRPr="00A2171C">
        <w:rPr>
          <w:rFonts w:cs="Times New Roman"/>
          <w:i/>
          <w:iCs/>
          <w:noProof/>
          <w:szCs w:val="24"/>
        </w:rPr>
        <w:t>del Ministerio de Vivienda y Urbanismo, que fija nuevo texto de la Ordenanza General de la Ley General de Urbanismo y Construcciones.</w:t>
      </w:r>
    </w:p>
    <w:p w14:paraId="72BED3E9"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Decree No. 594. (2000). </w:t>
      </w:r>
      <w:r w:rsidRPr="00A2171C">
        <w:rPr>
          <w:rFonts w:cs="Times New Roman"/>
          <w:i/>
          <w:iCs/>
          <w:noProof/>
          <w:szCs w:val="24"/>
        </w:rPr>
        <w:t>Reglamento sobre Condiciones Sanitarias y Ambientales Básicas en los Lugares de Trabajo. Ministerio de Salud</w:t>
      </w:r>
      <w:r w:rsidRPr="00A2171C">
        <w:rPr>
          <w:rFonts w:cs="Times New Roman"/>
          <w:noProof/>
          <w:szCs w:val="24"/>
        </w:rPr>
        <w:t>.</w:t>
      </w:r>
    </w:p>
    <w:p w14:paraId="1DD496CB" w14:textId="07BB56C5"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rPr>
        <w:t xml:space="preserve">Faria, M. A., Rodrigues, J. P., &amp; Coelho, A. L. (2012). </w:t>
      </w:r>
      <w:r w:rsidRPr="00A2171C">
        <w:rPr>
          <w:rFonts w:cs="Times New Roman"/>
          <w:i/>
          <w:iCs/>
          <w:noProof/>
          <w:szCs w:val="24"/>
        </w:rPr>
        <w:t>A</w:t>
      </w:r>
      <w:r w:rsidR="00A2171C" w:rsidRPr="00A2171C">
        <w:rPr>
          <w:rFonts w:cs="Times New Roman"/>
          <w:i/>
          <w:iCs/>
          <w:noProof/>
          <w:szCs w:val="24"/>
        </w:rPr>
        <w:t>plicação dos métodos de arica e de gretener na avaliação do risco de incêndio no cua de setúbal</w:t>
      </w:r>
      <w:r w:rsidRPr="00A2171C">
        <w:rPr>
          <w:rFonts w:cs="Times New Roman"/>
          <w:noProof/>
          <w:szCs w:val="24"/>
        </w:rPr>
        <w:t xml:space="preserve">. </w:t>
      </w:r>
      <w:r w:rsidRPr="00A2171C">
        <w:rPr>
          <w:rFonts w:cs="Times New Roman"/>
          <w:i/>
          <w:iCs/>
          <w:noProof/>
          <w:szCs w:val="24"/>
          <w:lang w:val="en-US"/>
        </w:rPr>
        <w:t>January</w:t>
      </w:r>
      <w:r w:rsidRPr="00A2171C">
        <w:rPr>
          <w:rFonts w:cs="Times New Roman"/>
          <w:noProof/>
          <w:szCs w:val="24"/>
          <w:lang w:val="en-US"/>
        </w:rPr>
        <w:t>.</w:t>
      </w:r>
    </w:p>
    <w:p w14:paraId="7FA9BB0A"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Ferreira, T. ., Vicente, R., Mendes da Silva, J. A. R., Varum, H., Costa, A., &amp; Maio, R. (2016). Urban fire risk: Evaluation and emergency planning. </w:t>
      </w:r>
      <w:r w:rsidRPr="00A2171C">
        <w:rPr>
          <w:rFonts w:cs="Times New Roman"/>
          <w:i/>
          <w:iCs/>
          <w:noProof/>
          <w:szCs w:val="24"/>
          <w:lang w:val="en-US"/>
        </w:rPr>
        <w:t>Journal of Cultural Heritage</w:t>
      </w:r>
      <w:r w:rsidRPr="00A2171C">
        <w:rPr>
          <w:rFonts w:cs="Times New Roman"/>
          <w:noProof/>
          <w:szCs w:val="24"/>
          <w:lang w:val="en-US"/>
        </w:rPr>
        <w:t xml:space="preserve">, </w:t>
      </w:r>
      <w:r w:rsidRPr="00A2171C">
        <w:rPr>
          <w:rFonts w:cs="Times New Roman"/>
          <w:i/>
          <w:iCs/>
          <w:noProof/>
          <w:szCs w:val="24"/>
          <w:lang w:val="en-US"/>
        </w:rPr>
        <w:t>20</w:t>
      </w:r>
      <w:r w:rsidRPr="00A2171C">
        <w:rPr>
          <w:rFonts w:cs="Times New Roman"/>
          <w:noProof/>
          <w:szCs w:val="24"/>
          <w:lang w:val="en-US"/>
        </w:rPr>
        <w:t>(426), 1–7. https://doi.org/10.1016/j.culher.2016.01.011</w:t>
      </w:r>
    </w:p>
    <w:p w14:paraId="2D7971E9"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Florentin, K. M., Onuki, M., Esteban, M., Valenzuela, V. P., Paterno, M. C., Akpedonu, E., Arcilla, J., &amp; Garciano, L. (2022). Implementing a Pre‐disaster Recovery Workshop in Intramuros, Manila, Philippines: lessons for disaster risk assessment, response, and recovery for cultural heritage. </w:t>
      </w:r>
      <w:r w:rsidRPr="00A2171C">
        <w:rPr>
          <w:rFonts w:cs="Times New Roman"/>
          <w:i/>
          <w:iCs/>
          <w:noProof/>
          <w:szCs w:val="24"/>
          <w:lang w:val="en-US"/>
        </w:rPr>
        <w:t>Disasters</w:t>
      </w:r>
      <w:r w:rsidRPr="00A2171C">
        <w:rPr>
          <w:rFonts w:cs="Times New Roman"/>
          <w:noProof/>
          <w:szCs w:val="24"/>
          <w:lang w:val="en-US"/>
        </w:rPr>
        <w:t xml:space="preserve">, </w:t>
      </w:r>
      <w:r w:rsidRPr="00A2171C">
        <w:rPr>
          <w:rFonts w:cs="Times New Roman"/>
          <w:i/>
          <w:iCs/>
          <w:noProof/>
          <w:szCs w:val="24"/>
          <w:lang w:val="en-US"/>
        </w:rPr>
        <w:t>46</w:t>
      </w:r>
      <w:r w:rsidRPr="00A2171C">
        <w:rPr>
          <w:rFonts w:cs="Times New Roman"/>
          <w:noProof/>
          <w:szCs w:val="24"/>
          <w:lang w:val="en-US"/>
        </w:rPr>
        <w:t>(3), 791–813. https://doi.org/10.1111/disa.12486</w:t>
      </w:r>
    </w:p>
    <w:p w14:paraId="2713B41D"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FRAME. (2008). </w:t>
      </w:r>
      <w:r w:rsidRPr="00A2171C">
        <w:rPr>
          <w:rFonts w:cs="Times New Roman"/>
          <w:i/>
          <w:iCs/>
          <w:noProof/>
          <w:szCs w:val="24"/>
          <w:lang w:val="en-US"/>
        </w:rPr>
        <w:t>FRAME 2008. Theoretical basis and technical reference guide.</w:t>
      </w:r>
    </w:p>
    <w:p w14:paraId="39F1866A"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García, M., &amp; Naranjo, H. (2017). Factores influyentes en la vulnerabilidad ante desastres naturales en Bolivia 1980 – 2012. </w:t>
      </w:r>
      <w:r w:rsidRPr="00A2171C">
        <w:rPr>
          <w:rFonts w:cs="Times New Roman"/>
          <w:i/>
          <w:iCs/>
          <w:noProof/>
          <w:szCs w:val="24"/>
        </w:rPr>
        <w:t>Investigacion &amp; Desarrollo</w:t>
      </w:r>
      <w:r w:rsidRPr="00A2171C">
        <w:rPr>
          <w:rFonts w:cs="Times New Roman"/>
          <w:noProof/>
          <w:szCs w:val="24"/>
        </w:rPr>
        <w:t xml:space="preserve">, </w:t>
      </w:r>
      <w:r w:rsidRPr="00A2171C">
        <w:rPr>
          <w:rFonts w:cs="Times New Roman"/>
          <w:i/>
          <w:iCs/>
          <w:noProof/>
          <w:szCs w:val="24"/>
        </w:rPr>
        <w:t>16</w:t>
      </w:r>
      <w:r w:rsidRPr="00A2171C">
        <w:rPr>
          <w:rFonts w:cs="Times New Roman"/>
          <w:noProof/>
          <w:szCs w:val="24"/>
        </w:rPr>
        <w:t>(2), 31–44. https://doi.org/10.23881/idupbo.016.2-3e</w:t>
      </w:r>
    </w:p>
    <w:p w14:paraId="01BE6E19"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rPr>
        <w:t xml:space="preserve">Granda, S., &amp; Ferreira, T. M. (2019a). </w:t>
      </w:r>
      <w:r w:rsidRPr="00A2171C">
        <w:rPr>
          <w:rFonts w:cs="Times New Roman"/>
          <w:noProof/>
          <w:szCs w:val="24"/>
          <w:lang w:val="en-US"/>
        </w:rPr>
        <w:t xml:space="preserve">Assessing Vulnerability and Fire Risk in Old Urban Areas: Application to the Historical Centre of Guimarães. </w:t>
      </w:r>
      <w:r w:rsidRPr="00A2171C">
        <w:rPr>
          <w:rFonts w:cs="Times New Roman"/>
          <w:i/>
          <w:iCs/>
          <w:noProof/>
          <w:szCs w:val="24"/>
          <w:lang w:val="en-US"/>
        </w:rPr>
        <w:t>Fire Technology</w:t>
      </w:r>
      <w:r w:rsidRPr="00A2171C">
        <w:rPr>
          <w:rFonts w:cs="Times New Roman"/>
          <w:noProof/>
          <w:szCs w:val="24"/>
          <w:lang w:val="en-US"/>
        </w:rPr>
        <w:t xml:space="preserve">, </w:t>
      </w:r>
      <w:r w:rsidRPr="00A2171C">
        <w:rPr>
          <w:rFonts w:cs="Times New Roman"/>
          <w:i/>
          <w:iCs/>
          <w:noProof/>
          <w:szCs w:val="24"/>
          <w:lang w:val="en-US"/>
        </w:rPr>
        <w:t>55</w:t>
      </w:r>
      <w:r w:rsidRPr="00A2171C">
        <w:rPr>
          <w:rFonts w:cs="Times New Roman"/>
          <w:noProof/>
          <w:szCs w:val="24"/>
          <w:lang w:val="en-US"/>
        </w:rPr>
        <w:t>(1), 105–127. https://doi.org/10.1007/s10694-018-0778-z</w:t>
      </w:r>
    </w:p>
    <w:p w14:paraId="0192638B"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Granda, S., &amp; Ferreira, T. M. (2019b). Large-scale Vulnerability and Fire Risk Assessment of the Historic Centre of Quito, Ecuador. </w:t>
      </w:r>
      <w:r w:rsidRPr="00A2171C">
        <w:rPr>
          <w:rFonts w:cs="Times New Roman"/>
          <w:i/>
          <w:iCs/>
          <w:noProof/>
          <w:szCs w:val="24"/>
          <w:lang w:val="en-US"/>
        </w:rPr>
        <w:t>International Journal of Architectural Heritage</w:t>
      </w:r>
      <w:r w:rsidRPr="00A2171C">
        <w:rPr>
          <w:rFonts w:cs="Times New Roman"/>
          <w:noProof/>
          <w:szCs w:val="24"/>
          <w:lang w:val="en-US"/>
        </w:rPr>
        <w:t xml:space="preserve">, </w:t>
      </w:r>
      <w:r w:rsidRPr="00A2171C">
        <w:rPr>
          <w:rFonts w:cs="Times New Roman"/>
          <w:i/>
          <w:iCs/>
          <w:noProof/>
          <w:szCs w:val="24"/>
          <w:lang w:val="en-US"/>
        </w:rPr>
        <w:t>September</w:t>
      </w:r>
      <w:r w:rsidRPr="00A2171C">
        <w:rPr>
          <w:rFonts w:cs="Times New Roman"/>
          <w:noProof/>
          <w:szCs w:val="24"/>
          <w:lang w:val="en-US"/>
        </w:rPr>
        <w:t>. https://doi.org/10.1080/15583058.2019.1665142</w:t>
      </w:r>
    </w:p>
    <w:p w14:paraId="68017049"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lang w:val="en-US"/>
        </w:rPr>
        <w:t xml:space="preserve">INE. (2018). </w:t>
      </w:r>
      <w:r w:rsidRPr="00A2171C">
        <w:rPr>
          <w:rFonts w:cs="Times New Roman"/>
          <w:noProof/>
          <w:szCs w:val="24"/>
        </w:rPr>
        <w:t xml:space="preserve">Síntesis Resultados Censo 2017. </w:t>
      </w:r>
      <w:r w:rsidRPr="00A2171C">
        <w:rPr>
          <w:rFonts w:cs="Times New Roman"/>
          <w:i/>
          <w:iCs/>
          <w:noProof/>
          <w:szCs w:val="24"/>
        </w:rPr>
        <w:t>Instituto Nacional de Estadísticas, Santiago.</w:t>
      </w:r>
    </w:p>
    <w:p w14:paraId="1A3D987A"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Jaiswal, K., &amp; D’Ayala, D. (2011). Developing empirical collapse fragility functions for global building. </w:t>
      </w:r>
      <w:r w:rsidRPr="00A2171C">
        <w:rPr>
          <w:rFonts w:cs="Times New Roman"/>
          <w:i/>
          <w:iCs/>
          <w:noProof/>
          <w:szCs w:val="24"/>
          <w:lang w:val="en-US"/>
        </w:rPr>
        <w:t>Earthq Apectra</w:t>
      </w:r>
      <w:r w:rsidRPr="00A2171C">
        <w:rPr>
          <w:rFonts w:cs="Times New Roman"/>
          <w:noProof/>
          <w:szCs w:val="24"/>
          <w:lang w:val="en-US"/>
        </w:rPr>
        <w:t xml:space="preserve">, </w:t>
      </w:r>
      <w:r w:rsidRPr="00A2171C">
        <w:rPr>
          <w:rFonts w:cs="Times New Roman"/>
          <w:i/>
          <w:iCs/>
          <w:noProof/>
          <w:szCs w:val="24"/>
          <w:lang w:val="en-US"/>
        </w:rPr>
        <w:t>27</w:t>
      </w:r>
      <w:r w:rsidRPr="00A2171C">
        <w:rPr>
          <w:rFonts w:cs="Times New Roman"/>
          <w:noProof/>
          <w:szCs w:val="24"/>
          <w:lang w:val="en-US"/>
        </w:rPr>
        <w:t>(3), 2–6.</w:t>
      </w:r>
    </w:p>
    <w:p w14:paraId="480F3FA2"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Kaiser, J. (1979). Experiences of the Gretener Method*. </w:t>
      </w:r>
      <w:r w:rsidRPr="00A2171C">
        <w:rPr>
          <w:rFonts w:cs="Times New Roman"/>
          <w:i/>
          <w:iCs/>
          <w:noProof/>
          <w:szCs w:val="24"/>
          <w:lang w:val="en-US"/>
        </w:rPr>
        <w:t>Fire Safety Journal,</w:t>
      </w:r>
      <w:r w:rsidRPr="00A2171C">
        <w:rPr>
          <w:rFonts w:cs="Times New Roman"/>
          <w:noProof/>
          <w:szCs w:val="24"/>
          <w:lang w:val="en-US"/>
        </w:rPr>
        <w:t xml:space="preserve"> </w:t>
      </w:r>
      <w:r w:rsidRPr="00A2171C">
        <w:rPr>
          <w:rFonts w:cs="Times New Roman"/>
          <w:i/>
          <w:iCs/>
          <w:noProof/>
          <w:szCs w:val="24"/>
          <w:lang w:val="en-US"/>
        </w:rPr>
        <w:t>2</w:t>
      </w:r>
      <w:r w:rsidRPr="00A2171C">
        <w:rPr>
          <w:rFonts w:cs="Times New Roman"/>
          <w:noProof/>
          <w:szCs w:val="24"/>
          <w:lang w:val="en-US"/>
        </w:rPr>
        <w:t>, 213–222.</w:t>
      </w:r>
    </w:p>
    <w:p w14:paraId="0C09165A"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rPr>
        <w:t xml:space="preserve">Martínez, C., Cienfuegos, R., Inzunza, S., Urrutia, A., &amp; Guerrero, N. (2020). </w:t>
      </w:r>
      <w:r w:rsidRPr="00A2171C">
        <w:rPr>
          <w:rFonts w:cs="Times New Roman"/>
          <w:noProof/>
          <w:szCs w:val="24"/>
          <w:lang w:val="en-US"/>
        </w:rPr>
        <w:t xml:space="preserve">Worst-case tsunami scenario in </w:t>
      </w:r>
      <w:r w:rsidRPr="00A2171C">
        <w:rPr>
          <w:rFonts w:cs="Times New Roman"/>
          <w:noProof/>
          <w:szCs w:val="24"/>
          <w:lang w:val="en-US"/>
        </w:rPr>
        <w:lastRenderedPageBreak/>
        <w:t xml:space="preserve">Cartagena Bay, central Chile: Challenges for coastal risk management. </w:t>
      </w:r>
      <w:r w:rsidRPr="00A2171C">
        <w:rPr>
          <w:rFonts w:cs="Times New Roman"/>
          <w:i/>
          <w:iCs/>
          <w:noProof/>
          <w:szCs w:val="24"/>
          <w:lang w:val="en-US"/>
        </w:rPr>
        <w:t>Ocean and Coastal Management</w:t>
      </w:r>
      <w:r w:rsidRPr="00A2171C">
        <w:rPr>
          <w:rFonts w:cs="Times New Roman"/>
          <w:noProof/>
          <w:szCs w:val="24"/>
          <w:lang w:val="en-US"/>
        </w:rPr>
        <w:t xml:space="preserve">, </w:t>
      </w:r>
      <w:r w:rsidRPr="00A2171C">
        <w:rPr>
          <w:rFonts w:cs="Times New Roman"/>
          <w:i/>
          <w:iCs/>
          <w:noProof/>
          <w:szCs w:val="24"/>
          <w:lang w:val="en-US"/>
        </w:rPr>
        <w:t>185</w:t>
      </w:r>
      <w:r w:rsidRPr="00A2171C">
        <w:rPr>
          <w:rFonts w:cs="Times New Roman"/>
          <w:noProof/>
          <w:szCs w:val="24"/>
          <w:lang w:val="en-US"/>
        </w:rPr>
        <w:t>(October 2019). https://doi.org/10.1016/j.ocecoaman.2019.105060</w:t>
      </w:r>
    </w:p>
    <w:p w14:paraId="53AB2EC5"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MIDESO. (2015). Encuesta de Caracterización Socioeconómica - CASEN 2015, Situación de la Pobreza en Chile. </w:t>
      </w:r>
      <w:r w:rsidRPr="00A2171C">
        <w:rPr>
          <w:rFonts w:cs="Times New Roman"/>
          <w:i/>
          <w:iCs/>
          <w:noProof/>
          <w:szCs w:val="24"/>
        </w:rPr>
        <w:t>Ministerio de Desarrollo Social. Subsecretaría de Evaluación Social</w:t>
      </w:r>
      <w:r w:rsidRPr="00A2171C">
        <w:rPr>
          <w:rFonts w:cs="Times New Roman"/>
          <w:noProof/>
          <w:szCs w:val="24"/>
        </w:rPr>
        <w:t>. http://observatorio.ministeriodesarrollosocial.gob.cl/casen-multidimensional/casen/casen_2015.php</w:t>
      </w:r>
    </w:p>
    <w:p w14:paraId="692E1E9F"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NCh1646.Of98. (1998). Grifos de incendio – Tipo de columna 100 mm diámetro nominal – Requisitos generales. </w:t>
      </w:r>
      <w:r w:rsidRPr="00A2171C">
        <w:rPr>
          <w:rFonts w:cs="Times New Roman"/>
          <w:i/>
          <w:iCs/>
          <w:noProof/>
          <w:szCs w:val="24"/>
        </w:rPr>
        <w:t>Instituto Nacional De Normalización</w:t>
      </w:r>
      <w:r w:rsidRPr="00A2171C">
        <w:rPr>
          <w:rFonts w:cs="Times New Roman"/>
          <w:noProof/>
          <w:szCs w:val="24"/>
        </w:rPr>
        <w:t>.</w:t>
      </w:r>
    </w:p>
    <w:p w14:paraId="2959988C"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NCh1916.Of99. (1999). Prevención de incendios en edificios - Determinación de cargas combustibles. </w:t>
      </w:r>
      <w:r w:rsidRPr="00A2171C">
        <w:rPr>
          <w:rFonts w:cs="Times New Roman"/>
          <w:i/>
          <w:iCs/>
          <w:noProof/>
          <w:szCs w:val="24"/>
        </w:rPr>
        <w:t>Instituto Nacional De Normalización</w:t>
      </w:r>
      <w:r w:rsidRPr="00A2171C">
        <w:rPr>
          <w:rFonts w:cs="Times New Roman"/>
          <w:noProof/>
          <w:szCs w:val="24"/>
        </w:rPr>
        <w:t>.</w:t>
      </w:r>
    </w:p>
    <w:p w14:paraId="6D3E0414"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NCh2120/4.Of98. (1998). Sustancias peligrosas - Parte 4 : Clase 4 - Sólidos inflamables - Sustancias que presentan riesgos de combustión espontánea, sustancias que en contacto con el agua desprenden gases inflamables. </w:t>
      </w:r>
      <w:r w:rsidRPr="00A2171C">
        <w:rPr>
          <w:rFonts w:cs="Times New Roman"/>
          <w:i/>
          <w:iCs/>
          <w:noProof/>
          <w:szCs w:val="24"/>
        </w:rPr>
        <w:t>Instituto Nacional De Normalización</w:t>
      </w:r>
      <w:r w:rsidRPr="00A2171C">
        <w:rPr>
          <w:rFonts w:cs="Times New Roman"/>
          <w:noProof/>
          <w:szCs w:val="24"/>
        </w:rPr>
        <w:t>.</w:t>
      </w:r>
    </w:p>
    <w:p w14:paraId="7F2F6F91"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NCh691.Of98. (1998). Agua potable - Conducción, regulación y distribución. </w:t>
      </w:r>
      <w:r w:rsidRPr="00A2171C">
        <w:rPr>
          <w:rFonts w:cs="Times New Roman"/>
          <w:i/>
          <w:iCs/>
          <w:noProof/>
          <w:szCs w:val="24"/>
        </w:rPr>
        <w:t>Instituto Nacional De Normalización</w:t>
      </w:r>
      <w:r w:rsidRPr="00A2171C">
        <w:rPr>
          <w:rFonts w:cs="Times New Roman"/>
          <w:noProof/>
          <w:szCs w:val="24"/>
        </w:rPr>
        <w:t>.</w:t>
      </w:r>
    </w:p>
    <w:p w14:paraId="59D81B10"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Pais, P. A., &amp; Santos, C. (2015). Fire risk assessment in historical centers - Castelo Branco case study. </w:t>
      </w:r>
      <w:r w:rsidRPr="00A2171C">
        <w:rPr>
          <w:rFonts w:cs="Times New Roman"/>
          <w:i/>
          <w:iCs/>
          <w:noProof/>
          <w:szCs w:val="24"/>
        </w:rPr>
        <w:t>Agroforum</w:t>
      </w:r>
      <w:r w:rsidRPr="00A2171C">
        <w:rPr>
          <w:rFonts w:cs="Times New Roman"/>
          <w:noProof/>
          <w:szCs w:val="24"/>
        </w:rPr>
        <w:t xml:space="preserve">, </w:t>
      </w:r>
      <w:r w:rsidRPr="00A2171C">
        <w:rPr>
          <w:rFonts w:cs="Times New Roman"/>
          <w:i/>
          <w:iCs/>
          <w:noProof/>
          <w:szCs w:val="24"/>
        </w:rPr>
        <w:t>n°34</w:t>
      </w:r>
      <w:r w:rsidRPr="00A2171C">
        <w:rPr>
          <w:rFonts w:cs="Times New Roman"/>
          <w:noProof/>
          <w:szCs w:val="24"/>
        </w:rPr>
        <w:t>.</w:t>
      </w:r>
    </w:p>
    <w:p w14:paraId="52932BB9"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Palazzi, N. C., Barrientos, M., Sandoval, C., &amp; De, J. C. (2022). Seismic Vulnerability Assessment of the Yungay ’ s Historic Urban Center in Santiago , Chile Seismic Vulnerability Assessment of the Yungay ’ s Historic Urban. </w:t>
      </w:r>
      <w:r w:rsidRPr="00A2171C">
        <w:rPr>
          <w:rFonts w:cs="Times New Roman"/>
          <w:i/>
          <w:iCs/>
          <w:noProof/>
          <w:szCs w:val="24"/>
          <w:lang w:val="en-US"/>
        </w:rPr>
        <w:t>Journal of Earthquake Engineering</w:t>
      </w:r>
      <w:r w:rsidRPr="00A2171C">
        <w:rPr>
          <w:rFonts w:cs="Times New Roman"/>
          <w:noProof/>
          <w:szCs w:val="24"/>
          <w:lang w:val="en-US"/>
        </w:rPr>
        <w:t xml:space="preserve">, </w:t>
      </w:r>
      <w:r w:rsidRPr="00A2171C">
        <w:rPr>
          <w:rFonts w:cs="Times New Roman"/>
          <w:i/>
          <w:iCs/>
          <w:noProof/>
          <w:szCs w:val="24"/>
          <w:lang w:val="en-US"/>
        </w:rPr>
        <w:t>00</w:t>
      </w:r>
      <w:r w:rsidRPr="00A2171C">
        <w:rPr>
          <w:rFonts w:cs="Times New Roman"/>
          <w:noProof/>
          <w:szCs w:val="24"/>
          <w:lang w:val="en-US"/>
        </w:rPr>
        <w:t>(00), 1–28. https://doi.org/10.1080/13632469.2022.2087793</w:t>
      </w:r>
    </w:p>
    <w:p w14:paraId="73013C29"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Pulido, L. (2000). Rethinking environmental racism: White privilege and urban development in southern California. </w:t>
      </w:r>
      <w:r w:rsidRPr="00A2171C">
        <w:rPr>
          <w:rFonts w:cs="Times New Roman"/>
          <w:i/>
          <w:iCs/>
          <w:noProof/>
          <w:szCs w:val="24"/>
          <w:lang w:val="en-US"/>
        </w:rPr>
        <w:t>Annals of the Association of American Geographers</w:t>
      </w:r>
      <w:r w:rsidRPr="00A2171C">
        <w:rPr>
          <w:rFonts w:cs="Times New Roman"/>
          <w:noProof/>
          <w:szCs w:val="24"/>
          <w:lang w:val="en-US"/>
        </w:rPr>
        <w:t xml:space="preserve">, </w:t>
      </w:r>
      <w:r w:rsidRPr="00A2171C">
        <w:rPr>
          <w:rFonts w:cs="Times New Roman"/>
          <w:i/>
          <w:iCs/>
          <w:noProof/>
          <w:szCs w:val="24"/>
          <w:lang w:val="en-US"/>
        </w:rPr>
        <w:t>90</w:t>
      </w:r>
      <w:r w:rsidRPr="00A2171C">
        <w:rPr>
          <w:rFonts w:cs="Times New Roman"/>
          <w:noProof/>
          <w:szCs w:val="24"/>
          <w:lang w:val="en-US"/>
        </w:rPr>
        <w:t>(1), 12–40. https://doi.org/10.1111/0004-5608.00182</w:t>
      </w:r>
    </w:p>
    <w:p w14:paraId="116DD693"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Reszka, P., &amp; Fuentes, A. (2015). The Great Valparaiso Fire and Fire Safety Management in Chile. </w:t>
      </w:r>
      <w:r w:rsidRPr="00A2171C">
        <w:rPr>
          <w:rFonts w:cs="Times New Roman"/>
          <w:i/>
          <w:iCs/>
          <w:noProof/>
          <w:szCs w:val="24"/>
          <w:lang w:val="en-US"/>
        </w:rPr>
        <w:t>Fire Technology</w:t>
      </w:r>
      <w:r w:rsidRPr="00A2171C">
        <w:rPr>
          <w:rFonts w:cs="Times New Roman"/>
          <w:noProof/>
          <w:szCs w:val="24"/>
          <w:lang w:val="en-US"/>
        </w:rPr>
        <w:t xml:space="preserve">, </w:t>
      </w:r>
      <w:r w:rsidRPr="00A2171C">
        <w:rPr>
          <w:rFonts w:cs="Times New Roman"/>
          <w:i/>
          <w:iCs/>
          <w:noProof/>
          <w:szCs w:val="24"/>
          <w:lang w:val="en-US"/>
        </w:rPr>
        <w:t>51</w:t>
      </w:r>
      <w:r w:rsidRPr="00A2171C">
        <w:rPr>
          <w:rFonts w:cs="Times New Roman"/>
          <w:noProof/>
          <w:szCs w:val="24"/>
          <w:lang w:val="en-US"/>
        </w:rPr>
        <w:t>(4), 753–758. https://doi.org/10.1007/s10694-014-0427-0</w:t>
      </w:r>
    </w:p>
    <w:p w14:paraId="3DCD8B9C"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Rosas, J., &amp; Parcerisa, J. (2017). </w:t>
      </w:r>
      <w:r w:rsidRPr="00A2171C">
        <w:rPr>
          <w:rFonts w:cs="Times New Roman"/>
          <w:i/>
          <w:iCs/>
          <w:noProof/>
          <w:szCs w:val="24"/>
          <w:lang w:val="en-US"/>
        </w:rPr>
        <w:t>El canon republicano y la distancia cinco mil (The republic canon at a distance of five thousand): Santiago 1910 (Spanish Edition)</w:t>
      </w:r>
      <w:r w:rsidRPr="00A2171C">
        <w:rPr>
          <w:rFonts w:cs="Times New Roman"/>
          <w:noProof/>
          <w:szCs w:val="24"/>
          <w:lang w:val="en-US"/>
        </w:rPr>
        <w:t xml:space="preserve"> (Ediciones UC (ed.)).</w:t>
      </w:r>
    </w:p>
    <w:p w14:paraId="1171C115"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Saavedra, M., &amp; Starkman, N. (2000). </w:t>
      </w:r>
      <w:r w:rsidRPr="00A2171C">
        <w:rPr>
          <w:rFonts w:cs="Times New Roman"/>
          <w:i/>
          <w:iCs/>
          <w:noProof/>
          <w:szCs w:val="24"/>
        </w:rPr>
        <w:t>Santiago Poniente: desarrollo urbano y patrimonio</w:t>
      </w:r>
      <w:r w:rsidRPr="00A2171C">
        <w:rPr>
          <w:rFonts w:cs="Times New Roman"/>
          <w:noProof/>
          <w:szCs w:val="24"/>
        </w:rPr>
        <w:t xml:space="preserve"> (Dirección).</w:t>
      </w:r>
    </w:p>
    <w:p w14:paraId="5408FB33"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rPr>
        <w:t xml:space="preserve">Salazar, L. G. F., Romão, X., &amp; Paupério, E. (2021). </w:t>
      </w:r>
      <w:r w:rsidRPr="00A2171C">
        <w:rPr>
          <w:rFonts w:cs="Times New Roman"/>
          <w:noProof/>
          <w:szCs w:val="24"/>
          <w:lang w:val="en-US"/>
        </w:rPr>
        <w:t xml:space="preserve">Review of vulnerability indicators for fire risk assessment in cultural heritage. </w:t>
      </w:r>
      <w:r w:rsidRPr="00A2171C">
        <w:rPr>
          <w:rFonts w:cs="Times New Roman"/>
          <w:i/>
          <w:iCs/>
          <w:noProof/>
          <w:szCs w:val="24"/>
          <w:lang w:val="en-US"/>
        </w:rPr>
        <w:t>International Journal of Disaster Risk Reduction</w:t>
      </w:r>
      <w:r w:rsidRPr="00A2171C">
        <w:rPr>
          <w:rFonts w:cs="Times New Roman"/>
          <w:noProof/>
          <w:szCs w:val="24"/>
          <w:lang w:val="en-US"/>
        </w:rPr>
        <w:t xml:space="preserve">, </w:t>
      </w:r>
      <w:r w:rsidRPr="00A2171C">
        <w:rPr>
          <w:rFonts w:cs="Times New Roman"/>
          <w:i/>
          <w:iCs/>
          <w:noProof/>
          <w:szCs w:val="24"/>
          <w:lang w:val="en-US"/>
        </w:rPr>
        <w:t>60</w:t>
      </w:r>
      <w:r w:rsidRPr="00A2171C">
        <w:rPr>
          <w:rFonts w:cs="Times New Roman"/>
          <w:noProof/>
          <w:szCs w:val="24"/>
          <w:lang w:val="en-US"/>
        </w:rPr>
        <w:t>(December 2020). https://doi.org/10.1016/j.ijdrr.2021.102286</w:t>
      </w:r>
    </w:p>
    <w:p w14:paraId="7799B2AF"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rPr>
        <w:t xml:space="preserve">Santana, M. L. A., Rodrigues, J. P., Leça Coelho, A., &amp; Charreau, G. L. (2007). </w:t>
      </w:r>
      <w:r w:rsidRPr="00A2171C">
        <w:rPr>
          <w:rFonts w:cs="Times New Roman"/>
          <w:noProof/>
          <w:szCs w:val="24"/>
          <w:lang w:val="en-US"/>
        </w:rPr>
        <w:t xml:space="preserve">Fire risk assessment of historical areas: the case of Montemor-o-Velho. </w:t>
      </w:r>
      <w:r w:rsidRPr="00A2171C">
        <w:rPr>
          <w:rFonts w:cs="Times New Roman"/>
          <w:i/>
          <w:iCs/>
          <w:noProof/>
          <w:szCs w:val="24"/>
          <w:lang w:val="en-US"/>
        </w:rPr>
        <w:t>The Art of Resisting Extreme Natural Forces</w:t>
      </w:r>
      <w:r w:rsidRPr="00A2171C">
        <w:rPr>
          <w:rFonts w:cs="Times New Roman"/>
          <w:noProof/>
          <w:szCs w:val="24"/>
          <w:lang w:val="en-US"/>
        </w:rPr>
        <w:t xml:space="preserve">, </w:t>
      </w:r>
      <w:r w:rsidRPr="00A2171C">
        <w:rPr>
          <w:rFonts w:cs="Times New Roman"/>
          <w:i/>
          <w:iCs/>
          <w:noProof/>
          <w:szCs w:val="24"/>
          <w:lang w:val="en-US"/>
        </w:rPr>
        <w:t>I</w:t>
      </w:r>
      <w:r w:rsidRPr="00A2171C">
        <w:rPr>
          <w:rFonts w:cs="Times New Roman"/>
          <w:noProof/>
          <w:szCs w:val="24"/>
          <w:lang w:val="en-US"/>
        </w:rPr>
        <w:t>, 81–90. https://doi.org/10.2495/EN070091</w:t>
      </w:r>
    </w:p>
    <w:p w14:paraId="5E68D7A3"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SBI. (2021). </w:t>
      </w:r>
      <w:r w:rsidRPr="00A2171C">
        <w:rPr>
          <w:rFonts w:cs="Times New Roman"/>
          <w:i/>
          <w:iCs/>
          <w:noProof/>
          <w:szCs w:val="24"/>
        </w:rPr>
        <w:t>Sistema de Información Bomberil</w:t>
      </w:r>
      <w:r w:rsidRPr="00A2171C">
        <w:rPr>
          <w:rFonts w:cs="Times New Roman"/>
          <w:noProof/>
          <w:szCs w:val="24"/>
        </w:rPr>
        <w:t>. Sistema de Gestión de Actos de Servicio.</w:t>
      </w:r>
    </w:p>
    <w:p w14:paraId="77256FFD"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szCs w:val="24"/>
          <w:lang w:val="en-US"/>
        </w:rPr>
      </w:pPr>
      <w:r w:rsidRPr="00A2171C">
        <w:rPr>
          <w:rFonts w:cs="Times New Roman"/>
          <w:noProof/>
          <w:szCs w:val="24"/>
          <w:lang w:val="en-US"/>
        </w:rPr>
        <w:t xml:space="preserve">Suresh, N. (2015). Fire Loads in Heritage Buildings. </w:t>
      </w:r>
      <w:r w:rsidRPr="00A2171C">
        <w:rPr>
          <w:rFonts w:cs="Times New Roman"/>
          <w:i/>
          <w:iCs/>
          <w:noProof/>
          <w:szCs w:val="24"/>
          <w:lang w:val="en-US"/>
        </w:rPr>
        <w:t>DHARANA - Bhavan’s International Journal of Business</w:t>
      </w:r>
      <w:r w:rsidRPr="00A2171C">
        <w:rPr>
          <w:rFonts w:cs="Times New Roman"/>
          <w:noProof/>
          <w:szCs w:val="24"/>
          <w:lang w:val="en-US"/>
        </w:rPr>
        <w:t xml:space="preserve">, </w:t>
      </w:r>
      <w:r w:rsidRPr="00A2171C">
        <w:rPr>
          <w:rFonts w:cs="Times New Roman"/>
          <w:i/>
          <w:iCs/>
          <w:noProof/>
          <w:szCs w:val="24"/>
          <w:lang w:val="en-US"/>
        </w:rPr>
        <w:t>9</w:t>
      </w:r>
      <w:r w:rsidRPr="00A2171C">
        <w:rPr>
          <w:rFonts w:cs="Times New Roman"/>
          <w:noProof/>
          <w:szCs w:val="24"/>
          <w:lang w:val="en-US"/>
        </w:rPr>
        <w:t>(1), 17–21.</w:t>
      </w:r>
    </w:p>
    <w:p w14:paraId="72462CB3" w14:textId="5278E4E9" w:rsidR="00CC5FDE" w:rsidRPr="00A2171C" w:rsidRDefault="00CC5FDE" w:rsidP="00A2171C">
      <w:pPr>
        <w:widowControl w:val="0"/>
        <w:autoSpaceDE w:val="0"/>
        <w:autoSpaceDN w:val="0"/>
        <w:adjustRightInd w:val="0"/>
        <w:spacing w:after="0" w:line="276" w:lineRule="auto"/>
        <w:ind w:left="480" w:hanging="480"/>
        <w:rPr>
          <w:rFonts w:cs="Times New Roman"/>
          <w:noProof/>
          <w:szCs w:val="24"/>
        </w:rPr>
      </w:pPr>
      <w:r w:rsidRPr="00A2171C">
        <w:rPr>
          <w:rFonts w:cs="Times New Roman"/>
          <w:noProof/>
          <w:szCs w:val="24"/>
        </w:rPr>
        <w:t xml:space="preserve">Vicente, R., Silva, J. A. R., Varum, H., Costa, A., Subtil, A., Santos, C., Santos, M., Ferreira, T., &amp; Rodrigues, A. (2010). </w:t>
      </w:r>
      <w:r w:rsidRPr="00A2171C">
        <w:rPr>
          <w:rFonts w:cs="Times New Roman"/>
          <w:i/>
          <w:iCs/>
          <w:noProof/>
          <w:szCs w:val="24"/>
        </w:rPr>
        <w:t>C</w:t>
      </w:r>
      <w:r w:rsidR="00A2171C" w:rsidRPr="00A2171C">
        <w:rPr>
          <w:rFonts w:cs="Times New Roman"/>
          <w:i/>
          <w:iCs/>
          <w:noProof/>
          <w:szCs w:val="24"/>
        </w:rPr>
        <w:t>aderno de apoio à avaliação do risco sísmico e de incêndio nos núcleos urbanos antigos do seixal</w:t>
      </w:r>
      <w:r w:rsidR="00A2171C" w:rsidRPr="00A2171C">
        <w:rPr>
          <w:rFonts w:cs="Times New Roman"/>
          <w:noProof/>
          <w:szCs w:val="24"/>
        </w:rPr>
        <w:t>.</w:t>
      </w:r>
    </w:p>
    <w:p w14:paraId="092DCF88" w14:textId="77777777" w:rsidR="00CC5FDE" w:rsidRPr="00A2171C" w:rsidRDefault="00CC5FDE" w:rsidP="00A2171C">
      <w:pPr>
        <w:widowControl w:val="0"/>
        <w:autoSpaceDE w:val="0"/>
        <w:autoSpaceDN w:val="0"/>
        <w:adjustRightInd w:val="0"/>
        <w:spacing w:after="0" w:line="276" w:lineRule="auto"/>
        <w:ind w:left="480" w:hanging="480"/>
        <w:rPr>
          <w:rFonts w:cs="Times New Roman"/>
          <w:noProof/>
        </w:rPr>
      </w:pPr>
      <w:r w:rsidRPr="00A2171C">
        <w:rPr>
          <w:rFonts w:cs="Times New Roman"/>
          <w:noProof/>
          <w:szCs w:val="24"/>
        </w:rPr>
        <w:t xml:space="preserve">WTW-Chile. (2020). Incendios en Chile : Estadísticas y Perspectiva desde la experiencia como Brokers de Seguros Tabla de Contenidos. </w:t>
      </w:r>
      <w:r w:rsidRPr="00A2171C">
        <w:rPr>
          <w:rFonts w:cs="Times New Roman"/>
          <w:i/>
          <w:iCs/>
          <w:noProof/>
          <w:szCs w:val="24"/>
        </w:rPr>
        <w:t>Consultoría de Riesgos (DCR) de Willis Towers Watson (WTW)</w:t>
      </w:r>
      <w:r w:rsidRPr="00A2171C">
        <w:rPr>
          <w:rFonts w:cs="Times New Roman"/>
          <w:noProof/>
          <w:szCs w:val="24"/>
        </w:rPr>
        <w:t>.</w:t>
      </w:r>
    </w:p>
    <w:p w14:paraId="21E85E30" w14:textId="59EC58A1" w:rsidR="00F25DA4" w:rsidRPr="00A2171C" w:rsidRDefault="00A46867" w:rsidP="00A2171C">
      <w:pPr>
        <w:widowControl w:val="0"/>
        <w:autoSpaceDE w:val="0"/>
        <w:autoSpaceDN w:val="0"/>
        <w:adjustRightInd w:val="0"/>
        <w:spacing w:after="0" w:line="276" w:lineRule="auto"/>
        <w:ind w:left="480" w:hanging="480"/>
        <w:rPr>
          <w:szCs w:val="20"/>
          <w:lang w:val="en-GB"/>
        </w:rPr>
      </w:pPr>
      <w:r w:rsidRPr="00A2171C">
        <w:rPr>
          <w:szCs w:val="20"/>
          <w:lang w:val="en-GB"/>
        </w:rPr>
        <w:fldChar w:fldCharType="end"/>
      </w:r>
    </w:p>
    <w:p w14:paraId="25598B2A" w14:textId="77777777" w:rsidR="00F25DA4" w:rsidRPr="00A2171C" w:rsidRDefault="00F25DA4" w:rsidP="00A46867">
      <w:pPr>
        <w:pStyle w:val="Heading1"/>
        <w:spacing w:before="0"/>
        <w:jc w:val="center"/>
        <w:rPr>
          <w:lang w:val="en-US"/>
        </w:rPr>
      </w:pPr>
      <w:r w:rsidRPr="00A2171C">
        <w:rPr>
          <w:lang w:val="en-US"/>
        </w:rPr>
        <w:br w:type="page"/>
      </w:r>
    </w:p>
    <w:p w14:paraId="445F3E6F" w14:textId="1CA5925F" w:rsidR="00A46867" w:rsidRDefault="00F34CAA" w:rsidP="00FE0A15">
      <w:pPr>
        <w:pStyle w:val="Heading1"/>
        <w:spacing w:before="0" w:line="276" w:lineRule="auto"/>
        <w:jc w:val="center"/>
        <w:rPr>
          <w:lang w:val="en-US"/>
        </w:rPr>
      </w:pPr>
      <w:r w:rsidRPr="00A2171C">
        <w:rPr>
          <w:lang w:val="en-US"/>
        </w:rPr>
        <w:lastRenderedPageBreak/>
        <w:t>APPENDIX</w:t>
      </w:r>
    </w:p>
    <w:p w14:paraId="16ED0455" w14:textId="77777777" w:rsidR="00A2171C" w:rsidRPr="00A2171C" w:rsidRDefault="00A2171C" w:rsidP="00A2171C">
      <w:pPr>
        <w:rPr>
          <w:lang w:val="en-US"/>
        </w:rPr>
      </w:pPr>
    </w:p>
    <w:tbl>
      <w:tblPr>
        <w:tblStyle w:val="TableGrid"/>
        <w:tblW w:w="0" w:type="auto"/>
        <w:tblLook w:val="04A0" w:firstRow="1" w:lastRow="0" w:firstColumn="1" w:lastColumn="0" w:noHBand="0" w:noVBand="1"/>
      </w:tblPr>
      <w:tblGrid>
        <w:gridCol w:w="8828"/>
      </w:tblGrid>
      <w:tr w:rsidR="00A2171C" w:rsidRPr="00A2171C" w14:paraId="17FDE894" w14:textId="77777777" w:rsidTr="00FE0A15">
        <w:trPr>
          <w:trHeight w:val="624"/>
        </w:trPr>
        <w:tc>
          <w:tcPr>
            <w:tcW w:w="8828" w:type="dxa"/>
            <w:shd w:val="clear" w:color="auto" w:fill="D9D9D9" w:themeFill="background1" w:themeFillShade="D9"/>
            <w:vAlign w:val="center"/>
          </w:tcPr>
          <w:p w14:paraId="14EB0A7C" w14:textId="7B702EBC" w:rsidR="00A46867" w:rsidRPr="00A2171C" w:rsidRDefault="00E314AC" w:rsidP="00E314AC">
            <w:pPr>
              <w:pStyle w:val="Caption"/>
              <w:jc w:val="center"/>
              <w:rPr>
                <w:color w:val="auto"/>
                <w:lang w:val="en-US"/>
              </w:rPr>
            </w:pPr>
            <w:bookmarkStart w:id="38" w:name="_Ref121156687"/>
            <w:bookmarkStart w:id="39" w:name="_Ref89272929"/>
            <w:r w:rsidRPr="00A2171C">
              <w:rPr>
                <w:color w:val="auto"/>
                <w:lang w:val="en-US"/>
              </w:rPr>
              <w:t xml:space="preserve">Table A </w:t>
            </w:r>
            <w:r w:rsidR="00C74E25" w:rsidRPr="00A2171C">
              <w:rPr>
                <w:color w:val="auto"/>
              </w:rPr>
              <w:fldChar w:fldCharType="begin"/>
            </w:r>
            <w:r w:rsidR="00C74E25" w:rsidRPr="00A2171C">
              <w:rPr>
                <w:color w:val="auto"/>
                <w:lang w:val="en-US"/>
              </w:rPr>
              <w:instrText xml:space="preserve"> SEQ Table_A \* ARABIC </w:instrText>
            </w:r>
            <w:r w:rsidR="00C74E25" w:rsidRPr="00A2171C">
              <w:rPr>
                <w:color w:val="auto"/>
              </w:rPr>
              <w:fldChar w:fldCharType="separate"/>
            </w:r>
            <w:r w:rsidR="00C20049" w:rsidRPr="00A2171C">
              <w:rPr>
                <w:noProof/>
                <w:color w:val="auto"/>
                <w:lang w:val="en-US"/>
              </w:rPr>
              <w:t>1</w:t>
            </w:r>
            <w:r w:rsidR="00C74E25" w:rsidRPr="00A2171C">
              <w:rPr>
                <w:color w:val="auto"/>
              </w:rPr>
              <w:fldChar w:fldCharType="end"/>
            </w:r>
            <w:bookmarkEnd w:id="38"/>
            <w:r w:rsidRPr="00A2171C">
              <w:rPr>
                <w:color w:val="auto"/>
                <w:lang w:val="en-US"/>
              </w:rPr>
              <w:t xml:space="preserve">: </w:t>
            </w:r>
            <w:r w:rsidR="00A46867" w:rsidRPr="00A2171C">
              <w:rPr>
                <w:rFonts w:eastAsia="Times New Roman" w:cs="Times New Roman"/>
                <w:i w:val="0"/>
                <w:iCs w:val="0"/>
                <w:color w:val="auto"/>
                <w:sz w:val="20"/>
                <w:szCs w:val="20"/>
                <w:lang w:val="en-GB"/>
              </w:rPr>
              <w:t xml:space="preserve">Description of </w:t>
            </w:r>
            <w:r w:rsidR="00F34CAA" w:rsidRPr="00A2171C">
              <w:rPr>
                <w:rFonts w:eastAsia="Times New Roman" w:cs="Times New Roman"/>
                <w:i w:val="0"/>
                <w:iCs w:val="0"/>
                <w:color w:val="auto"/>
                <w:sz w:val="20"/>
                <w:szCs w:val="20"/>
                <w:lang w:val="en-GB"/>
              </w:rPr>
              <w:t xml:space="preserve">the </w:t>
            </w:r>
            <w:r w:rsidR="00A46867" w:rsidRPr="00A2171C">
              <w:rPr>
                <w:rFonts w:eastAsia="Times New Roman" w:cs="Times New Roman"/>
                <w:i w:val="0"/>
                <w:iCs w:val="0"/>
                <w:color w:val="auto"/>
                <w:sz w:val="20"/>
                <w:szCs w:val="20"/>
                <w:lang w:val="en-GB"/>
              </w:rPr>
              <w:t xml:space="preserve">partial-factors </w:t>
            </w:r>
            <w:r w:rsidR="00F34CAA" w:rsidRPr="00A2171C">
              <w:rPr>
                <w:rFonts w:eastAsia="Times New Roman" w:cs="Times New Roman"/>
                <w:i w:val="0"/>
                <w:iCs w:val="0"/>
                <w:color w:val="auto"/>
                <w:sz w:val="20"/>
                <w:szCs w:val="20"/>
                <w:lang w:val="en-GB"/>
              </w:rPr>
              <w:t>to</w:t>
            </w:r>
            <w:r w:rsidR="00A46867" w:rsidRPr="00A2171C">
              <w:rPr>
                <w:rFonts w:eastAsia="Times New Roman" w:cs="Times New Roman"/>
                <w:i w:val="0"/>
                <w:iCs w:val="0"/>
                <w:color w:val="auto"/>
                <w:sz w:val="20"/>
                <w:szCs w:val="20"/>
                <w:lang w:val="en-GB"/>
              </w:rPr>
              <w:t xml:space="preserve"> assess </w:t>
            </w:r>
            <w:r w:rsidR="00F34CAA" w:rsidRPr="00A2171C">
              <w:rPr>
                <w:rFonts w:eastAsia="Times New Roman" w:cs="Times New Roman"/>
                <w:i w:val="0"/>
                <w:iCs w:val="0"/>
                <w:color w:val="auto"/>
                <w:sz w:val="20"/>
                <w:szCs w:val="20"/>
                <w:lang w:val="en-GB"/>
              </w:rPr>
              <w:t xml:space="preserve">the </w:t>
            </w:r>
            <w:r w:rsidR="00A46867" w:rsidRPr="00A2171C">
              <w:rPr>
                <w:rFonts w:eastAsia="Times New Roman" w:cs="Times New Roman"/>
                <w:i w:val="0"/>
                <w:iCs w:val="0"/>
                <w:color w:val="auto"/>
                <w:sz w:val="20"/>
                <w:szCs w:val="20"/>
                <w:lang w:val="en-GB"/>
              </w:rPr>
              <w:t>fire ignition risk (</w:t>
            </w:r>
            <m:oMath>
              <m:sSub>
                <m:sSubPr>
                  <m:ctrlPr>
                    <w:rPr>
                      <w:rFonts w:ascii="Cambria Math" w:eastAsia="Cambria Math" w:hAnsi="Cambria Math" w:cs="Times New Roman"/>
                      <w:i w:val="0"/>
                      <w:iCs w:val="0"/>
                      <w:color w:val="auto"/>
                      <w:sz w:val="20"/>
                      <w:szCs w:val="20"/>
                    </w:rPr>
                  </m:ctrlPr>
                </m:sSubPr>
                <m:e>
                  <m:r>
                    <w:rPr>
                      <w:rFonts w:ascii="Cambria Math" w:eastAsia="Cambria Math" w:hAnsi="Cambria Math" w:cs="Times New Roman"/>
                      <w:color w:val="auto"/>
                      <w:sz w:val="20"/>
                      <w:szCs w:val="20"/>
                      <w:lang w:val="en-US"/>
                    </w:rPr>
                    <m:t>PF</m:t>
                  </m:r>
                </m:e>
                <m:sub>
                  <m:r>
                    <w:rPr>
                      <w:rFonts w:ascii="Cambria Math" w:eastAsia="Cambria Math" w:hAnsi="Cambria Math" w:cs="Times New Roman"/>
                      <w:color w:val="auto"/>
                      <w:sz w:val="20"/>
                      <w:szCs w:val="20"/>
                      <w:lang w:val="en-US"/>
                    </w:rPr>
                    <m:t>I</m:t>
                  </m:r>
                </m:sub>
              </m:sSub>
            </m:oMath>
            <w:r w:rsidR="00A46867" w:rsidRPr="00A2171C">
              <w:rPr>
                <w:rFonts w:eastAsia="Times New Roman" w:cs="Times New Roman"/>
                <w:i w:val="0"/>
                <w:iCs w:val="0"/>
                <w:color w:val="auto"/>
                <w:sz w:val="20"/>
                <w:szCs w:val="20"/>
                <w:lang w:val="en-GB"/>
              </w:rPr>
              <w:t xml:space="preserve">) of aggregate historical buildings. Score values are according to </w:t>
            </w:r>
            <w:r w:rsidR="00A46867" w:rsidRPr="00A2171C">
              <w:rPr>
                <w:rFonts w:eastAsia="Times New Roman" w:cs="Times New Roman"/>
                <w:i w:val="0"/>
                <w:iCs w:val="0"/>
                <w:noProof/>
                <w:color w:val="auto"/>
                <w:sz w:val="20"/>
                <w:szCs w:val="20"/>
                <w:lang w:val="en-GB"/>
              </w:rPr>
              <w:t>Ferreira et al., 2016.</w:t>
            </w:r>
          </w:p>
        </w:tc>
      </w:tr>
      <w:tr w:rsidR="00A46867" w:rsidRPr="00A2171C" w14:paraId="60A365BD" w14:textId="77777777" w:rsidTr="00F25DA4">
        <w:tc>
          <w:tcPr>
            <w:tcW w:w="8828" w:type="dxa"/>
          </w:tcPr>
          <w:tbl>
            <w:tblPr>
              <w:tblW w:w="5000" w:type="pct"/>
              <w:tblLook w:val="0400" w:firstRow="0" w:lastRow="0" w:firstColumn="0" w:lastColumn="0" w:noHBand="0" w:noVBand="1"/>
            </w:tblPr>
            <w:tblGrid>
              <w:gridCol w:w="3173"/>
              <w:gridCol w:w="4619"/>
              <w:gridCol w:w="820"/>
            </w:tblGrid>
            <w:tr w:rsidR="00A2171C" w:rsidRPr="00A2171C" w14:paraId="0729DCEE" w14:textId="77777777" w:rsidTr="00BA2612">
              <w:trPr>
                <w:trHeight w:val="340"/>
              </w:trPr>
              <w:tc>
                <w:tcPr>
                  <w:tcW w:w="5000" w:type="pct"/>
                  <w:gridSpan w:val="3"/>
                  <w:tcBorders>
                    <w:top w:val="nil"/>
                  </w:tcBorders>
                  <w:vAlign w:val="center"/>
                </w:tcPr>
                <w:p w14:paraId="02D02BB8" w14:textId="3609105D" w:rsidR="00A46867" w:rsidRPr="00A2171C" w:rsidRDefault="00A46867" w:rsidP="0015439E">
                  <w:pPr>
                    <w:widowControl w:val="0"/>
                    <w:spacing w:after="0" w:line="240" w:lineRule="auto"/>
                    <w:jc w:val="center"/>
                    <w:rPr>
                      <w:rFonts w:eastAsia="Times New Roman" w:cs="Times New Roman"/>
                      <w:b/>
                      <w:lang w:val="en-GB"/>
                    </w:rPr>
                  </w:pPr>
                  <w:r w:rsidRPr="00A2171C">
                    <w:rPr>
                      <w:rFonts w:eastAsia="Times New Roman" w:cs="Times New Roman"/>
                      <w:lang w:val="en-GB"/>
                    </w:rPr>
                    <w:t xml:space="preserve">FIRE IGNITION RISK: </w:t>
                  </w: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I</m:t>
                        </m:r>
                      </m:sub>
                    </m:sSub>
                  </m:oMath>
                  <w:r w:rsidRPr="00A2171C">
                    <w:rPr>
                      <w:rFonts w:eastAsia="Times New Roman" w:cs="Times New Roman"/>
                      <w:lang w:val="en-GB"/>
                    </w:rPr>
                    <w:t xml:space="preserve"> = </w:t>
                  </w:r>
                  <m:oMath>
                    <m:nary>
                      <m:naryPr>
                        <m:chr m:val="∑"/>
                        <m:ctrlPr>
                          <w:rPr>
                            <w:rFonts w:ascii="Cambria Math" w:eastAsia="Cambria Math" w:hAnsi="Cambria Math" w:cs="Times New Roman"/>
                            <w:lang w:val="en-GB"/>
                          </w:rPr>
                        </m:ctrlPr>
                      </m:naryPr>
                      <m:sub>
                        <m:r>
                          <m:rPr>
                            <m:sty m:val="p"/>
                          </m:rPr>
                          <w:rPr>
                            <w:rFonts w:ascii="Cambria Math" w:eastAsia="Cambria Math" w:hAnsi="Cambria Math" w:cs="Times New Roman"/>
                            <w:lang w:val="en-GB"/>
                          </w:rPr>
                          <m:t>i=1</m:t>
                        </m:r>
                      </m:sub>
                      <m:sup>
                        <m:r>
                          <m:rPr>
                            <m:sty m:val="p"/>
                          </m:rPr>
                          <w:rPr>
                            <w:rFonts w:ascii="Cambria Math" w:eastAsia="Cambria Math" w:hAnsi="Cambria Math" w:cs="Times New Roman"/>
                            <w:lang w:val="en-GB"/>
                          </w:rPr>
                          <m:t>5</m:t>
                        </m:r>
                      </m:sup>
                      <m:e>
                        <m:acc>
                          <m:accPr>
                            <m:ctrlPr>
                              <w:rPr>
                                <w:rFonts w:ascii="Cambria Math" w:eastAsia="Cambria Math" w:hAnsi="Cambria Math" w:cs="Times New Roman"/>
                                <w:lang w:val="en-GB"/>
                              </w:rPr>
                            </m:ctrlPr>
                          </m:accPr>
                          <m:e>
                            <m:sSub>
                              <m:sSubPr>
                                <m:ctrlPr>
                                  <w:rPr>
                                    <w:rFonts w:ascii="Cambria Math" w:eastAsia="Cambria Math" w:hAnsi="Cambria Math" w:cs="Times New Roman"/>
                                    <w:lang w:val="en-GB"/>
                                  </w:rPr>
                                </m:ctrlPr>
                              </m:sSubPr>
                              <m:e>
                                <m:r>
                                  <m:rPr>
                                    <m:sty m:val="p"/>
                                  </m:rPr>
                                  <w:rPr>
                                    <w:rFonts w:ascii="Cambria Math" w:eastAsia="Cambria Math" w:hAnsi="Cambria Math" w:cs="Times New Roman"/>
                                    <w:lang w:val="en-GB"/>
                                  </w:rPr>
                                  <m:t>PF</m:t>
                                </m:r>
                              </m:e>
                              <m:sub>
                                <m:r>
                                  <m:rPr>
                                    <m:sty m:val="p"/>
                                  </m:rPr>
                                  <w:rPr>
                                    <w:rFonts w:ascii="Cambria Math" w:eastAsia="Cambria Math" w:hAnsi="Cambria Math" w:cs="Times New Roman"/>
                                    <w:lang w:val="en-GB"/>
                                  </w:rPr>
                                  <m:t>I,k</m:t>
                                </m:r>
                              </m:sub>
                            </m:sSub>
                          </m:e>
                        </m:acc>
                      </m:e>
                    </m:nary>
                  </m:oMath>
                </w:p>
              </w:tc>
            </w:tr>
            <w:tr w:rsidR="00A2171C" w:rsidRPr="00A2171C" w14:paraId="225B264E" w14:textId="77777777" w:rsidTr="008600AE">
              <w:trPr>
                <w:trHeight w:val="20"/>
              </w:trPr>
              <w:tc>
                <w:tcPr>
                  <w:tcW w:w="1842" w:type="pct"/>
                </w:tcPr>
                <w:p w14:paraId="6C0D5AF2" w14:textId="77777777" w:rsidR="00A46867" w:rsidRPr="00A2171C" w:rsidRDefault="00A46867" w:rsidP="0015439E">
                  <w:pPr>
                    <w:spacing w:after="0" w:line="240" w:lineRule="auto"/>
                    <w:rPr>
                      <w:rFonts w:eastAsia="Times New Roman" w:cs="Times New Roman"/>
                      <w:b/>
                      <w:lang w:val="en-GB"/>
                    </w:rPr>
                  </w:pPr>
                  <w:r w:rsidRPr="00A2171C">
                    <w:rPr>
                      <w:rFonts w:eastAsia="Times New Roman" w:cs="Times New Roman"/>
                      <w:b/>
                      <w:lang w:val="en-GB"/>
                    </w:rPr>
                    <w:t>Partial-factors</w:t>
                  </w:r>
                </w:p>
              </w:tc>
              <w:tc>
                <w:tcPr>
                  <w:tcW w:w="2682" w:type="pct"/>
                </w:tcPr>
                <w:p w14:paraId="5766E77F" w14:textId="77777777" w:rsidR="00A46867" w:rsidRPr="00A2171C" w:rsidRDefault="00A46867" w:rsidP="0015439E">
                  <w:pPr>
                    <w:spacing w:after="0" w:line="240" w:lineRule="auto"/>
                    <w:rPr>
                      <w:rFonts w:eastAsia="Times New Roman" w:cs="Times New Roman"/>
                      <w:b/>
                      <w:lang w:val="en-GB"/>
                    </w:rPr>
                  </w:pPr>
                  <w:r w:rsidRPr="00A2171C">
                    <w:rPr>
                      <w:rFonts w:eastAsia="Times New Roman" w:cs="Times New Roman"/>
                      <w:b/>
                      <w:lang w:val="en-GB"/>
                    </w:rPr>
                    <w:t>Description</w:t>
                  </w:r>
                </w:p>
              </w:tc>
              <w:tc>
                <w:tcPr>
                  <w:tcW w:w="476" w:type="pct"/>
                </w:tcPr>
                <w:p w14:paraId="21CBCBEE" w14:textId="77777777" w:rsidR="00A46867" w:rsidRPr="00A2171C" w:rsidRDefault="00A46867" w:rsidP="0015439E">
                  <w:pPr>
                    <w:spacing w:after="0" w:line="240" w:lineRule="auto"/>
                    <w:rPr>
                      <w:rFonts w:eastAsia="Times New Roman" w:cs="Times New Roman"/>
                      <w:b/>
                      <w:lang w:val="en-GB"/>
                    </w:rPr>
                  </w:pPr>
                  <w:r w:rsidRPr="00A2171C">
                    <w:rPr>
                      <w:rFonts w:eastAsia="Times New Roman" w:cs="Times New Roman"/>
                      <w:b/>
                      <w:lang w:val="en-GB"/>
                    </w:rPr>
                    <w:t>Score</w:t>
                  </w:r>
                </w:p>
              </w:tc>
            </w:tr>
            <w:tr w:rsidR="00A2171C" w:rsidRPr="00A2171C" w14:paraId="6E8EAC2A" w14:textId="77777777" w:rsidTr="008600AE">
              <w:trPr>
                <w:trHeight w:val="20"/>
              </w:trPr>
              <w:tc>
                <w:tcPr>
                  <w:tcW w:w="1842" w:type="pct"/>
                </w:tcPr>
                <w:p w14:paraId="1DD944B2" w14:textId="071614DB"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I,1</m:t>
                        </m:r>
                      </m:sub>
                    </m:sSub>
                  </m:oMath>
                  <w:r w:rsidR="00A46867" w:rsidRPr="00A2171C">
                    <w:rPr>
                      <w:rFonts w:eastAsia="Times New Roman" w:cs="Times New Roman"/>
                      <w:vertAlign w:val="subscript"/>
                      <w:lang w:val="en-GB"/>
                    </w:rPr>
                    <w:t xml:space="preserve">, </w:t>
                  </w:r>
                  <w:r w:rsidR="00A46867" w:rsidRPr="00A2171C">
                    <w:rPr>
                      <w:rFonts w:eastAsia="Times New Roman" w:cs="Times New Roman"/>
                      <w:lang w:val="en-GB"/>
                    </w:rPr>
                    <w:t>Conservation state of SU</w:t>
                  </w:r>
                </w:p>
              </w:tc>
              <w:tc>
                <w:tcPr>
                  <w:tcW w:w="2682" w:type="pct"/>
                </w:tcPr>
                <w:p w14:paraId="332D29A5"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 xml:space="preserve">Good </w:t>
                  </w:r>
                </w:p>
                <w:p w14:paraId="66A375A2"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Intermediate</w:t>
                  </w:r>
                </w:p>
                <w:p w14:paraId="27E4A7C3"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Bad</w:t>
                  </w:r>
                </w:p>
              </w:tc>
              <w:tc>
                <w:tcPr>
                  <w:tcW w:w="476" w:type="pct"/>
                </w:tcPr>
                <w:p w14:paraId="0A04AA80"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700DAEFD"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1.10</w:t>
                  </w:r>
                </w:p>
                <w:p w14:paraId="57FF0C7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1.20</w:t>
                  </w:r>
                </w:p>
              </w:tc>
            </w:tr>
            <w:bookmarkStart w:id="40" w:name="_Hlk114058006"/>
            <w:tr w:rsidR="00A2171C" w:rsidRPr="00A2171C" w14:paraId="15BB1590" w14:textId="77777777" w:rsidTr="008600AE">
              <w:trPr>
                <w:trHeight w:val="20"/>
              </w:trPr>
              <w:tc>
                <w:tcPr>
                  <w:tcW w:w="1842" w:type="pct"/>
                  <w:shd w:val="clear" w:color="auto" w:fill="auto"/>
                </w:tcPr>
                <w:p w14:paraId="726FAD28" w14:textId="05413204"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I,2</m:t>
                        </m:r>
                      </m:sub>
                    </m:sSub>
                  </m:oMath>
                  <w:r w:rsidR="00A46867" w:rsidRPr="00A2171C">
                    <w:rPr>
                      <w:rFonts w:eastAsia="Times New Roman" w:cs="Times New Roman"/>
                      <w:lang w:val="en-GB"/>
                    </w:rPr>
                    <w:t>,</w:t>
                  </w:r>
                  <w:r w:rsidR="00A46867" w:rsidRPr="00A2171C">
                    <w:rPr>
                      <w:rFonts w:eastAsia="Times New Roman" w:cs="Times New Roman"/>
                      <w:vertAlign w:val="subscript"/>
                      <w:lang w:val="en-GB"/>
                    </w:rPr>
                    <w:t xml:space="preserve"> </w:t>
                  </w:r>
                  <w:r w:rsidR="00A46867" w:rsidRPr="00A2171C">
                    <w:rPr>
                      <w:rFonts w:eastAsia="Times New Roman" w:cs="Times New Roman"/>
                      <w:lang w:val="en-GB"/>
                    </w:rPr>
                    <w:t>General condition of electrical system</w:t>
                  </w:r>
                </w:p>
                <w:p w14:paraId="4152D8EF" w14:textId="76BDED45" w:rsidR="00A46867" w:rsidRPr="00A2171C" w:rsidRDefault="00A46867" w:rsidP="0015439E">
                  <w:pPr>
                    <w:spacing w:after="0" w:line="240" w:lineRule="auto"/>
                    <w:rPr>
                      <w:rFonts w:eastAsia="Times New Roman" w:cs="Times New Roman"/>
                      <w:vertAlign w:val="subscript"/>
                      <w:lang w:val="en-US"/>
                    </w:rPr>
                  </w:pPr>
                  <w:r w:rsidRPr="00A2171C">
                    <w:rPr>
                      <w:rFonts w:eastAsia="Times New Roman" w:cs="Times New Roman"/>
                      <w:lang w:val="en-GB"/>
                    </w:rPr>
                    <w:t xml:space="preserve">        </w:t>
                  </w: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I,2</m:t>
                        </m:r>
                      </m:sub>
                    </m:sSub>
                  </m:oMath>
                  <w:r w:rsidRPr="00A2171C">
                    <w:rPr>
                      <w:rFonts w:eastAsia="Times New Roman" w:cs="Times New Roman"/>
                      <w:lang w:val="en-US"/>
                    </w:rPr>
                    <w:t xml:space="preserve"> = C</w:t>
                  </w:r>
                  <w:r w:rsidRPr="00A2171C">
                    <w:rPr>
                      <w:rFonts w:eastAsia="Times New Roman" w:cs="Times New Roman"/>
                      <w:vertAlign w:val="subscript"/>
                      <w:lang w:val="en-US"/>
                    </w:rPr>
                    <w:t xml:space="preserve">e1 </w:t>
                  </w:r>
                  <w:r w:rsidRPr="00A2171C">
                    <w:rPr>
                      <w:rFonts w:eastAsia="Times New Roman" w:cs="Times New Roman"/>
                      <w:lang w:val="en-US"/>
                    </w:rPr>
                    <w:t>x C</w:t>
                  </w:r>
                  <w:r w:rsidRPr="00A2171C">
                    <w:rPr>
                      <w:rFonts w:eastAsia="Times New Roman" w:cs="Times New Roman"/>
                      <w:vertAlign w:val="subscript"/>
                      <w:lang w:val="en-US"/>
                    </w:rPr>
                    <w:t>e2</w:t>
                  </w:r>
                </w:p>
                <w:p w14:paraId="225916FA" w14:textId="5DA8FE8E" w:rsidR="00A46867" w:rsidRPr="00A2171C" w:rsidRDefault="00A46867" w:rsidP="0015439E">
                  <w:pPr>
                    <w:spacing w:after="0" w:line="240" w:lineRule="auto"/>
                    <w:rPr>
                      <w:rFonts w:eastAsia="Times New Roman" w:cs="Times New Roman"/>
                      <w:vertAlign w:val="subscript"/>
                      <w:lang w:val="en-US"/>
                    </w:rPr>
                  </w:pPr>
                  <w:r w:rsidRPr="00A2171C">
                    <w:rPr>
                      <w:rFonts w:eastAsia="Times New Roman" w:cs="Times New Roman"/>
                      <w:b/>
                      <w:bCs/>
                      <w:lang w:val="en-US"/>
                    </w:rPr>
                    <w:t xml:space="preserve">        (Modified partial factor</w:t>
                  </w:r>
                  <w:bookmarkEnd w:id="40"/>
                  <w:r w:rsidRPr="00A2171C">
                    <w:rPr>
                      <w:rFonts w:eastAsia="Times New Roman" w:cs="Times New Roman"/>
                      <w:b/>
                      <w:bCs/>
                      <w:lang w:val="en-US"/>
                    </w:rPr>
                    <w:t>)</w:t>
                  </w:r>
                </w:p>
              </w:tc>
              <w:tc>
                <w:tcPr>
                  <w:tcW w:w="2682" w:type="pct"/>
                  <w:shd w:val="clear" w:color="auto" w:fill="auto"/>
                </w:tcPr>
                <w:p w14:paraId="4ED3399B" w14:textId="77777777" w:rsidR="00A46867" w:rsidRPr="00A2171C" w:rsidRDefault="00A46867" w:rsidP="0015439E">
                  <w:pPr>
                    <w:spacing w:after="0" w:line="240" w:lineRule="auto"/>
                    <w:rPr>
                      <w:rFonts w:eastAsia="Times New Roman" w:cs="Times New Roman"/>
                      <w:b/>
                      <w:lang w:val="en-GB"/>
                    </w:rPr>
                  </w:pPr>
                  <w:r w:rsidRPr="00A2171C">
                    <w:rPr>
                      <w:rFonts w:eastAsia="Times New Roman" w:cs="Times New Roman"/>
                      <w:b/>
                      <w:lang w:val="en-GB"/>
                    </w:rPr>
                    <w:t xml:space="preserve">Condition of </w:t>
                  </w:r>
                  <w:bookmarkStart w:id="41" w:name="_Hlk114058652"/>
                  <w:r w:rsidRPr="00A2171C">
                    <w:rPr>
                      <w:rFonts w:eastAsia="Times New Roman" w:cs="Times New Roman"/>
                      <w:b/>
                      <w:lang w:val="en-GB"/>
                    </w:rPr>
                    <w:t>electrical system</w:t>
                  </w:r>
                  <w:bookmarkEnd w:id="41"/>
                  <w:r w:rsidRPr="00A2171C">
                    <w:rPr>
                      <w:rFonts w:eastAsia="Times New Roman" w:cs="Times New Roman"/>
                      <w:b/>
                      <w:lang w:val="en-GB"/>
                    </w:rPr>
                    <w:t>, C</w:t>
                  </w:r>
                  <w:r w:rsidRPr="00A2171C">
                    <w:rPr>
                      <w:rFonts w:eastAsia="Times New Roman" w:cs="Times New Roman"/>
                      <w:b/>
                      <w:vertAlign w:val="subscript"/>
                      <w:lang w:val="en-GB"/>
                    </w:rPr>
                    <w:t>e1</w:t>
                  </w:r>
                </w:p>
                <w:p w14:paraId="1855BF69" w14:textId="7D12CC5F"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Normal</w:t>
                  </w:r>
                </w:p>
                <w:p w14:paraId="2C9CD94A" w14:textId="28F45772"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Partially normal</w:t>
                  </w:r>
                </w:p>
                <w:p w14:paraId="1848C3ED" w14:textId="295BEE6D"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No</w:t>
                  </w:r>
                  <w:r w:rsidR="00C859A3" w:rsidRPr="00A2171C">
                    <w:rPr>
                      <w:rFonts w:eastAsia="Times New Roman" w:cs="Times New Roman"/>
                      <w:lang w:val="en-GB"/>
                    </w:rPr>
                    <w:t>t</w:t>
                  </w:r>
                  <w:r w:rsidRPr="00A2171C">
                    <w:rPr>
                      <w:rFonts w:eastAsia="Times New Roman" w:cs="Times New Roman"/>
                      <w:lang w:val="en-GB"/>
                    </w:rPr>
                    <w:t>-normal</w:t>
                  </w:r>
                </w:p>
                <w:p w14:paraId="3A911EFC" w14:textId="77777777" w:rsidR="00A46867" w:rsidRPr="00A2171C" w:rsidRDefault="00A46867" w:rsidP="0015439E">
                  <w:pPr>
                    <w:spacing w:after="0" w:line="240" w:lineRule="auto"/>
                    <w:rPr>
                      <w:rFonts w:eastAsia="Times New Roman" w:cs="Times New Roman"/>
                      <w:b/>
                      <w:lang w:val="en-GB"/>
                    </w:rPr>
                  </w:pPr>
                  <w:bookmarkStart w:id="42" w:name="_Hlk114058645"/>
                  <w:r w:rsidRPr="00A2171C">
                    <w:rPr>
                      <w:rFonts w:eastAsia="Times New Roman" w:cs="Times New Roman"/>
                      <w:b/>
                      <w:lang w:val="en-GB"/>
                    </w:rPr>
                    <w:t>Condition of electrical extension cords</w:t>
                  </w:r>
                  <w:bookmarkEnd w:id="42"/>
                  <w:r w:rsidRPr="00A2171C">
                    <w:rPr>
                      <w:rFonts w:eastAsia="Times New Roman" w:cs="Times New Roman"/>
                      <w:b/>
                      <w:lang w:val="en-GB"/>
                    </w:rPr>
                    <w:t>, C</w:t>
                  </w:r>
                  <w:r w:rsidRPr="00A2171C">
                    <w:rPr>
                      <w:rFonts w:eastAsia="Times New Roman" w:cs="Times New Roman"/>
                      <w:b/>
                      <w:vertAlign w:val="subscript"/>
                      <w:lang w:val="en-GB"/>
                    </w:rPr>
                    <w:t>e2</w:t>
                  </w:r>
                </w:p>
                <w:p w14:paraId="6C5E72C0" w14:textId="748A60C1" w:rsidR="00A46867" w:rsidRPr="00A2171C" w:rsidRDefault="00A46867" w:rsidP="0015439E">
                  <w:pPr>
                    <w:spacing w:after="0" w:line="240" w:lineRule="auto"/>
                    <w:jc w:val="left"/>
                    <w:rPr>
                      <w:rFonts w:eastAsia="Times New Roman" w:cs="Times New Roman"/>
                      <w:lang w:val="en-GB"/>
                    </w:rPr>
                  </w:pPr>
                  <w:r w:rsidRPr="00A2171C">
                    <w:rPr>
                      <w:rFonts w:eastAsia="Times New Roman" w:cs="Times New Roman"/>
                      <w:lang w:val="en-GB"/>
                    </w:rPr>
                    <w:t xml:space="preserve">Presence of </w:t>
                  </w:r>
                  <w:r w:rsidR="00F34CAA" w:rsidRPr="00A2171C">
                    <w:rPr>
                      <w:rFonts w:eastAsia="Times New Roman" w:cs="Times New Roman"/>
                      <w:lang w:val="en-GB"/>
                    </w:rPr>
                    <w:t xml:space="preserve">certified </w:t>
                  </w:r>
                  <w:r w:rsidR="00C859A3" w:rsidRPr="00A2171C">
                    <w:rPr>
                      <w:rFonts w:eastAsia="Times New Roman" w:cs="Times New Roman"/>
                      <w:szCs w:val="20"/>
                      <w:lang w:val="en-GB"/>
                    </w:rPr>
                    <w:t xml:space="preserve">extension cords </w:t>
                  </w:r>
                  <w:r w:rsidRPr="00A2171C">
                    <w:rPr>
                      <w:rFonts w:eastAsia="Times New Roman" w:cs="Times New Roman"/>
                      <w:lang w:val="en-GB"/>
                    </w:rPr>
                    <w:t>– without possibility of overloading the electrical circuit</w:t>
                  </w:r>
                </w:p>
                <w:p w14:paraId="7E651B58" w14:textId="36CF9739" w:rsidR="00A46867" w:rsidRPr="00A2171C" w:rsidRDefault="00A46867" w:rsidP="0015439E">
                  <w:pPr>
                    <w:spacing w:after="0" w:line="240" w:lineRule="auto"/>
                    <w:jc w:val="left"/>
                    <w:rPr>
                      <w:rFonts w:eastAsia="Times New Roman" w:cs="Times New Roman"/>
                      <w:lang w:val="en-GB"/>
                    </w:rPr>
                  </w:pPr>
                  <w:r w:rsidRPr="00A2171C">
                    <w:rPr>
                      <w:rFonts w:eastAsia="Times New Roman" w:cs="Times New Roman"/>
                      <w:lang w:val="en-GB"/>
                    </w:rPr>
                    <w:t xml:space="preserve">Presence of </w:t>
                  </w:r>
                  <w:r w:rsidR="00F34CAA" w:rsidRPr="00A2171C">
                    <w:rPr>
                      <w:rFonts w:eastAsia="Times New Roman" w:cs="Times New Roman"/>
                      <w:lang w:val="en-GB"/>
                    </w:rPr>
                    <w:t xml:space="preserve">certified </w:t>
                  </w:r>
                  <w:r w:rsidR="00C859A3" w:rsidRPr="00A2171C">
                    <w:rPr>
                      <w:rFonts w:eastAsia="Times New Roman" w:cs="Times New Roman"/>
                      <w:szCs w:val="20"/>
                      <w:lang w:val="en-GB"/>
                    </w:rPr>
                    <w:t xml:space="preserve">extension cords </w:t>
                  </w:r>
                  <w:r w:rsidRPr="00A2171C">
                    <w:rPr>
                      <w:rFonts w:eastAsia="Times New Roman" w:cs="Times New Roman"/>
                      <w:lang w:val="en-GB"/>
                    </w:rPr>
                    <w:t>- with possibility of overloading the electrical circuit</w:t>
                  </w:r>
                </w:p>
                <w:p w14:paraId="07D6F8E1" w14:textId="31695A21" w:rsidR="00A46867" w:rsidRPr="00A2171C" w:rsidRDefault="00A46867" w:rsidP="0015439E">
                  <w:pPr>
                    <w:spacing w:after="0" w:line="240" w:lineRule="auto"/>
                    <w:jc w:val="left"/>
                    <w:rPr>
                      <w:rFonts w:eastAsia="Times New Roman" w:cs="Times New Roman"/>
                      <w:lang w:val="en-GB"/>
                    </w:rPr>
                  </w:pPr>
                  <w:r w:rsidRPr="00A2171C">
                    <w:rPr>
                      <w:rFonts w:eastAsia="Times New Roman" w:cs="Times New Roman"/>
                      <w:lang w:val="en-GB"/>
                    </w:rPr>
                    <w:t>Presence of No</w:t>
                  </w:r>
                  <w:r w:rsidR="00F34CAA" w:rsidRPr="00A2171C">
                    <w:rPr>
                      <w:rFonts w:eastAsia="Times New Roman" w:cs="Times New Roman"/>
                      <w:lang w:val="en-GB"/>
                    </w:rPr>
                    <w:t>t</w:t>
                  </w:r>
                  <w:r w:rsidRPr="00A2171C">
                    <w:rPr>
                      <w:rFonts w:eastAsia="Times New Roman" w:cs="Times New Roman"/>
                      <w:lang w:val="en-GB"/>
                    </w:rPr>
                    <w:t>-</w:t>
                  </w:r>
                  <w:r w:rsidR="00F34CAA" w:rsidRPr="00A2171C">
                    <w:rPr>
                      <w:rFonts w:eastAsia="Times New Roman" w:cs="Times New Roman"/>
                      <w:lang w:val="en-GB"/>
                    </w:rPr>
                    <w:t xml:space="preserve">certified </w:t>
                  </w:r>
                  <w:r w:rsidR="00C859A3" w:rsidRPr="00A2171C">
                    <w:rPr>
                      <w:rFonts w:eastAsia="Times New Roman" w:cs="Times New Roman"/>
                      <w:szCs w:val="20"/>
                      <w:lang w:val="en-GB"/>
                    </w:rPr>
                    <w:t xml:space="preserve">extension cords </w:t>
                  </w:r>
                  <w:r w:rsidRPr="00A2171C">
                    <w:rPr>
                      <w:rFonts w:eastAsia="Times New Roman" w:cs="Times New Roman"/>
                      <w:lang w:val="en-GB"/>
                    </w:rPr>
                    <w:t>- without possibility of overloading the electrical circuit</w:t>
                  </w:r>
                </w:p>
                <w:p w14:paraId="5D169798" w14:textId="4B28FFA1" w:rsidR="00A46867" w:rsidRPr="00A2171C" w:rsidRDefault="00A46867" w:rsidP="0015439E">
                  <w:pPr>
                    <w:spacing w:after="0" w:line="240" w:lineRule="auto"/>
                    <w:jc w:val="left"/>
                    <w:rPr>
                      <w:rFonts w:eastAsia="Times New Roman" w:cs="Times New Roman"/>
                      <w:lang w:val="en-GB"/>
                    </w:rPr>
                  </w:pPr>
                  <w:r w:rsidRPr="00A2171C">
                    <w:rPr>
                      <w:rFonts w:eastAsia="Times New Roman" w:cs="Times New Roman"/>
                      <w:lang w:val="en-GB"/>
                    </w:rPr>
                    <w:t>Presence of No</w:t>
                  </w:r>
                  <w:r w:rsidR="00F34CAA" w:rsidRPr="00A2171C">
                    <w:rPr>
                      <w:rFonts w:eastAsia="Times New Roman" w:cs="Times New Roman"/>
                      <w:lang w:val="en-GB"/>
                    </w:rPr>
                    <w:t>t</w:t>
                  </w:r>
                  <w:r w:rsidRPr="00A2171C">
                    <w:rPr>
                      <w:rFonts w:eastAsia="Times New Roman" w:cs="Times New Roman"/>
                      <w:lang w:val="en-GB"/>
                    </w:rPr>
                    <w:t>-</w:t>
                  </w:r>
                  <w:r w:rsidR="00F34CAA" w:rsidRPr="00A2171C">
                    <w:rPr>
                      <w:rFonts w:eastAsia="Times New Roman" w:cs="Times New Roman"/>
                      <w:lang w:val="en-GB"/>
                    </w:rPr>
                    <w:t xml:space="preserve">certified </w:t>
                  </w:r>
                  <w:r w:rsidR="00C859A3" w:rsidRPr="00A2171C">
                    <w:rPr>
                      <w:rFonts w:eastAsia="Times New Roman" w:cs="Times New Roman"/>
                      <w:szCs w:val="20"/>
                      <w:lang w:val="en-GB"/>
                    </w:rPr>
                    <w:t xml:space="preserve">extension cords </w:t>
                  </w:r>
                  <w:r w:rsidRPr="00A2171C">
                    <w:rPr>
                      <w:rFonts w:eastAsia="Times New Roman" w:cs="Times New Roman"/>
                      <w:lang w:val="en-GB"/>
                    </w:rPr>
                    <w:t>- with possibility of overloading the electrical circuit</w:t>
                  </w:r>
                </w:p>
              </w:tc>
              <w:tc>
                <w:tcPr>
                  <w:tcW w:w="476" w:type="pct"/>
                  <w:shd w:val="clear" w:color="auto" w:fill="auto"/>
                </w:tcPr>
                <w:p w14:paraId="46C2837A" w14:textId="77777777" w:rsidR="00A46867" w:rsidRPr="00A2171C" w:rsidRDefault="00A46867" w:rsidP="0015439E">
                  <w:pPr>
                    <w:spacing w:after="0" w:line="240" w:lineRule="auto"/>
                    <w:rPr>
                      <w:rFonts w:eastAsia="Times New Roman" w:cs="Times New Roman"/>
                      <w:lang w:val="en-GB"/>
                    </w:rPr>
                  </w:pPr>
                </w:p>
                <w:p w14:paraId="2F3AB052"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798AFAD3"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1.25</w:t>
                  </w:r>
                </w:p>
                <w:p w14:paraId="63C563F7"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1.50</w:t>
                  </w:r>
                </w:p>
                <w:p w14:paraId="2698E98D" w14:textId="77777777" w:rsidR="00A46867" w:rsidRPr="00A2171C" w:rsidRDefault="00A46867" w:rsidP="0015439E">
                  <w:pPr>
                    <w:spacing w:after="0" w:line="240" w:lineRule="auto"/>
                    <w:rPr>
                      <w:rFonts w:eastAsia="Times New Roman" w:cs="Times New Roman"/>
                      <w:lang w:val="en-GB"/>
                    </w:rPr>
                  </w:pPr>
                </w:p>
                <w:p w14:paraId="53449280" w14:textId="77777777" w:rsidR="00A46867" w:rsidRPr="00A2171C" w:rsidRDefault="00A46867" w:rsidP="0015439E">
                  <w:pPr>
                    <w:spacing w:after="0" w:line="240" w:lineRule="auto"/>
                    <w:rPr>
                      <w:rFonts w:eastAsia="Times New Roman" w:cs="Times New Roman"/>
                      <w:lang w:val="en-GB"/>
                    </w:rPr>
                  </w:pPr>
                </w:p>
                <w:p w14:paraId="08B50EE5"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25092B3A" w14:textId="77777777" w:rsidR="00A46867" w:rsidRPr="00A2171C" w:rsidRDefault="00A46867" w:rsidP="0015439E">
                  <w:pPr>
                    <w:spacing w:after="0" w:line="240" w:lineRule="auto"/>
                    <w:rPr>
                      <w:rFonts w:eastAsia="Times New Roman" w:cs="Times New Roman"/>
                      <w:lang w:val="en-GB"/>
                    </w:rPr>
                  </w:pPr>
                </w:p>
                <w:p w14:paraId="6BCC2736"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1.25</w:t>
                  </w:r>
                </w:p>
                <w:p w14:paraId="120925FA" w14:textId="77777777" w:rsidR="00A46867" w:rsidRPr="00A2171C" w:rsidRDefault="00A46867" w:rsidP="0015439E">
                  <w:pPr>
                    <w:spacing w:after="0" w:line="240" w:lineRule="auto"/>
                    <w:rPr>
                      <w:rFonts w:eastAsia="Times New Roman" w:cs="Times New Roman"/>
                      <w:lang w:val="en-GB"/>
                    </w:rPr>
                  </w:pPr>
                </w:p>
                <w:p w14:paraId="040295E8"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1.25</w:t>
                  </w:r>
                </w:p>
                <w:p w14:paraId="723D8D97" w14:textId="77777777" w:rsidR="00A46867" w:rsidRPr="00A2171C" w:rsidRDefault="00A46867" w:rsidP="0015439E">
                  <w:pPr>
                    <w:spacing w:after="0" w:line="240" w:lineRule="auto"/>
                    <w:rPr>
                      <w:rFonts w:eastAsia="Times New Roman" w:cs="Times New Roman"/>
                      <w:lang w:val="en-GB"/>
                    </w:rPr>
                  </w:pPr>
                </w:p>
                <w:p w14:paraId="3E6DCF6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1.50</w:t>
                  </w:r>
                </w:p>
              </w:tc>
            </w:tr>
            <w:tr w:rsidR="00A2171C" w:rsidRPr="00A2171C" w14:paraId="0BA4427A" w14:textId="77777777" w:rsidTr="008600AE">
              <w:trPr>
                <w:trHeight w:val="20"/>
              </w:trPr>
              <w:tc>
                <w:tcPr>
                  <w:tcW w:w="1842" w:type="pct"/>
                </w:tcPr>
                <w:p w14:paraId="4536F90C" w14:textId="78E6ED79"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I,3</m:t>
                        </m:r>
                      </m:sub>
                    </m:sSub>
                  </m:oMath>
                  <w:r w:rsidR="00A46867" w:rsidRPr="00A2171C">
                    <w:rPr>
                      <w:rFonts w:eastAsia="Times New Roman" w:cs="Times New Roman"/>
                      <w:lang w:val="en-GB"/>
                    </w:rPr>
                    <w:t>, Condition of gas system</w:t>
                  </w:r>
                </w:p>
              </w:tc>
              <w:tc>
                <w:tcPr>
                  <w:tcW w:w="2682" w:type="pct"/>
                </w:tcPr>
                <w:p w14:paraId="68FD22FD"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Pipeline gas</w:t>
                  </w:r>
                </w:p>
                <w:p w14:paraId="523437C0"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 xml:space="preserve">Outdoor cylinder installations </w:t>
                  </w:r>
                </w:p>
                <w:p w14:paraId="384B938C"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Indoor cylinder installations in a ventilated location</w:t>
                  </w:r>
                </w:p>
                <w:p w14:paraId="466830AF"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Indoor cylinder installations in an unventilated location</w:t>
                  </w:r>
                </w:p>
              </w:tc>
              <w:tc>
                <w:tcPr>
                  <w:tcW w:w="476" w:type="pct"/>
                </w:tcPr>
                <w:p w14:paraId="262086B6"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48DCC57D"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1.20</w:t>
                  </w:r>
                </w:p>
                <w:p w14:paraId="5891304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1.50</w:t>
                  </w:r>
                </w:p>
                <w:p w14:paraId="54F66597"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1.80</w:t>
                  </w:r>
                </w:p>
              </w:tc>
            </w:tr>
            <w:tr w:rsidR="00A2171C" w:rsidRPr="00A2171C" w14:paraId="7670C1E5" w14:textId="77777777" w:rsidTr="008600AE">
              <w:trPr>
                <w:trHeight w:val="20"/>
              </w:trPr>
              <w:tc>
                <w:tcPr>
                  <w:tcW w:w="1842" w:type="pct"/>
                  <w:tcBorders>
                    <w:bottom w:val="single" w:sz="4" w:space="0" w:color="7F7F7F" w:themeColor="text1" w:themeTint="80"/>
                  </w:tcBorders>
                </w:tcPr>
                <w:p w14:paraId="3796F606" w14:textId="532A34E2" w:rsidR="00A46867" w:rsidRPr="00A2171C" w:rsidRDefault="00000000" w:rsidP="0015439E">
                  <w:pPr>
                    <w:spacing w:after="0" w:line="240" w:lineRule="auto"/>
                    <w:rPr>
                      <w:rFonts w:eastAsia="Times New Roman" w:cs="Times New Roman"/>
                      <w:lang w:val="en-US"/>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I,4</m:t>
                        </m:r>
                      </m:sub>
                    </m:sSub>
                  </m:oMath>
                  <w:r w:rsidR="00A46867" w:rsidRPr="00A2171C">
                    <w:rPr>
                      <w:rFonts w:eastAsia="Times New Roman" w:cs="Times New Roman"/>
                      <w:lang w:val="en-US"/>
                    </w:rPr>
                    <w:t xml:space="preserve">, Fire load nature, </w:t>
                  </w:r>
                </w:p>
                <w:p w14:paraId="35690465" w14:textId="77777777" w:rsidR="00A46867" w:rsidRPr="00A2171C" w:rsidRDefault="00A46867" w:rsidP="0015439E">
                  <w:pPr>
                    <w:spacing w:after="0" w:line="240" w:lineRule="auto"/>
                    <w:rPr>
                      <w:rFonts w:eastAsia="Times New Roman" w:cs="Times New Roman"/>
                      <w:b/>
                      <w:lang w:val="it-IT"/>
                    </w:rPr>
                  </w:pPr>
                  <w:r w:rsidRPr="00A2171C">
                    <w:rPr>
                      <w:rFonts w:eastAsia="Times New Roman" w:cs="Times New Roman"/>
                      <w:lang w:val="en-US"/>
                    </w:rPr>
                    <w:t xml:space="preserve">         </w:t>
                  </w:r>
                  <w:r w:rsidRPr="00A2171C">
                    <w:rPr>
                      <w:rFonts w:eastAsia="Times New Roman" w:cs="Times New Roman"/>
                      <w:lang w:val="it-IT"/>
                    </w:rPr>
                    <w:t>PF</w:t>
                  </w:r>
                  <w:r w:rsidRPr="00A2171C">
                    <w:rPr>
                      <w:rFonts w:eastAsia="Times New Roman" w:cs="Times New Roman"/>
                      <w:vertAlign w:val="subscript"/>
                      <w:lang w:val="it-IT"/>
                    </w:rPr>
                    <w:t xml:space="preserve">I4 </w:t>
                  </w:r>
                  <w:r w:rsidRPr="00A2171C">
                    <w:rPr>
                      <w:rFonts w:eastAsia="Times New Roman" w:cs="Times New Roman"/>
                      <w:lang w:val="it-IT"/>
                    </w:rPr>
                    <w:t>= (C</w:t>
                  </w:r>
                  <w:r w:rsidRPr="00A2171C">
                    <w:rPr>
                      <w:rFonts w:eastAsia="Times New Roman" w:cs="Times New Roman"/>
                      <w:vertAlign w:val="subscript"/>
                      <w:lang w:val="it-IT"/>
                    </w:rPr>
                    <w:t>i</w:t>
                  </w:r>
                  <w:r w:rsidRPr="00A2171C">
                    <w:rPr>
                      <w:rFonts w:eastAsia="Times New Roman" w:cs="Times New Roman"/>
                      <w:lang w:val="it-IT"/>
                    </w:rPr>
                    <w:t xml:space="preserve"> x R</w:t>
                  </w:r>
                  <w:r w:rsidRPr="00A2171C">
                    <w:rPr>
                      <w:rFonts w:eastAsia="Times New Roman" w:cs="Times New Roman"/>
                      <w:vertAlign w:val="subscript"/>
                      <w:lang w:val="it-IT"/>
                    </w:rPr>
                    <w:t>ai</w:t>
                  </w:r>
                  <w:r w:rsidRPr="00A2171C">
                    <w:rPr>
                      <w:rFonts w:eastAsia="Times New Roman" w:cs="Times New Roman"/>
                      <w:lang w:val="it-IT"/>
                    </w:rPr>
                    <w:t>)</w:t>
                  </w:r>
                </w:p>
              </w:tc>
              <w:tc>
                <w:tcPr>
                  <w:tcW w:w="2682" w:type="pct"/>
                  <w:tcBorders>
                    <w:bottom w:val="single" w:sz="4" w:space="0" w:color="7F7F7F" w:themeColor="text1" w:themeTint="80"/>
                  </w:tcBorders>
                </w:tcPr>
                <w:p w14:paraId="18DA63B8" w14:textId="2B9AD58F" w:rsidR="00A46867" w:rsidRPr="00A2171C" w:rsidRDefault="00000000" w:rsidP="0015439E">
                  <w:pPr>
                    <w:spacing w:after="0" w:line="240" w:lineRule="auto"/>
                    <w:rPr>
                      <w:rFonts w:eastAsia="Times New Roman" w:cs="Times New Roman"/>
                      <w:b/>
                      <w:lang w:val="en-GB"/>
                    </w:rPr>
                  </w:pPr>
                  <w:sdt>
                    <w:sdtPr>
                      <w:rPr>
                        <w:rFonts w:cs="Times New Roman"/>
                        <w:lang w:val="en-GB"/>
                      </w:rPr>
                      <w:tag w:val="goog_rdk_0"/>
                      <w:id w:val="-1203863632"/>
                    </w:sdtPr>
                    <w:sdtContent/>
                  </w:sdt>
                  <w:r w:rsidR="00A46867" w:rsidRPr="00A2171C">
                    <w:rPr>
                      <w:rFonts w:eastAsia="Times New Roman" w:cs="Times New Roman"/>
                      <w:b/>
                      <w:lang w:val="en-GB"/>
                    </w:rPr>
                    <w:t>Combustibility coefficient, C</w:t>
                  </w:r>
                  <w:r w:rsidR="00A46867" w:rsidRPr="00A2171C">
                    <w:rPr>
                      <w:rFonts w:eastAsia="Times New Roman" w:cs="Times New Roman"/>
                      <w:b/>
                      <w:vertAlign w:val="subscript"/>
                      <w:lang w:val="en-GB"/>
                    </w:rPr>
                    <w:t>i</w:t>
                  </w:r>
                </w:p>
                <w:p w14:paraId="0D305932"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Low risk: flash point C</w:t>
                  </w:r>
                  <w:r w:rsidRPr="00A2171C">
                    <w:rPr>
                      <w:rFonts w:eastAsia="Times New Roman" w:cs="Times New Roman"/>
                      <w:vertAlign w:val="subscript"/>
                      <w:lang w:val="en-GB"/>
                    </w:rPr>
                    <w:t>i</w:t>
                  </w:r>
                  <w:r w:rsidRPr="00A2171C">
                    <w:rPr>
                      <w:rFonts w:eastAsia="Times New Roman" w:cs="Times New Roman"/>
                      <w:lang w:val="en-GB"/>
                    </w:rPr>
                    <w:t>&gt; 200 ° C</w:t>
                  </w:r>
                </w:p>
                <w:p w14:paraId="12DA945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Medium risk: flash point 100°C ≤</w:t>
                  </w:r>
                  <m:oMath>
                    <m:r>
                      <m:rPr>
                        <m:sty m:val="p"/>
                      </m:rPr>
                      <w:rPr>
                        <w:rFonts w:ascii="Cambria Math" w:eastAsia="Times New Roman" w:hAnsi="Cambria Math" w:cs="Times New Roman"/>
                        <w:lang w:val="en-GB"/>
                      </w:rPr>
                      <m:t xml:space="preserve"> </m:t>
                    </m:r>
                    <m:sSub>
                      <m:sSubPr>
                        <m:ctrlPr>
                          <w:rPr>
                            <w:rFonts w:ascii="Cambria Math" w:eastAsia="Times New Roman" w:hAnsi="Cambria Math" w:cs="Times New Roman"/>
                            <w:lang w:val="en-GB"/>
                          </w:rPr>
                        </m:ctrlPr>
                      </m:sSubPr>
                      <m:e>
                        <m:r>
                          <m:rPr>
                            <m:sty m:val="p"/>
                          </m:rPr>
                          <w:rPr>
                            <w:rFonts w:ascii="Cambria Math" w:eastAsia="Times New Roman" w:hAnsi="Cambria Math" w:cs="Times New Roman"/>
                            <w:lang w:val="en-GB"/>
                          </w:rPr>
                          <m:t>C</m:t>
                        </m:r>
                      </m:e>
                      <m:sub>
                        <m:r>
                          <m:rPr>
                            <m:sty m:val="p"/>
                          </m:rPr>
                          <w:rPr>
                            <w:rFonts w:ascii="Cambria Math" w:eastAsia="Times New Roman" w:hAnsi="Cambria Math" w:cs="Times New Roman"/>
                            <w:lang w:val="en-GB"/>
                          </w:rPr>
                          <m:t>I</m:t>
                        </m:r>
                      </m:sub>
                    </m:sSub>
                  </m:oMath>
                  <w:r w:rsidRPr="00A2171C">
                    <w:rPr>
                      <w:rFonts w:eastAsia="Times New Roman" w:cs="Times New Roman"/>
                      <w:lang w:val="en-GB"/>
                    </w:rPr>
                    <w:t xml:space="preserve"> ≤ 200° C</w:t>
                  </w:r>
                </w:p>
                <w:p w14:paraId="667A1B95"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High risk: flash point C</w:t>
                  </w:r>
                  <w:r w:rsidRPr="00A2171C">
                    <w:rPr>
                      <w:rFonts w:eastAsia="Times New Roman" w:cs="Times New Roman"/>
                      <w:vertAlign w:val="subscript"/>
                      <w:lang w:val="en-GB"/>
                    </w:rPr>
                    <w:t>i</w:t>
                  </w:r>
                  <w:r w:rsidRPr="00A2171C">
                    <w:rPr>
                      <w:rFonts w:eastAsia="Times New Roman" w:cs="Times New Roman"/>
                      <w:lang w:val="en-GB"/>
                    </w:rPr>
                    <w:t>&lt;100 ° C</w:t>
                  </w:r>
                </w:p>
                <w:p w14:paraId="758109A1" w14:textId="77777777" w:rsidR="00A46867" w:rsidRPr="00A2171C" w:rsidRDefault="00A46867" w:rsidP="0015439E">
                  <w:pPr>
                    <w:spacing w:after="0" w:line="240" w:lineRule="auto"/>
                    <w:rPr>
                      <w:rFonts w:eastAsia="Times New Roman" w:cs="Times New Roman"/>
                      <w:b/>
                      <w:vertAlign w:val="subscript"/>
                      <w:lang w:val="en-GB"/>
                    </w:rPr>
                  </w:pPr>
                  <w:r w:rsidRPr="00A2171C">
                    <w:rPr>
                      <w:rFonts w:eastAsia="Times New Roman" w:cs="Times New Roman"/>
                      <w:b/>
                      <w:lang w:val="en-GB"/>
                    </w:rPr>
                    <w:t>Activation coefficient, R</w:t>
                  </w:r>
                  <w:r w:rsidRPr="00A2171C">
                    <w:rPr>
                      <w:rFonts w:eastAsia="Times New Roman" w:cs="Times New Roman"/>
                      <w:b/>
                      <w:vertAlign w:val="subscript"/>
                      <w:lang w:val="en-GB"/>
                    </w:rPr>
                    <w:t>ai</w:t>
                  </w:r>
                </w:p>
                <w:p w14:paraId="725B51E8"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Low R</w:t>
                  </w:r>
                  <w:r w:rsidRPr="00A2171C">
                    <w:rPr>
                      <w:rFonts w:eastAsia="Times New Roman" w:cs="Times New Roman"/>
                      <w:vertAlign w:val="subscript"/>
                      <w:lang w:val="en-GB"/>
                    </w:rPr>
                    <w:t>ai</w:t>
                  </w:r>
                  <w:r w:rsidRPr="00A2171C">
                    <w:rPr>
                      <w:rFonts w:eastAsia="Times New Roman" w:cs="Times New Roman"/>
                      <w:lang w:val="en-GB"/>
                    </w:rPr>
                    <w:t xml:space="preserve">: e.i: electronic appliance stores; laundries; residential homes, pharmacies, bakeries; mechanical workshop  </w:t>
                  </w:r>
                </w:p>
                <w:p w14:paraId="34622B31"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Medium R</w:t>
                  </w:r>
                  <w:r w:rsidRPr="00A2171C">
                    <w:rPr>
                      <w:rFonts w:eastAsia="Times New Roman" w:cs="Times New Roman"/>
                      <w:vertAlign w:val="subscript"/>
                      <w:lang w:val="en-GB"/>
                    </w:rPr>
                    <w:t>ai</w:t>
                  </w:r>
                  <w:r w:rsidRPr="00A2171C">
                    <w:rPr>
                      <w:rFonts w:eastAsia="Times New Roman" w:cs="Times New Roman"/>
                      <w:lang w:val="en-GB"/>
                    </w:rPr>
                    <w:t>: e.i: carpentry; bar; printing; toy shop; sale of dried fruits and nuts; storage of pharmaceuticals; automotive accessories; footwear; textiles</w:t>
                  </w:r>
                </w:p>
                <w:p w14:paraId="351FBEA8"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High R</w:t>
                  </w:r>
                  <w:r w:rsidRPr="00A2171C">
                    <w:rPr>
                      <w:rFonts w:eastAsia="Times New Roman" w:cs="Times New Roman"/>
                      <w:vertAlign w:val="subscript"/>
                      <w:lang w:val="en-GB"/>
                    </w:rPr>
                    <w:t>ai</w:t>
                  </w:r>
                  <w:r w:rsidRPr="00A2171C">
                    <w:rPr>
                      <w:rFonts w:eastAsia="Times New Roman" w:cs="Times New Roman"/>
                      <w:lang w:val="en-GB"/>
                    </w:rPr>
                    <w:t>: e.i: stationeries, archives, libraries</w:t>
                  </w:r>
                </w:p>
              </w:tc>
              <w:tc>
                <w:tcPr>
                  <w:tcW w:w="476" w:type="pct"/>
                  <w:tcBorders>
                    <w:bottom w:val="single" w:sz="4" w:space="0" w:color="7F7F7F" w:themeColor="text1" w:themeTint="80"/>
                  </w:tcBorders>
                </w:tcPr>
                <w:p w14:paraId="1DE2144A" w14:textId="77777777" w:rsidR="00A46867" w:rsidRPr="00A2171C" w:rsidRDefault="00A46867" w:rsidP="0015439E">
                  <w:pPr>
                    <w:spacing w:after="0" w:line="240" w:lineRule="auto"/>
                    <w:rPr>
                      <w:rFonts w:eastAsia="Times New Roman" w:cs="Times New Roman"/>
                      <w:lang w:val="en-GB"/>
                    </w:rPr>
                  </w:pPr>
                </w:p>
                <w:p w14:paraId="05312BE2"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4A6D3E24"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1.30</w:t>
                  </w:r>
                </w:p>
                <w:p w14:paraId="5BF5B807"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1.60</w:t>
                  </w:r>
                </w:p>
                <w:p w14:paraId="7CA1D349" w14:textId="77777777" w:rsidR="00A46867" w:rsidRPr="00A2171C" w:rsidRDefault="00A46867" w:rsidP="0015439E">
                  <w:pPr>
                    <w:spacing w:after="0" w:line="240" w:lineRule="auto"/>
                    <w:rPr>
                      <w:rFonts w:eastAsia="Times New Roman" w:cs="Times New Roman"/>
                      <w:lang w:val="en-GB"/>
                    </w:rPr>
                  </w:pPr>
                </w:p>
                <w:p w14:paraId="67338330"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3E3CC964" w14:textId="77777777" w:rsidR="00A46867" w:rsidRPr="00A2171C" w:rsidRDefault="00A46867" w:rsidP="0015439E">
                  <w:pPr>
                    <w:spacing w:after="0" w:line="240" w:lineRule="auto"/>
                    <w:rPr>
                      <w:rFonts w:eastAsia="Times New Roman" w:cs="Times New Roman"/>
                      <w:lang w:val="en-GB"/>
                    </w:rPr>
                  </w:pPr>
                </w:p>
                <w:p w14:paraId="3D06CBF5"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1.50</w:t>
                  </w:r>
                </w:p>
                <w:p w14:paraId="48CB4C8C" w14:textId="77777777" w:rsidR="00A46867" w:rsidRPr="00A2171C" w:rsidRDefault="00A46867" w:rsidP="0015439E">
                  <w:pPr>
                    <w:spacing w:after="0" w:line="240" w:lineRule="auto"/>
                    <w:rPr>
                      <w:rFonts w:eastAsia="Times New Roman" w:cs="Times New Roman"/>
                      <w:lang w:val="en-GB"/>
                    </w:rPr>
                  </w:pPr>
                </w:p>
                <w:p w14:paraId="3A4468D5" w14:textId="77777777" w:rsidR="00A46867" w:rsidRPr="00A2171C" w:rsidRDefault="00A46867" w:rsidP="0015439E">
                  <w:pPr>
                    <w:spacing w:after="0" w:line="240" w:lineRule="auto"/>
                    <w:rPr>
                      <w:rFonts w:eastAsia="Times New Roman" w:cs="Times New Roman"/>
                      <w:lang w:val="en-GB"/>
                    </w:rPr>
                  </w:pPr>
                </w:p>
                <w:p w14:paraId="6D768247"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2.00</w:t>
                  </w:r>
                </w:p>
              </w:tc>
            </w:tr>
            <w:bookmarkStart w:id="43" w:name="_Hlk114057973"/>
            <w:tr w:rsidR="00A2171C" w:rsidRPr="00A2171C" w14:paraId="58A07FA5" w14:textId="77777777" w:rsidTr="008600AE">
              <w:trPr>
                <w:trHeight w:val="20"/>
              </w:trPr>
              <w:tc>
                <w:tcPr>
                  <w:tcW w:w="1842" w:type="pct"/>
                  <w:tcBorders>
                    <w:bottom w:val="nil"/>
                  </w:tcBorders>
                </w:tcPr>
                <w:p w14:paraId="5ECB61CE" w14:textId="02C78CE6"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I,5</m:t>
                        </m:r>
                      </m:sub>
                    </m:sSub>
                  </m:oMath>
                  <w:r w:rsidR="00A46867" w:rsidRPr="00A2171C">
                    <w:rPr>
                      <w:rFonts w:eastAsia="Times New Roman" w:cs="Times New Roman"/>
                      <w:lang w:val="en-GB"/>
                    </w:rPr>
                    <w:t>, Type of heating system</w:t>
                  </w:r>
                  <w:r w:rsidR="00F34CAA" w:rsidRPr="00A2171C">
                    <w:rPr>
                      <w:rFonts w:eastAsia="Times New Roman" w:cs="Times New Roman"/>
                      <w:lang w:val="en-GB"/>
                    </w:rPr>
                    <w:t>*</w:t>
                  </w:r>
                </w:p>
                <w:p w14:paraId="3B74002A" w14:textId="767AA04A" w:rsidR="00A46867" w:rsidRPr="00A2171C" w:rsidRDefault="00A46867" w:rsidP="0015439E">
                  <w:pPr>
                    <w:spacing w:after="0" w:line="240" w:lineRule="auto"/>
                    <w:rPr>
                      <w:rFonts w:eastAsia="Times New Roman" w:cs="Times New Roman"/>
                      <w:lang w:val="en-GB"/>
                    </w:rPr>
                  </w:pPr>
                  <w:r w:rsidRPr="00A2171C">
                    <w:rPr>
                      <w:rFonts w:eastAsia="Times New Roman" w:cs="Times New Roman"/>
                      <w:b/>
                      <w:bCs/>
                      <w:lang w:val="en-US"/>
                    </w:rPr>
                    <w:t xml:space="preserve">         </w:t>
                  </w:r>
                  <w:r w:rsidRPr="00A2171C">
                    <w:rPr>
                      <w:rFonts w:eastAsia="Times New Roman" w:cs="Times New Roman"/>
                      <w:bCs/>
                      <w:lang w:val="en-US"/>
                    </w:rPr>
                    <w:t>(</w:t>
                  </w:r>
                  <w:r w:rsidR="00F34CAA" w:rsidRPr="00A2171C">
                    <w:rPr>
                      <w:rFonts w:eastAsia="Times New Roman" w:cs="Times New Roman"/>
                      <w:bCs/>
                      <w:lang w:val="en-US"/>
                    </w:rPr>
                    <w:t xml:space="preserve">* </w:t>
                  </w:r>
                  <w:r w:rsidRPr="00A2171C">
                    <w:rPr>
                      <w:rFonts w:eastAsia="Times New Roman" w:cs="Times New Roman"/>
                      <w:bCs/>
                      <w:lang w:val="en-US"/>
                    </w:rPr>
                    <w:t>New partial factor)</w:t>
                  </w:r>
                  <w:bookmarkEnd w:id="43"/>
                </w:p>
              </w:tc>
              <w:tc>
                <w:tcPr>
                  <w:tcW w:w="2682" w:type="pct"/>
                  <w:tcBorders>
                    <w:bottom w:val="nil"/>
                  </w:tcBorders>
                </w:tcPr>
                <w:p w14:paraId="6C372D69"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Liquefied gas</w:t>
                  </w:r>
                </w:p>
                <w:p w14:paraId="1BD61367" w14:textId="3C74F340"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Paraffin (keros</w:t>
                  </w:r>
                  <w:r w:rsidR="00F34CAA" w:rsidRPr="00A2171C">
                    <w:rPr>
                      <w:rFonts w:eastAsia="Times New Roman" w:cs="Times New Roman"/>
                      <w:lang w:val="en-GB"/>
                    </w:rPr>
                    <w:t>e</w:t>
                  </w:r>
                  <w:r w:rsidRPr="00A2171C">
                    <w:rPr>
                      <w:rFonts w:eastAsia="Times New Roman" w:cs="Times New Roman"/>
                      <w:lang w:val="en-GB"/>
                    </w:rPr>
                    <w:t xml:space="preserve">ne) </w:t>
                  </w:r>
                </w:p>
                <w:p w14:paraId="7EB30C70"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Electrical installation</w:t>
                  </w:r>
                </w:p>
                <w:p w14:paraId="35F12378"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Wood or pellets</w:t>
                  </w:r>
                </w:p>
              </w:tc>
              <w:tc>
                <w:tcPr>
                  <w:tcW w:w="476" w:type="pct"/>
                  <w:tcBorders>
                    <w:bottom w:val="nil"/>
                  </w:tcBorders>
                </w:tcPr>
                <w:p w14:paraId="7EEA72F4"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0348FBF9"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1.20</w:t>
                  </w:r>
                </w:p>
                <w:p w14:paraId="21F7205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1.50</w:t>
                  </w:r>
                </w:p>
                <w:p w14:paraId="20A0EC93"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1.80</w:t>
                  </w:r>
                </w:p>
              </w:tc>
            </w:tr>
          </w:tbl>
          <w:p w14:paraId="204DB848" w14:textId="77777777" w:rsidR="00A46867" w:rsidRPr="00A2171C" w:rsidRDefault="00A46867" w:rsidP="0015439E">
            <w:pPr>
              <w:pStyle w:val="Caption"/>
              <w:keepNext/>
              <w:spacing w:after="0"/>
              <w:rPr>
                <w:rFonts w:cs="Times New Roman"/>
                <w:i w:val="0"/>
                <w:iCs w:val="0"/>
                <w:color w:val="auto"/>
                <w:sz w:val="20"/>
                <w:szCs w:val="20"/>
                <w:lang w:val="en-GB"/>
              </w:rPr>
            </w:pPr>
          </w:p>
        </w:tc>
      </w:tr>
    </w:tbl>
    <w:p w14:paraId="7F019118" w14:textId="77777777" w:rsidR="00E314AC" w:rsidRPr="00A2171C" w:rsidRDefault="00E314AC"/>
    <w:tbl>
      <w:tblPr>
        <w:tblStyle w:val="TableGrid"/>
        <w:tblW w:w="0" w:type="auto"/>
        <w:tblLook w:val="04A0" w:firstRow="1" w:lastRow="0" w:firstColumn="1" w:lastColumn="0" w:noHBand="0" w:noVBand="1"/>
      </w:tblPr>
      <w:tblGrid>
        <w:gridCol w:w="8828"/>
      </w:tblGrid>
      <w:tr w:rsidR="00A2171C" w:rsidRPr="00A2171C" w14:paraId="0376465E" w14:textId="77777777" w:rsidTr="00FE0A15">
        <w:trPr>
          <w:trHeight w:val="624"/>
        </w:trPr>
        <w:tc>
          <w:tcPr>
            <w:tcW w:w="8828" w:type="dxa"/>
            <w:shd w:val="clear" w:color="auto" w:fill="D9D9D9" w:themeFill="background1" w:themeFillShade="D9"/>
            <w:vAlign w:val="center"/>
          </w:tcPr>
          <w:p w14:paraId="45E1D35C" w14:textId="698C2A1F" w:rsidR="00A46867" w:rsidRPr="00A2171C" w:rsidRDefault="00C74E25" w:rsidP="00EA368D">
            <w:pPr>
              <w:pStyle w:val="Caption"/>
              <w:spacing w:after="0"/>
              <w:jc w:val="center"/>
              <w:rPr>
                <w:rFonts w:cs="Times New Roman"/>
                <w:i w:val="0"/>
                <w:iCs w:val="0"/>
                <w:color w:val="auto"/>
                <w:sz w:val="20"/>
                <w:szCs w:val="20"/>
                <w:lang w:val="en-GB"/>
              </w:rPr>
            </w:pPr>
            <w:bookmarkStart w:id="44" w:name="_Ref121156773"/>
            <w:r w:rsidRPr="00A2171C">
              <w:rPr>
                <w:color w:val="auto"/>
                <w:lang w:val="en-US"/>
              </w:rPr>
              <w:t xml:space="preserve">Table A </w:t>
            </w:r>
            <w:r w:rsidRPr="00A2171C">
              <w:rPr>
                <w:color w:val="auto"/>
              </w:rPr>
              <w:fldChar w:fldCharType="begin"/>
            </w:r>
            <w:r w:rsidRPr="00A2171C">
              <w:rPr>
                <w:color w:val="auto"/>
                <w:lang w:val="en-US"/>
              </w:rPr>
              <w:instrText xml:space="preserve"> SEQ Table_A \* ARABIC </w:instrText>
            </w:r>
            <w:r w:rsidRPr="00A2171C">
              <w:rPr>
                <w:color w:val="auto"/>
              </w:rPr>
              <w:fldChar w:fldCharType="separate"/>
            </w:r>
            <w:r w:rsidR="00C20049" w:rsidRPr="00A2171C">
              <w:rPr>
                <w:noProof/>
                <w:color w:val="auto"/>
                <w:lang w:val="en-US"/>
              </w:rPr>
              <w:t>2</w:t>
            </w:r>
            <w:r w:rsidRPr="00A2171C">
              <w:rPr>
                <w:color w:val="auto"/>
              </w:rPr>
              <w:fldChar w:fldCharType="end"/>
            </w:r>
            <w:bookmarkEnd w:id="44"/>
            <w:r w:rsidRPr="00A2171C">
              <w:rPr>
                <w:color w:val="auto"/>
                <w:lang w:val="en-US"/>
              </w:rPr>
              <w:t xml:space="preserve">: </w:t>
            </w:r>
            <w:r w:rsidR="00A46867" w:rsidRPr="00A2171C">
              <w:rPr>
                <w:rFonts w:eastAsia="Times New Roman" w:cs="Times New Roman"/>
                <w:i w:val="0"/>
                <w:iCs w:val="0"/>
                <w:color w:val="auto"/>
                <w:sz w:val="20"/>
                <w:szCs w:val="20"/>
                <w:lang w:val="en-GB"/>
              </w:rPr>
              <w:t xml:space="preserve">Description of partial-factors </w:t>
            </w:r>
            <w:r w:rsidR="00F34CAA" w:rsidRPr="00A2171C">
              <w:rPr>
                <w:rFonts w:eastAsia="Times New Roman" w:cs="Times New Roman"/>
                <w:i w:val="0"/>
                <w:iCs w:val="0"/>
                <w:color w:val="auto"/>
                <w:sz w:val="20"/>
                <w:szCs w:val="20"/>
                <w:lang w:val="en-GB"/>
              </w:rPr>
              <w:t>to</w:t>
            </w:r>
            <w:r w:rsidR="00A46867" w:rsidRPr="00A2171C">
              <w:rPr>
                <w:rFonts w:eastAsia="Times New Roman" w:cs="Times New Roman"/>
                <w:i w:val="0"/>
                <w:iCs w:val="0"/>
                <w:color w:val="auto"/>
                <w:sz w:val="20"/>
                <w:szCs w:val="20"/>
                <w:lang w:val="en-GB"/>
              </w:rPr>
              <w:t xml:space="preserve"> assess fire propagation risk (</w:t>
            </w:r>
            <m:oMath>
              <m:sSub>
                <m:sSubPr>
                  <m:ctrlPr>
                    <w:rPr>
                      <w:rFonts w:ascii="Cambria Math" w:eastAsia="Cambria Math" w:hAnsi="Cambria Math" w:cs="Times New Roman"/>
                      <w:i w:val="0"/>
                      <w:iCs w:val="0"/>
                      <w:color w:val="auto"/>
                      <w:sz w:val="20"/>
                      <w:szCs w:val="20"/>
                    </w:rPr>
                  </m:ctrlPr>
                </m:sSubPr>
                <m:e>
                  <m:r>
                    <w:rPr>
                      <w:rFonts w:ascii="Cambria Math" w:eastAsia="Cambria Math" w:hAnsi="Cambria Math" w:cs="Times New Roman"/>
                      <w:color w:val="auto"/>
                      <w:sz w:val="20"/>
                      <w:szCs w:val="20"/>
                      <w:lang w:val="en-US"/>
                    </w:rPr>
                    <m:t>SF</m:t>
                  </m:r>
                </m:e>
                <m:sub>
                  <m:r>
                    <w:rPr>
                      <w:rFonts w:ascii="Cambria Math" w:eastAsia="Cambria Math" w:hAnsi="Cambria Math" w:cs="Times New Roman"/>
                      <w:color w:val="auto"/>
                      <w:sz w:val="20"/>
                      <w:szCs w:val="20"/>
                      <w:lang w:val="en-US"/>
                    </w:rPr>
                    <m:t>P</m:t>
                  </m:r>
                </m:sub>
              </m:sSub>
            </m:oMath>
            <w:r w:rsidR="00A46867" w:rsidRPr="00A2171C">
              <w:rPr>
                <w:rFonts w:eastAsia="Times New Roman" w:cs="Times New Roman"/>
                <w:i w:val="0"/>
                <w:iCs w:val="0"/>
                <w:color w:val="auto"/>
                <w:sz w:val="20"/>
                <w:szCs w:val="20"/>
                <w:lang w:val="en-GB"/>
              </w:rPr>
              <w:t xml:space="preserve">) of aggregate historical buildings. Score values are according to </w:t>
            </w:r>
            <w:r w:rsidR="00A46867" w:rsidRPr="00A2171C">
              <w:rPr>
                <w:rFonts w:eastAsia="Times New Roman" w:cs="Times New Roman"/>
                <w:i w:val="0"/>
                <w:iCs w:val="0"/>
                <w:noProof/>
                <w:color w:val="auto"/>
                <w:sz w:val="20"/>
                <w:szCs w:val="20"/>
                <w:lang w:val="en-GB"/>
              </w:rPr>
              <w:t>Ferreira et al., 2016</w:t>
            </w:r>
            <w:r w:rsidR="00A46867" w:rsidRPr="00A2171C">
              <w:rPr>
                <w:rFonts w:eastAsia="Times New Roman" w:cs="Times New Roman"/>
                <w:i w:val="0"/>
                <w:iCs w:val="0"/>
                <w:color w:val="auto"/>
                <w:sz w:val="20"/>
                <w:szCs w:val="20"/>
                <w:lang w:val="en-GB"/>
              </w:rPr>
              <w:t>.</w:t>
            </w:r>
          </w:p>
        </w:tc>
      </w:tr>
      <w:tr w:rsidR="00A46867" w:rsidRPr="00A2171C" w14:paraId="0A60908A" w14:textId="77777777" w:rsidTr="00F25DA4">
        <w:tc>
          <w:tcPr>
            <w:tcW w:w="8828" w:type="dxa"/>
          </w:tcPr>
          <w:tbl>
            <w:tblPr>
              <w:tblW w:w="5000" w:type="pct"/>
              <w:tblLook w:val="0400" w:firstRow="0" w:lastRow="0" w:firstColumn="0" w:lastColumn="0" w:noHBand="0" w:noVBand="1"/>
            </w:tblPr>
            <w:tblGrid>
              <w:gridCol w:w="2954"/>
              <w:gridCol w:w="4964"/>
              <w:gridCol w:w="694"/>
            </w:tblGrid>
            <w:tr w:rsidR="00A2171C" w:rsidRPr="00A2171C" w14:paraId="3337D02A" w14:textId="77777777" w:rsidTr="00BA2612">
              <w:trPr>
                <w:trHeight w:val="454"/>
              </w:trPr>
              <w:tc>
                <w:tcPr>
                  <w:tcW w:w="5000" w:type="pct"/>
                  <w:gridSpan w:val="3"/>
                  <w:tcBorders>
                    <w:top w:val="nil"/>
                  </w:tcBorders>
                  <w:shd w:val="clear" w:color="auto" w:fill="auto"/>
                  <w:vAlign w:val="center"/>
                </w:tcPr>
                <w:p w14:paraId="6B7644BC" w14:textId="232D21A4" w:rsidR="00A46867" w:rsidRPr="00A2171C" w:rsidRDefault="00A46867" w:rsidP="0015439E">
                  <w:pPr>
                    <w:spacing w:after="0" w:line="240" w:lineRule="auto"/>
                    <w:jc w:val="center"/>
                    <w:rPr>
                      <w:rFonts w:eastAsia="Times New Roman" w:cs="Times New Roman"/>
                      <w:b/>
                      <w:lang w:val="en-GB"/>
                    </w:rPr>
                  </w:pPr>
                  <w:bookmarkStart w:id="45" w:name="_Hlk89273250"/>
                  <w:r w:rsidRPr="00A2171C">
                    <w:rPr>
                      <w:rFonts w:eastAsia="Times New Roman" w:cs="Times New Roman"/>
                      <w:b/>
                      <w:lang w:val="en-GB"/>
                    </w:rPr>
                    <w:t xml:space="preserve">FIRE PROPAGATION RISK: </w:t>
                  </w:r>
                  <m:oMath>
                    <m:r>
                      <w:rPr>
                        <w:rFonts w:ascii="Cambria Math" w:eastAsia="Times New Roman" w:hAnsi="Cambria Math" w:cs="Times New Roman"/>
                        <w:lang w:val="en-GB"/>
                      </w:rPr>
                      <m:t>S</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F</m:t>
                        </m:r>
                      </m:e>
                      <m:sub>
                        <m:r>
                          <w:rPr>
                            <w:rFonts w:ascii="Cambria Math" w:eastAsia="Times New Roman" w:hAnsi="Cambria Math" w:cs="Times New Roman"/>
                            <w:lang w:val="en-GB"/>
                          </w:rPr>
                          <m:t>P</m:t>
                        </m:r>
                      </m:sub>
                    </m:sSub>
                  </m:oMath>
                  <w:r w:rsidRPr="00A2171C">
                    <w:rPr>
                      <w:rFonts w:eastAsia="Times New Roman" w:cs="Times New Roman"/>
                      <w:b/>
                      <w:lang w:val="en-GB"/>
                    </w:rPr>
                    <w:t xml:space="preserve">= </w:t>
                  </w:r>
                  <m:oMath>
                    <m:nary>
                      <m:naryPr>
                        <m:chr m:val="∑"/>
                        <m:ctrlPr>
                          <w:rPr>
                            <w:rFonts w:ascii="Cambria Math" w:eastAsia="Cambria Math" w:hAnsi="Cambria Math" w:cs="Times New Roman"/>
                            <w:lang w:val="en-GB"/>
                          </w:rPr>
                        </m:ctrlPr>
                      </m:naryPr>
                      <m:sub>
                        <m:r>
                          <m:rPr>
                            <m:sty m:val="p"/>
                          </m:rPr>
                          <w:rPr>
                            <w:rFonts w:ascii="Cambria Math" w:eastAsia="Cambria Math" w:hAnsi="Cambria Math" w:cs="Times New Roman"/>
                            <w:lang w:val="en-GB"/>
                          </w:rPr>
                          <m:t>i=1</m:t>
                        </m:r>
                      </m:sub>
                      <m:sup>
                        <m:r>
                          <m:rPr>
                            <m:sty m:val="p"/>
                          </m:rPr>
                          <w:rPr>
                            <w:rFonts w:ascii="Cambria Math" w:eastAsia="Cambria Math" w:hAnsi="Cambria Math" w:cs="Times New Roman"/>
                            <w:lang w:val="en-GB"/>
                          </w:rPr>
                          <m:t>5</m:t>
                        </m:r>
                      </m:sup>
                      <m:e>
                        <m:acc>
                          <m:accPr>
                            <m:ctrlPr>
                              <w:rPr>
                                <w:rFonts w:ascii="Cambria Math" w:eastAsia="Cambria Math" w:hAnsi="Cambria Math" w:cs="Times New Roman"/>
                                <w:lang w:val="en-GB"/>
                              </w:rPr>
                            </m:ctrlPr>
                          </m:accPr>
                          <m:e>
                            <m:sSub>
                              <m:sSubPr>
                                <m:ctrlPr>
                                  <w:rPr>
                                    <w:rFonts w:ascii="Cambria Math" w:eastAsia="Cambria Math" w:hAnsi="Cambria Math" w:cs="Times New Roman"/>
                                    <w:lang w:val="en-GB"/>
                                  </w:rPr>
                                </m:ctrlPr>
                              </m:sSubPr>
                              <m:e>
                                <m:r>
                                  <m:rPr>
                                    <m:sty m:val="p"/>
                                  </m:rPr>
                                  <w:rPr>
                                    <w:rFonts w:ascii="Cambria Math" w:eastAsia="Cambria Math" w:hAnsi="Cambria Math" w:cs="Times New Roman"/>
                                    <w:lang w:val="en-GB"/>
                                  </w:rPr>
                                  <m:t>PF</m:t>
                                </m:r>
                              </m:e>
                              <m:sub>
                                <m:r>
                                  <w:rPr>
                                    <w:rFonts w:ascii="Cambria Math" w:eastAsia="Cambria Math" w:hAnsi="Cambria Math" w:cs="Times New Roman"/>
                                    <w:lang w:val="en-GB"/>
                                  </w:rPr>
                                  <m:t>Pi</m:t>
                                </m:r>
                              </m:sub>
                            </m:sSub>
                          </m:e>
                        </m:acc>
                      </m:e>
                    </m:nary>
                  </m:oMath>
                </w:p>
              </w:tc>
            </w:tr>
            <w:tr w:rsidR="00A2171C" w:rsidRPr="00A2171C" w14:paraId="1A9B00F6" w14:textId="77777777" w:rsidTr="00BA2612">
              <w:trPr>
                <w:trHeight w:val="20"/>
              </w:trPr>
              <w:tc>
                <w:tcPr>
                  <w:tcW w:w="1749" w:type="pct"/>
                  <w:shd w:val="clear" w:color="auto" w:fill="auto"/>
                </w:tcPr>
                <w:p w14:paraId="7F39BC70" w14:textId="77777777" w:rsidR="00A46867" w:rsidRPr="00A2171C" w:rsidRDefault="00A46867" w:rsidP="0015439E">
                  <w:pPr>
                    <w:spacing w:after="0" w:line="240" w:lineRule="auto"/>
                    <w:rPr>
                      <w:rFonts w:eastAsia="Times New Roman" w:cs="Times New Roman"/>
                      <w:b/>
                      <w:lang w:val="en-GB"/>
                    </w:rPr>
                  </w:pPr>
                  <w:r w:rsidRPr="00A2171C">
                    <w:rPr>
                      <w:rFonts w:eastAsia="Times New Roman" w:cs="Times New Roman"/>
                      <w:b/>
                      <w:lang w:val="en-GB"/>
                    </w:rPr>
                    <w:t>Partial-factors</w:t>
                  </w:r>
                </w:p>
              </w:tc>
              <w:tc>
                <w:tcPr>
                  <w:tcW w:w="2915" w:type="pct"/>
                  <w:shd w:val="clear" w:color="auto" w:fill="auto"/>
                </w:tcPr>
                <w:p w14:paraId="64FF0514" w14:textId="77777777" w:rsidR="00A46867" w:rsidRPr="00A2171C" w:rsidRDefault="00A46867" w:rsidP="0015439E">
                  <w:pPr>
                    <w:spacing w:after="0" w:line="240" w:lineRule="auto"/>
                    <w:rPr>
                      <w:rFonts w:eastAsia="Times New Roman" w:cs="Times New Roman"/>
                      <w:b/>
                      <w:lang w:val="en-GB"/>
                    </w:rPr>
                  </w:pPr>
                  <w:r w:rsidRPr="00A2171C">
                    <w:rPr>
                      <w:rFonts w:eastAsia="Times New Roman" w:cs="Times New Roman"/>
                      <w:b/>
                      <w:lang w:val="en-GB"/>
                    </w:rPr>
                    <w:t>Description</w:t>
                  </w:r>
                </w:p>
              </w:tc>
              <w:tc>
                <w:tcPr>
                  <w:tcW w:w="336" w:type="pct"/>
                  <w:shd w:val="clear" w:color="auto" w:fill="auto"/>
                </w:tcPr>
                <w:p w14:paraId="2672BBCA" w14:textId="77777777" w:rsidR="00A46867" w:rsidRPr="00A2171C" w:rsidRDefault="00A46867" w:rsidP="0015439E">
                  <w:pPr>
                    <w:spacing w:after="0" w:line="240" w:lineRule="auto"/>
                    <w:rPr>
                      <w:rFonts w:eastAsia="Times New Roman" w:cs="Times New Roman"/>
                      <w:b/>
                      <w:lang w:val="en-GB"/>
                    </w:rPr>
                  </w:pPr>
                  <w:r w:rsidRPr="00A2171C">
                    <w:rPr>
                      <w:rFonts w:eastAsia="Times New Roman" w:cs="Times New Roman"/>
                      <w:b/>
                      <w:lang w:val="en-GB"/>
                    </w:rPr>
                    <w:t>Score</w:t>
                  </w:r>
                </w:p>
              </w:tc>
            </w:tr>
            <w:tr w:rsidR="00A2171C" w:rsidRPr="00A2171C" w14:paraId="7E24EC21" w14:textId="77777777" w:rsidTr="00BA2612">
              <w:trPr>
                <w:trHeight w:val="20"/>
              </w:trPr>
              <w:tc>
                <w:tcPr>
                  <w:tcW w:w="1749" w:type="pct"/>
                  <w:shd w:val="clear" w:color="auto" w:fill="auto"/>
                </w:tcPr>
                <w:p w14:paraId="4780A945" w14:textId="13E90578"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P,1</m:t>
                        </m:r>
                      </m:sub>
                    </m:sSub>
                  </m:oMath>
                  <w:r w:rsidR="00A46867" w:rsidRPr="00A2171C">
                    <w:rPr>
                      <w:rFonts w:eastAsia="Times New Roman" w:cs="Times New Roman"/>
                      <w:vertAlign w:val="subscript"/>
                      <w:lang w:val="en-GB"/>
                    </w:rPr>
                    <w:t xml:space="preserve">, </w:t>
                  </w:r>
                  <w:r w:rsidR="00A46867" w:rsidRPr="00A2171C">
                    <w:rPr>
                      <w:rFonts w:eastAsia="Times New Roman" w:cs="Times New Roman"/>
                      <w:lang w:val="en-GB"/>
                    </w:rPr>
                    <w:t xml:space="preserve">Number of gaps between aligned openings </w:t>
                  </w:r>
                </w:p>
              </w:tc>
              <w:tc>
                <w:tcPr>
                  <w:tcW w:w="2915" w:type="pct"/>
                  <w:shd w:val="clear" w:color="auto" w:fill="auto"/>
                </w:tcPr>
                <w:p w14:paraId="2DEA95F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0, Number of spans with gap between aligned openings less than 1.10m;</w:t>
                  </w:r>
                </w:p>
                <w:p w14:paraId="1B8896D4"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lastRenderedPageBreak/>
                    <w:t>1, Number of spans with gap between aligned openings less than 1.10m;</w:t>
                  </w:r>
                </w:p>
                <w:p w14:paraId="620EF1E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 Number of spans with gap between aligned openings less than 1.10m</w:t>
                  </w:r>
                </w:p>
              </w:tc>
              <w:tc>
                <w:tcPr>
                  <w:tcW w:w="336" w:type="pct"/>
                  <w:shd w:val="clear" w:color="auto" w:fill="auto"/>
                </w:tcPr>
                <w:p w14:paraId="7263B955"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lastRenderedPageBreak/>
                    <w:t>1.00</w:t>
                  </w:r>
                </w:p>
                <w:p w14:paraId="76C9E078"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1.25</w:t>
                  </w:r>
                </w:p>
                <w:p w14:paraId="39B55FB1"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1.50</w:t>
                  </w:r>
                </w:p>
              </w:tc>
            </w:tr>
            <w:tr w:rsidR="00A2171C" w:rsidRPr="00A2171C" w14:paraId="3DB4A53F" w14:textId="77777777" w:rsidTr="00BA2612">
              <w:trPr>
                <w:trHeight w:val="20"/>
              </w:trPr>
              <w:tc>
                <w:tcPr>
                  <w:tcW w:w="1749" w:type="pct"/>
                  <w:shd w:val="clear" w:color="auto" w:fill="auto"/>
                </w:tcPr>
                <w:p w14:paraId="69839E3B" w14:textId="6B2249B2" w:rsidR="00A46867" w:rsidRPr="00A2171C" w:rsidRDefault="00000000" w:rsidP="0015439E">
                  <w:pPr>
                    <w:spacing w:after="0" w:line="240" w:lineRule="auto"/>
                    <w:rPr>
                      <w:rFonts w:eastAsia="Times New Roman" w:cs="Times New Roman"/>
                      <w:b/>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P,2</m:t>
                        </m:r>
                      </m:sub>
                    </m:sSub>
                  </m:oMath>
                  <w:r w:rsidR="00A46867" w:rsidRPr="00A2171C">
                    <w:rPr>
                      <w:rFonts w:eastAsia="Times New Roman" w:cs="Times New Roman"/>
                      <w:lang w:val="en-GB"/>
                    </w:rPr>
                    <w:t>,</w:t>
                  </w:r>
                  <w:r w:rsidR="00A46867" w:rsidRPr="00A2171C">
                    <w:rPr>
                      <w:rFonts w:eastAsia="Times New Roman" w:cs="Times New Roman"/>
                      <w:vertAlign w:val="subscript"/>
                      <w:lang w:val="en-GB"/>
                    </w:rPr>
                    <w:t xml:space="preserve"> </w:t>
                  </w:r>
                  <w:r w:rsidR="00A46867" w:rsidRPr="00A2171C">
                    <w:rPr>
                      <w:rFonts w:eastAsia="Times New Roman" w:cs="Times New Roman"/>
                      <w:lang w:val="en-GB"/>
                    </w:rPr>
                    <w:t>Safety and security teams</w:t>
                  </w:r>
                  <w:r w:rsidR="00A46867" w:rsidRPr="00A2171C">
                    <w:rPr>
                      <w:rFonts w:eastAsia="Times New Roman" w:cs="Times New Roman"/>
                      <w:b/>
                      <w:lang w:val="en-GB"/>
                    </w:rPr>
                    <w:t xml:space="preserve"> </w:t>
                  </w:r>
                </w:p>
              </w:tc>
              <w:tc>
                <w:tcPr>
                  <w:tcW w:w="2915" w:type="pct"/>
                  <w:shd w:val="clear" w:color="auto" w:fill="auto"/>
                </w:tcPr>
                <w:p w14:paraId="795A1B2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Not required but exist</w:t>
                  </w:r>
                </w:p>
                <w:p w14:paraId="10D12361"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Not required and do not exist</w:t>
                  </w:r>
                </w:p>
                <w:p w14:paraId="4247034D"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Required, exist</w:t>
                  </w:r>
                </w:p>
                <w:p w14:paraId="39566A41"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Required, do not exist</w:t>
                  </w:r>
                </w:p>
              </w:tc>
              <w:tc>
                <w:tcPr>
                  <w:tcW w:w="336" w:type="pct"/>
                  <w:shd w:val="clear" w:color="auto" w:fill="auto"/>
                </w:tcPr>
                <w:p w14:paraId="43370BD1"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0.50</w:t>
                  </w:r>
                </w:p>
                <w:p w14:paraId="31CD205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255EE4D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447E55F6"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2.00</w:t>
                  </w:r>
                </w:p>
              </w:tc>
            </w:tr>
            <w:tr w:rsidR="00A2171C" w:rsidRPr="00A2171C" w14:paraId="0455B1D6" w14:textId="77777777" w:rsidTr="00BA2612">
              <w:trPr>
                <w:trHeight w:val="20"/>
              </w:trPr>
              <w:tc>
                <w:tcPr>
                  <w:tcW w:w="1749" w:type="pct"/>
                  <w:shd w:val="clear" w:color="auto" w:fill="auto"/>
                </w:tcPr>
                <w:p w14:paraId="5634246C" w14:textId="40C1E577"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P,3</m:t>
                        </m:r>
                      </m:sub>
                    </m:sSub>
                  </m:oMath>
                  <w:r w:rsidR="00A46867" w:rsidRPr="00A2171C">
                    <w:rPr>
                      <w:rFonts w:eastAsia="Times New Roman" w:cs="Times New Roman"/>
                      <w:lang w:val="en-GB"/>
                    </w:rPr>
                    <w:t>, Detection alert and alarm systems</w:t>
                  </w:r>
                </w:p>
              </w:tc>
              <w:tc>
                <w:tcPr>
                  <w:tcW w:w="2915" w:type="pct"/>
                  <w:shd w:val="clear" w:color="auto" w:fill="auto"/>
                </w:tcPr>
                <w:p w14:paraId="29662877"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Not required, there is an automatic fire detection system;</w:t>
                  </w:r>
                </w:p>
                <w:p w14:paraId="4F2B1FE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Not required, there is a manual fire alarm box</w:t>
                  </w:r>
                  <w:r w:rsidRPr="00A2171C">
                    <w:rPr>
                      <w:rFonts w:eastAsia="Libre Baskerville" w:cs="Times New Roman"/>
                      <w:lang w:val="en-GB"/>
                    </w:rPr>
                    <w:t>;</w:t>
                  </w:r>
                </w:p>
                <w:p w14:paraId="4474472C"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 xml:space="preserve">Not required, there is no fire detection system; </w:t>
                  </w:r>
                </w:p>
                <w:p w14:paraId="3BDB43C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Required, existing equipment in compliance with the regulation;</w:t>
                  </w:r>
                </w:p>
                <w:p w14:paraId="65C4904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 xml:space="preserve">Required, there is no manual fire alarm box; </w:t>
                  </w:r>
                </w:p>
                <w:p w14:paraId="40E08D60"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Required, there is only a manual fire alarm box, when an automatic detection system is also required;</w:t>
                  </w:r>
                </w:p>
                <w:p w14:paraId="019C6695"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Required, there is no fire detection system.</w:t>
                  </w:r>
                </w:p>
              </w:tc>
              <w:tc>
                <w:tcPr>
                  <w:tcW w:w="336" w:type="pct"/>
                  <w:shd w:val="clear" w:color="auto" w:fill="auto"/>
                </w:tcPr>
                <w:p w14:paraId="68181946"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0.50</w:t>
                  </w:r>
                </w:p>
                <w:p w14:paraId="7F8E86A4"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0.90</w:t>
                  </w:r>
                </w:p>
                <w:p w14:paraId="19D042AF"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659AE5D9"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1.00</w:t>
                  </w:r>
                </w:p>
                <w:p w14:paraId="0270B178"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1.20</w:t>
                  </w:r>
                </w:p>
                <w:p w14:paraId="3854F0D5" w14:textId="77777777" w:rsidR="00A46867" w:rsidRPr="00A2171C" w:rsidRDefault="00A46867" w:rsidP="0015439E">
                  <w:pPr>
                    <w:spacing w:after="0" w:line="240" w:lineRule="auto"/>
                    <w:rPr>
                      <w:rFonts w:eastAsia="Times New Roman" w:cs="Times New Roman"/>
                      <w:lang w:val="en-GB"/>
                    </w:rPr>
                  </w:pPr>
                </w:p>
                <w:p w14:paraId="2DA7E39D"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1.80</w:t>
                  </w:r>
                </w:p>
                <w:p w14:paraId="1CD3CC6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2.00</w:t>
                  </w:r>
                </w:p>
              </w:tc>
            </w:tr>
            <w:tr w:rsidR="00A2171C" w:rsidRPr="00A2171C" w14:paraId="28710097" w14:textId="77777777" w:rsidTr="0031617B">
              <w:trPr>
                <w:trHeight w:val="20"/>
              </w:trPr>
              <w:tc>
                <w:tcPr>
                  <w:tcW w:w="1749" w:type="pct"/>
                  <w:shd w:val="clear" w:color="auto" w:fill="auto"/>
                </w:tcPr>
                <w:p w14:paraId="71DC7D00" w14:textId="77777777" w:rsidR="0031617B" w:rsidRPr="00A2171C" w:rsidRDefault="0031617B" w:rsidP="0015439E">
                  <w:pPr>
                    <w:spacing w:after="0" w:line="240" w:lineRule="auto"/>
                    <w:rPr>
                      <w:rFonts w:eastAsiaTheme="minorEastAsia"/>
                      <w:vertAlign w:val="subscript"/>
                      <w:lang w:val="en-GB"/>
                    </w:rPr>
                  </w:pPr>
                  <w:bookmarkStart w:id="46" w:name="_Hlk114057954"/>
                </w:p>
                <w:p w14:paraId="6694227A" w14:textId="4A49535C"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P,4</m:t>
                        </m:r>
                      </m:sub>
                    </m:sSub>
                  </m:oMath>
                  <w:r w:rsidR="00A46867" w:rsidRPr="00A2171C">
                    <w:rPr>
                      <w:rFonts w:eastAsia="Times New Roman" w:cs="Times New Roman"/>
                      <w:lang w:val="en-GB"/>
                    </w:rPr>
                    <w:t>, Fixed fire load</w:t>
                  </w:r>
                  <w:r w:rsidR="00C859A3" w:rsidRPr="00A2171C">
                    <w:rPr>
                      <w:rFonts w:eastAsia="Times New Roman" w:cs="Times New Roman"/>
                      <w:lang w:val="en-GB"/>
                    </w:rPr>
                    <w:t>*</w:t>
                  </w:r>
                </w:p>
                <w:p w14:paraId="5BFB83F3" w14:textId="16120AF5" w:rsidR="00A46867" w:rsidRPr="00A2171C" w:rsidRDefault="00A46867" w:rsidP="00C859A3">
                  <w:pPr>
                    <w:spacing w:after="0" w:line="240" w:lineRule="auto"/>
                    <w:ind w:left="492"/>
                    <w:jc w:val="right"/>
                    <w:rPr>
                      <w:rFonts w:eastAsia="Times New Roman" w:cs="Times New Roman"/>
                      <w:lang w:val="en-GB"/>
                    </w:rPr>
                  </w:pPr>
                  <w:r w:rsidRPr="00A2171C">
                    <w:rPr>
                      <w:rFonts w:eastAsia="Times New Roman" w:cs="Times New Roman"/>
                      <w:b/>
                      <w:bCs/>
                      <w:lang w:val="en-GB"/>
                    </w:rPr>
                    <w:t>(</w:t>
                  </w:r>
                  <w:r w:rsidR="00C859A3" w:rsidRPr="00A2171C">
                    <w:rPr>
                      <w:rFonts w:eastAsia="Times New Roman" w:cs="Times New Roman"/>
                      <w:b/>
                      <w:bCs/>
                      <w:lang w:val="en-GB"/>
                    </w:rPr>
                    <w:t>*</w:t>
                  </w:r>
                  <w:r w:rsidRPr="00A2171C">
                    <w:rPr>
                      <w:rFonts w:eastAsia="Times New Roman" w:cs="Times New Roman"/>
                      <w:b/>
                      <w:bCs/>
                      <w:lang w:val="en-GB"/>
                    </w:rPr>
                    <w:t>New partial-factor</w:t>
                  </w:r>
                  <w:r w:rsidR="00C859A3" w:rsidRPr="00A2171C">
                    <w:rPr>
                      <w:rFonts w:eastAsia="Times New Roman" w:cs="Times New Roman"/>
                      <w:b/>
                      <w:bCs/>
                      <w:lang w:val="en-GB"/>
                    </w:rPr>
                    <w:t xml:space="preserve">, </w:t>
                  </w:r>
                  <w:r w:rsidR="00C859A3" w:rsidRPr="00A2171C">
                    <w:rPr>
                      <w:rFonts w:eastAsia="Times New Roman" w:cs="Times New Roman"/>
                      <w:lang w:val="en-GB"/>
                    </w:rPr>
                    <w:t>only for building of CD and CL&amp;Va typologies</w:t>
                  </w:r>
                  <w:r w:rsidRPr="00A2171C">
                    <w:rPr>
                      <w:rFonts w:eastAsia="Times New Roman" w:cs="Times New Roman"/>
                      <w:lang w:val="en-GB"/>
                    </w:rPr>
                    <w:t>)</w:t>
                  </w:r>
                </w:p>
                <w:bookmarkEnd w:id="46"/>
                <w:p w14:paraId="48E292F6" w14:textId="77777777" w:rsidR="00C859A3" w:rsidRPr="00A2171C" w:rsidRDefault="00C859A3" w:rsidP="0015439E">
                  <w:pPr>
                    <w:spacing w:after="0" w:line="240" w:lineRule="auto"/>
                    <w:jc w:val="center"/>
                    <w:rPr>
                      <w:rFonts w:eastAsia="Times New Roman" w:cs="Times New Roman"/>
                      <w:lang w:val="en-GB"/>
                    </w:rPr>
                  </w:pPr>
                </w:p>
                <w:p w14:paraId="5B01F51D" w14:textId="1434CE7F" w:rsidR="00A46867" w:rsidRPr="00A2171C" w:rsidRDefault="00A46867" w:rsidP="0015439E">
                  <w:pPr>
                    <w:spacing w:after="0" w:line="240" w:lineRule="auto"/>
                    <w:jc w:val="center"/>
                    <w:rPr>
                      <w:rFonts w:eastAsia="Times New Roman" w:cs="Times New Roman"/>
                      <w:lang w:val="en-GB"/>
                    </w:rPr>
                  </w:pPr>
                  <w:r w:rsidRPr="00A2171C">
                    <w:rPr>
                      <w:rFonts w:eastAsia="Times New Roman" w:cs="Times New Roman"/>
                      <w:lang w:val="en-GB"/>
                    </w:rPr>
                    <w:t>or simplified calculation with</w:t>
                  </w:r>
                </w:p>
                <w:p w14:paraId="752552B1" w14:textId="5A9B21F2" w:rsidR="0031617B" w:rsidRPr="00A2171C" w:rsidRDefault="0031617B" w:rsidP="0031617B">
                  <w:pPr>
                    <w:spacing w:after="0" w:line="240" w:lineRule="auto"/>
                    <w:rPr>
                      <w:rFonts w:eastAsia="Times New Roman" w:cs="Times New Roman"/>
                      <w:lang w:val="en-GB"/>
                    </w:rPr>
                  </w:pPr>
                </w:p>
              </w:tc>
              <w:tc>
                <w:tcPr>
                  <w:tcW w:w="2915" w:type="pct"/>
                  <w:shd w:val="clear" w:color="auto" w:fill="auto"/>
                </w:tcPr>
                <w:p w14:paraId="4EAD1480" w14:textId="77777777" w:rsidR="0031617B" w:rsidRPr="00A2171C" w:rsidRDefault="0031617B" w:rsidP="0015439E">
                  <w:pPr>
                    <w:spacing w:after="0" w:line="240" w:lineRule="auto"/>
                    <w:rPr>
                      <w:rFonts w:eastAsia="Times New Roman" w:cs="Times New Roman"/>
                      <w:lang w:val="en-GB"/>
                    </w:rPr>
                  </w:pPr>
                </w:p>
                <w:p w14:paraId="33E2457D" w14:textId="1312AE15"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Small lot (6-9m wide and 8-25m long)</w:t>
                  </w:r>
                </w:p>
                <w:p w14:paraId="0A90A98D"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Large lot (7-15m wide and 25-40-60m long)</w:t>
                  </w:r>
                </w:p>
                <w:p w14:paraId="6AC5313B"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Square lot</w:t>
                  </w:r>
                </w:p>
                <w:p w14:paraId="29FE8851"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 or more-storey building with tabique structure in upper floors</w:t>
                  </w:r>
                </w:p>
              </w:tc>
              <w:tc>
                <w:tcPr>
                  <w:tcW w:w="336" w:type="pct"/>
                  <w:shd w:val="clear" w:color="auto" w:fill="auto"/>
                </w:tcPr>
                <w:p w14:paraId="529A9785" w14:textId="77777777" w:rsidR="0031617B" w:rsidRPr="00A2171C" w:rsidRDefault="0031617B" w:rsidP="0015439E">
                  <w:pPr>
                    <w:spacing w:after="0" w:line="240" w:lineRule="auto"/>
                    <w:rPr>
                      <w:rFonts w:eastAsia="Times New Roman" w:cs="Times New Roman"/>
                      <w:lang w:val="en-GB"/>
                    </w:rPr>
                  </w:pPr>
                </w:p>
                <w:p w14:paraId="24C043D9" w14:textId="2172F7D6"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2.00</w:t>
                  </w:r>
                </w:p>
                <w:p w14:paraId="7EF7AD0D"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3.70</w:t>
                  </w:r>
                </w:p>
                <w:p w14:paraId="7EB6C806"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3.80</w:t>
                  </w:r>
                </w:p>
                <w:p w14:paraId="1BEFAFA3" w14:textId="77777777" w:rsidR="0015439E" w:rsidRPr="00A2171C" w:rsidRDefault="0015439E" w:rsidP="0015439E">
                  <w:pPr>
                    <w:spacing w:after="0" w:line="240" w:lineRule="auto"/>
                    <w:rPr>
                      <w:rFonts w:eastAsia="Times New Roman" w:cs="Times New Roman"/>
                      <w:lang w:val="en-GB"/>
                    </w:rPr>
                  </w:pPr>
                </w:p>
                <w:p w14:paraId="45249B92" w14:textId="0DD41328"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4.30</w:t>
                  </w:r>
                </w:p>
              </w:tc>
            </w:tr>
            <w:tr w:rsidR="00A2171C" w:rsidRPr="00A2171C" w14:paraId="65D2C37E" w14:textId="77777777" w:rsidTr="0031617B">
              <w:trPr>
                <w:trHeight w:val="20"/>
              </w:trPr>
              <w:tc>
                <w:tcPr>
                  <w:tcW w:w="1749" w:type="pct"/>
                  <w:shd w:val="clear" w:color="auto" w:fill="auto"/>
                </w:tcPr>
                <w:p w14:paraId="12305E73" w14:textId="0313C1CD"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P,4s</m:t>
                        </m:r>
                      </m:sub>
                    </m:sSub>
                  </m:oMath>
                  <w:r w:rsidR="00A46867" w:rsidRPr="00A2171C">
                    <w:rPr>
                      <w:rFonts w:eastAsia="Times New Roman" w:cs="Times New Roman"/>
                      <w:lang w:val="en-GB"/>
                    </w:rPr>
                    <w:t xml:space="preserve">, </w:t>
                  </w:r>
                  <w:r w:rsidR="00C859A3" w:rsidRPr="00A2171C">
                    <w:rPr>
                      <w:rFonts w:eastAsia="Times New Roman" w:cs="Times New Roman"/>
                      <w:lang w:val="en-GB"/>
                    </w:rPr>
                    <w:t>Simplified fixed f</w:t>
                  </w:r>
                  <w:r w:rsidR="00A46867" w:rsidRPr="00A2171C">
                    <w:rPr>
                      <w:rFonts w:eastAsia="Times New Roman" w:cs="Times New Roman"/>
                      <w:lang w:val="en-GB"/>
                    </w:rPr>
                    <w:t xml:space="preserve">ire </w:t>
                  </w:r>
                  <w:r w:rsidR="00C859A3" w:rsidRPr="00A2171C">
                    <w:rPr>
                      <w:rFonts w:eastAsia="Times New Roman" w:cs="Times New Roman"/>
                      <w:lang w:val="en-GB"/>
                    </w:rPr>
                    <w:t>load</w:t>
                  </w:r>
                </w:p>
                <w:p w14:paraId="27FE98C3" w14:textId="4856678F" w:rsidR="00C859A3" w:rsidRPr="00A2171C" w:rsidRDefault="00C859A3" w:rsidP="00C859A3">
                  <w:pPr>
                    <w:spacing w:after="0" w:line="240" w:lineRule="auto"/>
                    <w:ind w:left="634"/>
                    <w:jc w:val="right"/>
                    <w:rPr>
                      <w:rFonts w:eastAsia="Times New Roman" w:cs="Times New Roman"/>
                      <w:shd w:val="clear" w:color="auto" w:fill="C9DAF8"/>
                      <w:lang w:val="en-GB"/>
                    </w:rPr>
                  </w:pPr>
                  <w:r w:rsidRPr="005E273C">
                    <w:rPr>
                      <w:rFonts w:eastAsia="Times New Roman" w:cs="Times New Roman"/>
                      <w:lang w:val="en-GB"/>
                    </w:rPr>
                    <w:t>(Also called Compartmentalization sub-factor in FRI method, for all historic buildings that do not fall under the CD and CL&amp;Va typologies)</w:t>
                  </w:r>
                </w:p>
                <w:p w14:paraId="1318591E" w14:textId="77777777" w:rsidR="00C859A3"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 xml:space="preserve">         </w:t>
                  </w:r>
                </w:p>
                <w:p w14:paraId="64A42117" w14:textId="48F8FD40" w:rsidR="00A46867" w:rsidRPr="00A2171C" w:rsidRDefault="00A46867" w:rsidP="00C859A3">
                  <w:pPr>
                    <w:spacing w:after="0" w:line="240" w:lineRule="auto"/>
                    <w:ind w:left="492"/>
                    <w:rPr>
                      <w:rFonts w:eastAsia="Times New Roman" w:cs="Times New Roman"/>
                      <w:lang w:val="en-GB"/>
                    </w:rPr>
                  </w:pPr>
                  <w:r w:rsidRPr="00A2171C">
                    <w:rPr>
                      <w:rFonts w:eastAsia="Times New Roman" w:cs="Times New Roman"/>
                      <w:lang w:val="en-GB"/>
                    </w:rPr>
                    <w:t xml:space="preserve">   </w:t>
                  </w: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P,4s</m:t>
                        </m:r>
                      </m:sub>
                    </m:sSub>
                  </m:oMath>
                  <w:r w:rsidRPr="00A2171C">
                    <w:rPr>
                      <w:rFonts w:eastAsia="Times New Roman" w:cs="Times New Roman"/>
                      <w:lang w:val="en-GB"/>
                    </w:rPr>
                    <w:t xml:space="preserve"> = Cf + </w:t>
                  </w:r>
                  <m:oMath>
                    <m:nary>
                      <m:naryPr>
                        <m:chr m:val="∑"/>
                        <m:ctrlPr>
                          <w:rPr>
                            <w:rFonts w:ascii="Cambria Math" w:eastAsia="Cambria Math" w:hAnsi="Cambria Math" w:cs="Times New Roman"/>
                            <w:lang w:val="en-GB"/>
                          </w:rPr>
                        </m:ctrlPr>
                      </m:naryPr>
                      <m:sub>
                        <m:r>
                          <m:rPr>
                            <m:sty m:val="p"/>
                          </m:rPr>
                          <w:rPr>
                            <w:rFonts w:ascii="Cambria Math" w:eastAsia="Cambria Math" w:hAnsi="Cambria Math" w:cs="Times New Roman"/>
                            <w:lang w:val="en-GB"/>
                          </w:rPr>
                          <m:t>i=1</m:t>
                        </m:r>
                      </m:sub>
                      <m:sup>
                        <m:r>
                          <m:rPr>
                            <m:sty m:val="p"/>
                          </m:rPr>
                          <w:rPr>
                            <w:rFonts w:ascii="Cambria Math" w:eastAsia="Cambria Math" w:hAnsi="Cambria Math" w:cs="Times New Roman"/>
                            <w:lang w:val="en-GB"/>
                          </w:rPr>
                          <m:t>4</m:t>
                        </m:r>
                      </m:sup>
                      <m:e>
                        <m:sSub>
                          <m:sSubPr>
                            <m:ctrlPr>
                              <w:rPr>
                                <w:rFonts w:ascii="Cambria Math" w:eastAsia="Cambria Math" w:hAnsi="Cambria Math" w:cs="Times New Roman"/>
                                <w:lang w:val="en-GB"/>
                              </w:rPr>
                            </m:ctrlPr>
                          </m:sSubPr>
                          <m:e>
                            <m:r>
                              <m:rPr>
                                <m:sty m:val="p"/>
                              </m:rPr>
                              <w:rPr>
                                <w:rFonts w:ascii="Cambria Math" w:eastAsia="Cambria Math" w:hAnsi="Cambria Math" w:cs="Times New Roman"/>
                                <w:lang w:val="en-GB"/>
                              </w:rPr>
                              <m:t>F</m:t>
                            </m:r>
                          </m:e>
                          <m:sub>
                            <m:r>
                              <m:rPr>
                                <m:sty m:val="p"/>
                              </m:rPr>
                              <w:rPr>
                                <w:rFonts w:ascii="Cambria Math" w:eastAsia="Cambria Math" w:hAnsi="Cambria Math" w:cs="Times New Roman"/>
                                <w:lang w:val="en-GB"/>
                              </w:rPr>
                              <m:t>P4,si</m:t>
                            </m:r>
                          </m:sub>
                        </m:sSub>
                      </m:e>
                    </m:nary>
                  </m:oMath>
                </w:p>
              </w:tc>
              <w:tc>
                <w:tcPr>
                  <w:tcW w:w="2915" w:type="pct"/>
                  <w:shd w:val="clear" w:color="auto" w:fill="auto"/>
                </w:tcPr>
                <w:p w14:paraId="07965BDB" w14:textId="77777777" w:rsidR="00A46867" w:rsidRPr="00A2171C" w:rsidRDefault="00A46867" w:rsidP="0015439E">
                  <w:pPr>
                    <w:spacing w:after="0" w:line="240" w:lineRule="auto"/>
                    <w:rPr>
                      <w:rFonts w:cs="Times New Roman"/>
                      <w:i/>
                      <w:iCs/>
                      <w:shd w:val="clear" w:color="auto" w:fill="C9DAF8"/>
                      <w:lang w:val="en-GB"/>
                    </w:rPr>
                  </w:pPr>
                  <w:r w:rsidRPr="00A2171C">
                    <w:rPr>
                      <w:rFonts w:eastAsia="Times New Roman" w:cs="Times New Roman"/>
                      <w:i/>
                      <w:iCs/>
                      <w:lang w:val="en-GB"/>
                    </w:rPr>
                    <w:t>Compartmentalization</w:t>
                  </w:r>
                  <w:r w:rsidRPr="00A2171C">
                    <w:rPr>
                      <w:rFonts w:cs="Times New Roman"/>
                      <w:i/>
                      <w:iCs/>
                      <w:lang w:val="en-GB"/>
                    </w:rPr>
                    <w:t xml:space="preserve"> factor, C</w:t>
                  </w:r>
                  <w:r w:rsidRPr="00A2171C">
                    <w:rPr>
                      <w:rFonts w:cs="Times New Roman"/>
                      <w:i/>
                      <w:iCs/>
                      <w:vertAlign w:val="subscript"/>
                      <w:lang w:val="en-GB"/>
                    </w:rPr>
                    <w:t>f</w:t>
                  </w:r>
                </w:p>
                <w:p w14:paraId="2E4E94A3" w14:textId="77777777"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With fire walls, no-shared roof structure (entire façade and transverse structural walls are masonry elements), and total surface of SU = 0 - 150m</w:t>
                  </w:r>
                  <w:r w:rsidRPr="00A2171C">
                    <w:rPr>
                      <w:rFonts w:eastAsia="Times New Roman" w:cs="Times New Roman"/>
                      <w:vertAlign w:val="superscript"/>
                      <w:lang w:val="en-GB"/>
                    </w:rPr>
                    <w:t>2</w:t>
                  </w:r>
                  <w:r w:rsidRPr="00A2171C">
                    <w:rPr>
                      <w:rFonts w:eastAsia="Times New Roman" w:cs="Times New Roman"/>
                      <w:lang w:val="en-GB"/>
                    </w:rPr>
                    <w:t>;</w:t>
                  </w:r>
                  <w:r w:rsidRPr="00A2171C">
                    <w:rPr>
                      <w:rFonts w:eastAsia="Times New Roman" w:cs="Times New Roman"/>
                      <w:shd w:val="clear" w:color="auto" w:fill="C9DAF8"/>
                      <w:lang w:val="en-GB"/>
                    </w:rPr>
                    <w:t xml:space="preserve"> </w:t>
                  </w:r>
                </w:p>
                <w:p w14:paraId="17A8EDE9" w14:textId="77777777"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With compartmentation walls, shared roof structure (entire façade and transverse structural walls are masonry elements), and total surface of SU &gt;150m</w:t>
                  </w:r>
                  <w:r w:rsidRPr="00A2171C">
                    <w:rPr>
                      <w:rFonts w:eastAsia="Times New Roman" w:cs="Times New Roman"/>
                      <w:vertAlign w:val="superscript"/>
                      <w:lang w:val="en-GB"/>
                    </w:rPr>
                    <w:t>2</w:t>
                  </w:r>
                  <w:r w:rsidRPr="00A2171C">
                    <w:rPr>
                      <w:rFonts w:eastAsia="Times New Roman" w:cs="Times New Roman"/>
                      <w:lang w:val="en-GB"/>
                    </w:rPr>
                    <w:t>;</w:t>
                  </w:r>
                  <w:r w:rsidRPr="00A2171C">
                    <w:rPr>
                      <w:rFonts w:eastAsia="Times New Roman" w:cs="Times New Roman"/>
                      <w:shd w:val="clear" w:color="auto" w:fill="C9DAF8"/>
                      <w:lang w:val="en-GB"/>
                    </w:rPr>
                    <w:t xml:space="preserve"> </w:t>
                  </w:r>
                </w:p>
                <w:p w14:paraId="46BBBC11" w14:textId="77777777"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With-out compartmentation walls (only the first floor of façade and transverse structural walls are masonry elements while the others are tabiques).</w:t>
                  </w:r>
                </w:p>
                <w:p w14:paraId="2B2AA966" w14:textId="77777777" w:rsidR="00A46867" w:rsidRPr="00A2171C" w:rsidRDefault="00A46867" w:rsidP="0015439E">
                  <w:pPr>
                    <w:spacing w:after="0" w:line="240" w:lineRule="auto"/>
                    <w:rPr>
                      <w:rFonts w:eastAsia="Times New Roman" w:cs="Times New Roman"/>
                      <w:i/>
                      <w:iCs/>
                      <w:shd w:val="clear" w:color="auto" w:fill="C9DAF8"/>
                      <w:lang w:val="en-GB"/>
                    </w:rPr>
                  </w:pPr>
                  <w:r w:rsidRPr="00A2171C">
                    <w:rPr>
                      <w:rFonts w:eastAsia="Times New Roman" w:cs="Times New Roman"/>
                      <w:i/>
                      <w:iCs/>
                      <w:lang w:val="en-GB"/>
                    </w:rPr>
                    <w:t>Internal structures, F</w:t>
                  </w:r>
                  <w:r w:rsidRPr="00A2171C">
                    <w:rPr>
                      <w:rFonts w:eastAsia="Times New Roman" w:cs="Times New Roman"/>
                      <w:i/>
                      <w:iCs/>
                      <w:vertAlign w:val="subscript"/>
                      <w:lang w:val="en-GB"/>
                    </w:rPr>
                    <w:t>B4,si</w:t>
                  </w:r>
                </w:p>
                <w:p w14:paraId="1EB18400" w14:textId="77777777" w:rsidR="00A46867" w:rsidRPr="00A2171C" w:rsidRDefault="00000000" w:rsidP="0015439E">
                  <w:pPr>
                    <w:spacing w:after="0" w:line="240" w:lineRule="auto"/>
                    <w:rPr>
                      <w:rFonts w:eastAsia="Times New Roman" w:cs="Times New Roman"/>
                      <w:shd w:val="clear" w:color="auto" w:fill="C9DAF8"/>
                      <w:lang w:val="en-GB"/>
                    </w:rPr>
                  </w:pPr>
                  <m:oMath>
                    <m:sSub>
                      <m:sSubPr>
                        <m:ctrlPr>
                          <w:rPr>
                            <w:rFonts w:ascii="Cambria Math" w:eastAsia="Cambria Math" w:hAnsi="Cambria Math" w:cs="Times New Roman"/>
                            <w:lang w:val="en-GB"/>
                          </w:rPr>
                        </m:ctrlPr>
                      </m:sSubPr>
                      <m:e>
                        <m:r>
                          <m:rPr>
                            <m:sty m:val="p"/>
                          </m:rPr>
                          <w:rPr>
                            <w:rFonts w:ascii="Cambria Math" w:eastAsia="Cambria Math" w:hAnsi="Cambria Math" w:cs="Times New Roman"/>
                            <w:lang w:val="en-GB"/>
                          </w:rPr>
                          <m:t>F</m:t>
                        </m:r>
                      </m:e>
                      <m:sub>
                        <m:r>
                          <m:rPr>
                            <m:sty m:val="p"/>
                          </m:rPr>
                          <w:rPr>
                            <w:rFonts w:ascii="Cambria Math" w:eastAsia="Cambria Math" w:hAnsi="Cambria Math" w:cs="Times New Roman"/>
                            <w:lang w:val="en-GB"/>
                          </w:rPr>
                          <m:t>P4,s1</m:t>
                        </m:r>
                      </m:sub>
                    </m:sSub>
                  </m:oMath>
                  <w:r w:rsidR="00A46867" w:rsidRPr="00A2171C">
                    <w:rPr>
                      <w:rFonts w:eastAsia="Times New Roman" w:cs="Times New Roman"/>
                      <w:lang w:val="en-GB"/>
                    </w:rPr>
                    <w:t>, wooden openings;</w:t>
                  </w:r>
                </w:p>
                <w:p w14:paraId="1B21B497" w14:textId="77777777" w:rsidR="00A46867" w:rsidRPr="00A2171C" w:rsidRDefault="00000000" w:rsidP="0015439E">
                  <w:pPr>
                    <w:spacing w:after="0" w:line="240" w:lineRule="auto"/>
                    <w:rPr>
                      <w:rFonts w:eastAsia="Times New Roman" w:cs="Times New Roman"/>
                      <w:shd w:val="clear" w:color="auto" w:fill="C9DAF8"/>
                      <w:lang w:val="en-GB"/>
                    </w:rPr>
                  </w:pPr>
                  <m:oMath>
                    <m:sSub>
                      <m:sSubPr>
                        <m:ctrlPr>
                          <w:rPr>
                            <w:rFonts w:ascii="Cambria Math" w:eastAsia="Cambria Math" w:hAnsi="Cambria Math" w:cs="Times New Roman"/>
                            <w:lang w:val="en-GB"/>
                          </w:rPr>
                        </m:ctrlPr>
                      </m:sSubPr>
                      <m:e>
                        <m:r>
                          <m:rPr>
                            <m:sty m:val="p"/>
                          </m:rPr>
                          <w:rPr>
                            <w:rFonts w:ascii="Cambria Math" w:eastAsia="Cambria Math" w:hAnsi="Cambria Math" w:cs="Times New Roman"/>
                            <w:lang w:val="en-GB"/>
                          </w:rPr>
                          <m:t>F</m:t>
                        </m:r>
                      </m:e>
                      <m:sub>
                        <m:r>
                          <m:rPr>
                            <m:sty m:val="p"/>
                          </m:rPr>
                          <w:rPr>
                            <w:rFonts w:ascii="Cambria Math" w:eastAsia="Cambria Math" w:hAnsi="Cambria Math" w:cs="Times New Roman"/>
                            <w:lang w:val="en-GB"/>
                          </w:rPr>
                          <m:t>P4,s2</m:t>
                        </m:r>
                      </m:sub>
                    </m:sSub>
                  </m:oMath>
                  <w:r w:rsidR="00A46867" w:rsidRPr="00A2171C">
                    <w:rPr>
                      <w:rFonts w:eastAsia="Times New Roman" w:cs="Times New Roman"/>
                      <w:lang w:val="en-GB"/>
                    </w:rPr>
                    <w:t>, wooden partition walls</w:t>
                  </w:r>
                </w:p>
                <w:p w14:paraId="7719CE5B" w14:textId="77777777" w:rsidR="00A46867" w:rsidRPr="00A2171C" w:rsidRDefault="00000000" w:rsidP="0015439E">
                  <w:pPr>
                    <w:spacing w:after="0" w:line="240" w:lineRule="auto"/>
                    <w:rPr>
                      <w:rFonts w:eastAsia="Times New Roman" w:cs="Times New Roman"/>
                      <w:shd w:val="clear" w:color="auto" w:fill="C9DAF8"/>
                      <w:lang w:val="en-GB"/>
                    </w:rPr>
                  </w:pPr>
                  <m:oMath>
                    <m:sSub>
                      <m:sSubPr>
                        <m:ctrlPr>
                          <w:rPr>
                            <w:rFonts w:ascii="Cambria Math" w:eastAsia="Cambria Math" w:hAnsi="Cambria Math" w:cs="Times New Roman"/>
                            <w:lang w:val="en-GB"/>
                          </w:rPr>
                        </m:ctrlPr>
                      </m:sSubPr>
                      <m:e>
                        <m:r>
                          <m:rPr>
                            <m:sty m:val="p"/>
                          </m:rPr>
                          <w:rPr>
                            <w:rFonts w:ascii="Cambria Math" w:eastAsia="Cambria Math" w:hAnsi="Cambria Math" w:cs="Times New Roman"/>
                            <w:lang w:val="en-GB"/>
                          </w:rPr>
                          <m:t>F</m:t>
                        </m:r>
                      </m:e>
                      <m:sub>
                        <m:r>
                          <m:rPr>
                            <m:sty m:val="p"/>
                          </m:rPr>
                          <w:rPr>
                            <w:rFonts w:ascii="Cambria Math" w:eastAsia="Cambria Math" w:hAnsi="Cambria Math" w:cs="Times New Roman"/>
                            <w:lang w:val="en-GB"/>
                          </w:rPr>
                          <m:t>P4,s3</m:t>
                        </m:r>
                      </m:sub>
                    </m:sSub>
                  </m:oMath>
                  <w:r w:rsidR="00A46867" w:rsidRPr="00A2171C">
                    <w:rPr>
                      <w:rFonts w:eastAsia="Times New Roman" w:cs="Times New Roman"/>
                      <w:lang w:val="en-GB"/>
                    </w:rPr>
                    <w:t>, wooden roof structures;</w:t>
                  </w:r>
                </w:p>
                <w:p w14:paraId="340E8088" w14:textId="77777777" w:rsidR="00A46867" w:rsidRPr="00A2171C" w:rsidRDefault="00000000" w:rsidP="0015439E">
                  <w:pPr>
                    <w:spacing w:after="0" w:line="240" w:lineRule="auto"/>
                    <w:rPr>
                      <w:rFonts w:cs="Times New Roman"/>
                      <w:lang w:val="en-GB"/>
                    </w:rPr>
                  </w:pPr>
                  <m:oMath>
                    <m:sSub>
                      <m:sSubPr>
                        <m:ctrlPr>
                          <w:rPr>
                            <w:rFonts w:ascii="Cambria Math" w:eastAsia="Cambria Math" w:hAnsi="Cambria Math" w:cs="Times New Roman"/>
                            <w:lang w:val="en-GB"/>
                          </w:rPr>
                        </m:ctrlPr>
                      </m:sSubPr>
                      <m:e>
                        <m:r>
                          <m:rPr>
                            <m:sty m:val="p"/>
                          </m:rPr>
                          <w:rPr>
                            <w:rFonts w:ascii="Cambria Math" w:eastAsia="Cambria Math" w:hAnsi="Cambria Math" w:cs="Times New Roman"/>
                            <w:lang w:val="en-GB"/>
                          </w:rPr>
                          <m:t>F</m:t>
                        </m:r>
                      </m:e>
                      <m:sub>
                        <m:r>
                          <m:rPr>
                            <m:sty m:val="p"/>
                          </m:rPr>
                          <w:rPr>
                            <w:rFonts w:ascii="Cambria Math" w:eastAsia="Cambria Math" w:hAnsi="Cambria Math" w:cs="Times New Roman"/>
                            <w:lang w:val="en-GB"/>
                          </w:rPr>
                          <m:t>P4,s4</m:t>
                        </m:r>
                      </m:sub>
                    </m:sSub>
                  </m:oMath>
                  <w:r w:rsidR="00A46867" w:rsidRPr="00A2171C">
                    <w:rPr>
                      <w:rFonts w:eastAsia="Times New Roman" w:cs="Times New Roman"/>
                      <w:lang w:val="en-GB"/>
                    </w:rPr>
                    <w:t>, horizontal wooden elements.</w:t>
                  </w:r>
                </w:p>
              </w:tc>
              <w:tc>
                <w:tcPr>
                  <w:tcW w:w="336" w:type="pct"/>
                  <w:shd w:val="clear" w:color="auto" w:fill="auto"/>
                </w:tcPr>
                <w:p w14:paraId="2B65A478" w14:textId="77777777" w:rsidR="00A46867" w:rsidRPr="00A2171C" w:rsidRDefault="00A46867" w:rsidP="0015439E">
                  <w:pPr>
                    <w:spacing w:after="0" w:line="240" w:lineRule="auto"/>
                    <w:rPr>
                      <w:rFonts w:eastAsia="Times New Roman" w:cs="Times New Roman"/>
                      <w:shd w:val="clear" w:color="auto" w:fill="C9DAF8"/>
                      <w:lang w:val="en-GB"/>
                    </w:rPr>
                  </w:pPr>
                </w:p>
                <w:p w14:paraId="756358DF" w14:textId="77777777" w:rsidR="00A46867" w:rsidRPr="00A2171C" w:rsidRDefault="00A46867" w:rsidP="0015439E">
                  <w:pPr>
                    <w:spacing w:after="0" w:line="240" w:lineRule="auto"/>
                    <w:rPr>
                      <w:rFonts w:eastAsia="Times New Roman" w:cs="Times New Roman"/>
                      <w:shd w:val="clear" w:color="auto" w:fill="C9DAF8"/>
                      <w:lang w:val="en-GB"/>
                    </w:rPr>
                  </w:pPr>
                </w:p>
                <w:p w14:paraId="50C9769C" w14:textId="77777777" w:rsidR="0015439E" w:rsidRPr="00A2171C" w:rsidRDefault="0015439E" w:rsidP="0015439E">
                  <w:pPr>
                    <w:spacing w:after="0" w:line="240" w:lineRule="auto"/>
                    <w:rPr>
                      <w:rFonts w:eastAsia="Times New Roman" w:cs="Times New Roman"/>
                      <w:lang w:val="en-GB"/>
                    </w:rPr>
                  </w:pPr>
                </w:p>
                <w:p w14:paraId="7F555593" w14:textId="7F2557C9"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1.00</w:t>
                  </w:r>
                </w:p>
                <w:p w14:paraId="07C0DE45" w14:textId="77777777" w:rsidR="00A46867" w:rsidRPr="00A2171C" w:rsidRDefault="00A46867" w:rsidP="0015439E">
                  <w:pPr>
                    <w:spacing w:after="0" w:line="240" w:lineRule="auto"/>
                    <w:rPr>
                      <w:rFonts w:eastAsia="Times New Roman" w:cs="Times New Roman"/>
                      <w:shd w:val="clear" w:color="auto" w:fill="C9DAF8"/>
                      <w:lang w:val="en-GB"/>
                    </w:rPr>
                  </w:pPr>
                </w:p>
                <w:p w14:paraId="3C413AE7" w14:textId="77777777" w:rsidR="0015439E" w:rsidRPr="00A2171C" w:rsidRDefault="0015439E" w:rsidP="0015439E">
                  <w:pPr>
                    <w:spacing w:after="0" w:line="240" w:lineRule="auto"/>
                    <w:rPr>
                      <w:rFonts w:eastAsia="Times New Roman" w:cs="Times New Roman"/>
                      <w:lang w:val="en-GB"/>
                    </w:rPr>
                  </w:pPr>
                </w:p>
                <w:p w14:paraId="0D1BA5E8" w14:textId="020CB325"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3.00</w:t>
                  </w:r>
                </w:p>
                <w:p w14:paraId="78B86887" w14:textId="77777777" w:rsidR="00A46867" w:rsidRPr="00A2171C" w:rsidRDefault="00A46867" w:rsidP="0015439E">
                  <w:pPr>
                    <w:spacing w:after="0" w:line="240" w:lineRule="auto"/>
                    <w:rPr>
                      <w:rFonts w:eastAsia="Times New Roman" w:cs="Times New Roman"/>
                      <w:shd w:val="clear" w:color="auto" w:fill="C9DAF8"/>
                      <w:lang w:val="en-GB"/>
                    </w:rPr>
                  </w:pPr>
                </w:p>
                <w:p w14:paraId="558F0C89" w14:textId="77777777" w:rsidR="00A46867" w:rsidRPr="00A2171C" w:rsidRDefault="00A46867" w:rsidP="0015439E">
                  <w:pPr>
                    <w:spacing w:after="0" w:line="240" w:lineRule="auto"/>
                    <w:rPr>
                      <w:rFonts w:eastAsia="Times New Roman" w:cs="Times New Roman"/>
                      <w:shd w:val="clear" w:color="auto" w:fill="C9DAF8"/>
                      <w:lang w:val="en-GB"/>
                    </w:rPr>
                  </w:pPr>
                </w:p>
                <w:p w14:paraId="6BE0C998" w14:textId="77777777"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3.50</w:t>
                  </w:r>
                </w:p>
                <w:p w14:paraId="29A2C6A7" w14:textId="77777777" w:rsidR="00A46867" w:rsidRPr="00A2171C" w:rsidRDefault="00A46867" w:rsidP="0015439E">
                  <w:pPr>
                    <w:spacing w:after="0" w:line="240" w:lineRule="auto"/>
                    <w:rPr>
                      <w:rFonts w:eastAsia="Times New Roman" w:cs="Times New Roman"/>
                      <w:shd w:val="clear" w:color="auto" w:fill="C9DAF8"/>
                      <w:lang w:val="en-GB"/>
                    </w:rPr>
                  </w:pPr>
                </w:p>
                <w:p w14:paraId="41AC4DE1" w14:textId="77777777"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+0.20</w:t>
                  </w:r>
                </w:p>
                <w:p w14:paraId="0A347FDE" w14:textId="77777777"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+0.20</w:t>
                  </w:r>
                </w:p>
                <w:p w14:paraId="1B1A13EF" w14:textId="77777777" w:rsidR="00A46867" w:rsidRPr="00A2171C" w:rsidRDefault="00A46867" w:rsidP="0015439E">
                  <w:pPr>
                    <w:spacing w:after="0" w:line="240" w:lineRule="auto"/>
                    <w:rPr>
                      <w:rFonts w:eastAsia="Times New Roman" w:cs="Times New Roman"/>
                      <w:shd w:val="clear" w:color="auto" w:fill="C9DAF8"/>
                      <w:lang w:val="en-GB"/>
                    </w:rPr>
                  </w:pPr>
                  <w:r w:rsidRPr="00A2171C">
                    <w:rPr>
                      <w:rFonts w:eastAsia="Times New Roman" w:cs="Times New Roman"/>
                      <w:lang w:val="en-GB"/>
                    </w:rPr>
                    <w:t>+0.20</w:t>
                  </w:r>
                </w:p>
                <w:p w14:paraId="527B78B6" w14:textId="77777777" w:rsidR="00A46867" w:rsidRPr="00A2171C" w:rsidRDefault="00A46867" w:rsidP="0015439E">
                  <w:pPr>
                    <w:spacing w:after="0" w:line="240" w:lineRule="auto"/>
                    <w:rPr>
                      <w:rFonts w:cs="Times New Roman"/>
                      <w:lang w:val="en-GB"/>
                    </w:rPr>
                  </w:pPr>
                  <w:r w:rsidRPr="00A2171C">
                    <w:rPr>
                      <w:rFonts w:eastAsia="Times New Roman" w:cs="Times New Roman"/>
                      <w:lang w:val="en-GB"/>
                    </w:rPr>
                    <w:t>+0.20</w:t>
                  </w:r>
                </w:p>
              </w:tc>
            </w:tr>
            <w:bookmarkStart w:id="47" w:name="_Hlk114057941"/>
            <w:tr w:rsidR="00A2171C" w:rsidRPr="00A2171C" w14:paraId="74E1F05B" w14:textId="77777777" w:rsidTr="0031617B">
              <w:trPr>
                <w:trHeight w:val="20"/>
              </w:trPr>
              <w:tc>
                <w:tcPr>
                  <w:tcW w:w="1749" w:type="pct"/>
                  <w:tcBorders>
                    <w:bottom w:val="nil"/>
                  </w:tcBorders>
                  <w:shd w:val="clear" w:color="auto" w:fill="auto"/>
                </w:tcPr>
                <w:p w14:paraId="61A2AFC2" w14:textId="30269C44" w:rsidR="00A46867" w:rsidRPr="00A2171C" w:rsidRDefault="00000000" w:rsidP="0015439E">
                  <w:pPr>
                    <w:spacing w:after="0" w:line="240" w:lineRule="auto"/>
                    <w:rPr>
                      <w:rFonts w:eastAsia="Times New Roman" w:cs="Times New Roman"/>
                      <w:lang w:val="en-GB"/>
                    </w:rPr>
                  </w:pPr>
                  <m:oMath>
                    <m:sSub>
                      <m:sSubPr>
                        <m:ctrlPr>
                          <w:rPr>
                            <w:rFonts w:ascii="Cambria Math" w:eastAsia="Times New Roman" w:hAnsi="Cambria Math" w:cs="Times New Roman"/>
                            <w:i/>
                            <w:vertAlign w:val="subscript"/>
                            <w:lang w:val="en-GB"/>
                          </w:rPr>
                        </m:ctrlPr>
                      </m:sSubPr>
                      <m:e>
                        <m:r>
                          <w:rPr>
                            <w:rFonts w:ascii="Cambria Math" w:eastAsia="Times New Roman" w:hAnsi="Cambria Math" w:cs="Times New Roman"/>
                            <w:vertAlign w:val="subscript"/>
                            <w:lang w:val="en-GB"/>
                          </w:rPr>
                          <m:t>PF</m:t>
                        </m:r>
                      </m:e>
                      <m:sub>
                        <m:r>
                          <w:rPr>
                            <w:rFonts w:ascii="Cambria Math" w:eastAsia="Times New Roman" w:hAnsi="Cambria Math" w:cs="Times New Roman"/>
                            <w:vertAlign w:val="subscript"/>
                            <w:lang w:val="en-GB"/>
                          </w:rPr>
                          <m:t>P,5</m:t>
                        </m:r>
                      </m:sub>
                    </m:sSub>
                  </m:oMath>
                  <w:r w:rsidR="00A46867" w:rsidRPr="00A2171C">
                    <w:rPr>
                      <w:rFonts w:eastAsia="Times New Roman" w:cs="Times New Roman"/>
                      <w:lang w:val="en-GB"/>
                    </w:rPr>
                    <w:t>, Movable fire load</w:t>
                  </w:r>
                  <w:r w:rsidR="0003285A" w:rsidRPr="00A2171C">
                    <w:rPr>
                      <w:rFonts w:eastAsia="Times New Roman" w:cs="Times New Roman"/>
                      <w:lang w:val="en-GB"/>
                    </w:rPr>
                    <w:t>*</w:t>
                  </w:r>
                  <w:r w:rsidR="00A46867" w:rsidRPr="00A2171C">
                    <w:rPr>
                      <w:rFonts w:eastAsia="Times New Roman" w:cs="Times New Roman"/>
                      <w:lang w:val="en-GB"/>
                    </w:rPr>
                    <w:t xml:space="preserve"> </w:t>
                  </w:r>
                </w:p>
                <w:p w14:paraId="393D9066" w14:textId="03AC5ABE" w:rsidR="00A46867" w:rsidRPr="00A2171C" w:rsidRDefault="00A46867" w:rsidP="0015439E">
                  <w:pPr>
                    <w:spacing w:after="0" w:line="240" w:lineRule="auto"/>
                    <w:rPr>
                      <w:rFonts w:eastAsia="Times New Roman" w:cs="Times New Roman"/>
                      <w:bCs/>
                      <w:lang w:val="en-GB"/>
                    </w:rPr>
                  </w:pPr>
                  <w:r w:rsidRPr="00A2171C">
                    <w:rPr>
                      <w:rFonts w:eastAsia="Times New Roman" w:cs="Times New Roman"/>
                      <w:bCs/>
                      <w:lang w:val="en-GB"/>
                    </w:rPr>
                    <w:t>(</w:t>
                  </w:r>
                  <w:r w:rsidR="0003285A" w:rsidRPr="00A2171C">
                    <w:rPr>
                      <w:rFonts w:eastAsia="Times New Roman" w:cs="Times New Roman"/>
                      <w:bCs/>
                      <w:lang w:val="en-GB"/>
                    </w:rPr>
                    <w:t>*</w:t>
                  </w:r>
                  <w:r w:rsidRPr="00A2171C">
                    <w:rPr>
                      <w:rFonts w:eastAsia="Times New Roman" w:cs="Times New Roman"/>
                      <w:bCs/>
                      <w:lang w:val="en-GB"/>
                    </w:rPr>
                    <w:t>New partial-factor)</w:t>
                  </w:r>
                </w:p>
                <w:bookmarkEnd w:id="47"/>
                <w:p w14:paraId="09D97A9D" w14:textId="77777777" w:rsidR="00A46867" w:rsidRPr="00A2171C" w:rsidRDefault="00A46867" w:rsidP="0015439E">
                  <w:pPr>
                    <w:spacing w:after="0" w:line="240" w:lineRule="auto"/>
                    <w:rPr>
                      <w:rFonts w:eastAsia="Times New Roman" w:cs="Times New Roman"/>
                      <w:lang w:val="en-GB"/>
                    </w:rPr>
                  </w:pPr>
                </w:p>
              </w:tc>
              <w:tc>
                <w:tcPr>
                  <w:tcW w:w="2915" w:type="pct"/>
                  <w:tcBorders>
                    <w:bottom w:val="nil"/>
                  </w:tcBorders>
                  <w:shd w:val="clear" w:color="auto" w:fill="auto"/>
                </w:tcPr>
                <w:p w14:paraId="77419F8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No relevant fire loads</w:t>
                  </w:r>
                </w:p>
                <w:p w14:paraId="2B926E6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Footwear</w:t>
                  </w:r>
                </w:p>
                <w:p w14:paraId="2BA2A6F6" w14:textId="237D5A1B"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Pharmacy; construction materials; medicines</w:t>
                  </w:r>
                </w:p>
                <w:p w14:paraId="19EBE5AA"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Office supplies</w:t>
                  </w:r>
                </w:p>
                <w:p w14:paraId="09D66A60"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Records</w:t>
                  </w:r>
                </w:p>
                <w:p w14:paraId="01BBA086"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Libraries; fabrics in general</w:t>
                  </w:r>
                </w:p>
                <w:p w14:paraId="1609D846"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Thinners</w:t>
                  </w:r>
                </w:p>
                <w:p w14:paraId="12BAB3A0"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Printers, wineries</w:t>
                  </w:r>
                  <w:sdt>
                    <w:sdtPr>
                      <w:rPr>
                        <w:rFonts w:cs="Times New Roman"/>
                        <w:lang w:val="en-GB"/>
                      </w:rPr>
                      <w:tag w:val="goog_rdk_8"/>
                      <w:id w:val="386544485"/>
                      <w:showingPlcHdr/>
                    </w:sdtPr>
                    <w:sdtContent>
                      <w:r w:rsidRPr="00A2171C">
                        <w:rPr>
                          <w:rFonts w:cs="Times New Roman"/>
                          <w:lang w:val="en-GB"/>
                        </w:rPr>
                        <w:t xml:space="preserve">     </w:t>
                      </w:r>
                    </w:sdtContent>
                  </w:sdt>
                </w:p>
              </w:tc>
              <w:tc>
                <w:tcPr>
                  <w:tcW w:w="336" w:type="pct"/>
                  <w:tcBorders>
                    <w:bottom w:val="nil"/>
                  </w:tcBorders>
                  <w:shd w:val="clear" w:color="auto" w:fill="auto"/>
                </w:tcPr>
                <w:p w14:paraId="1F89C277"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0.50</w:t>
                  </w:r>
                </w:p>
                <w:p w14:paraId="02F611B2"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1.20</w:t>
                  </w:r>
                </w:p>
                <w:p w14:paraId="35119190" w14:textId="27A80691"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1.40</w:t>
                  </w:r>
                </w:p>
                <w:p w14:paraId="7E0A081E"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1.65</w:t>
                  </w:r>
                </w:p>
                <w:p w14:paraId="61E670B1"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1.85</w:t>
                  </w:r>
                </w:p>
                <w:p w14:paraId="607E11A3"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2.00</w:t>
                  </w:r>
                </w:p>
                <w:p w14:paraId="5F778429"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2.70</w:t>
                  </w:r>
                </w:p>
                <w:p w14:paraId="071612F5" w14:textId="77777777" w:rsidR="00A46867" w:rsidRPr="00A2171C" w:rsidRDefault="00A46867" w:rsidP="0015439E">
                  <w:pPr>
                    <w:spacing w:after="0" w:line="240" w:lineRule="auto"/>
                    <w:rPr>
                      <w:rFonts w:eastAsia="Times New Roman" w:cs="Times New Roman"/>
                      <w:lang w:val="en-GB"/>
                    </w:rPr>
                  </w:pPr>
                  <w:r w:rsidRPr="00A2171C">
                    <w:rPr>
                      <w:rFonts w:eastAsia="Times New Roman" w:cs="Times New Roman"/>
                      <w:lang w:val="en-GB"/>
                    </w:rPr>
                    <w:t>4.00</w:t>
                  </w:r>
                </w:p>
              </w:tc>
            </w:tr>
            <w:bookmarkEnd w:id="45"/>
          </w:tbl>
          <w:p w14:paraId="1ACECB79" w14:textId="77777777" w:rsidR="00A46867" w:rsidRPr="00A2171C" w:rsidRDefault="00A46867" w:rsidP="0015439E">
            <w:pPr>
              <w:spacing w:line="240" w:lineRule="auto"/>
              <w:rPr>
                <w:rFonts w:cs="Times New Roman"/>
                <w:szCs w:val="20"/>
                <w:lang w:val="en-GB"/>
              </w:rPr>
            </w:pPr>
          </w:p>
        </w:tc>
      </w:tr>
    </w:tbl>
    <w:p w14:paraId="18B1092B" w14:textId="0E064EF3" w:rsidR="00C74E25" w:rsidRPr="00A2171C" w:rsidRDefault="00C74E25" w:rsidP="00C74E25">
      <w:pPr>
        <w:pStyle w:val="Caption"/>
        <w:keepNext/>
        <w:rPr>
          <w:color w:val="auto"/>
        </w:rPr>
      </w:pPr>
    </w:p>
    <w:tbl>
      <w:tblPr>
        <w:tblStyle w:val="TableGrid"/>
        <w:tblW w:w="0" w:type="auto"/>
        <w:tblLook w:val="04A0" w:firstRow="1" w:lastRow="0" w:firstColumn="1" w:lastColumn="0" w:noHBand="0" w:noVBand="1"/>
      </w:tblPr>
      <w:tblGrid>
        <w:gridCol w:w="8828"/>
      </w:tblGrid>
      <w:tr w:rsidR="00A2171C" w:rsidRPr="00A2171C" w14:paraId="5E038F39" w14:textId="77777777" w:rsidTr="00FE0A15">
        <w:trPr>
          <w:trHeight w:val="624"/>
        </w:trPr>
        <w:tc>
          <w:tcPr>
            <w:tcW w:w="8828" w:type="dxa"/>
            <w:shd w:val="clear" w:color="auto" w:fill="D9D9D9" w:themeFill="background1" w:themeFillShade="D9"/>
            <w:vAlign w:val="center"/>
          </w:tcPr>
          <w:p w14:paraId="4CC288B6" w14:textId="18407749" w:rsidR="00A46867" w:rsidRPr="00A2171C" w:rsidRDefault="00C74E25" w:rsidP="00EA368D">
            <w:pPr>
              <w:pStyle w:val="Caption"/>
              <w:keepNext/>
              <w:spacing w:after="0"/>
              <w:jc w:val="center"/>
              <w:rPr>
                <w:color w:val="auto"/>
                <w:lang w:val="en-US"/>
              </w:rPr>
            </w:pPr>
            <w:bookmarkStart w:id="48" w:name="_Ref121156801"/>
            <w:r w:rsidRPr="00A2171C">
              <w:rPr>
                <w:color w:val="auto"/>
                <w:lang w:val="en-US"/>
              </w:rPr>
              <w:t xml:space="preserve">Table A </w:t>
            </w:r>
            <w:r w:rsidRPr="00A2171C">
              <w:rPr>
                <w:color w:val="auto"/>
              </w:rPr>
              <w:fldChar w:fldCharType="begin"/>
            </w:r>
            <w:r w:rsidRPr="00A2171C">
              <w:rPr>
                <w:color w:val="auto"/>
                <w:lang w:val="en-US"/>
              </w:rPr>
              <w:instrText xml:space="preserve"> SEQ Table_A \* ARABIC </w:instrText>
            </w:r>
            <w:r w:rsidRPr="00A2171C">
              <w:rPr>
                <w:color w:val="auto"/>
              </w:rPr>
              <w:fldChar w:fldCharType="separate"/>
            </w:r>
            <w:r w:rsidR="00C20049" w:rsidRPr="00A2171C">
              <w:rPr>
                <w:noProof/>
                <w:color w:val="auto"/>
                <w:lang w:val="en-US"/>
              </w:rPr>
              <w:t>3</w:t>
            </w:r>
            <w:r w:rsidRPr="00A2171C">
              <w:rPr>
                <w:color w:val="auto"/>
              </w:rPr>
              <w:fldChar w:fldCharType="end"/>
            </w:r>
            <w:bookmarkEnd w:id="48"/>
            <w:r w:rsidRPr="00A2171C">
              <w:rPr>
                <w:color w:val="auto"/>
                <w:lang w:val="en-US"/>
              </w:rPr>
              <w:t xml:space="preserve">: </w:t>
            </w:r>
            <w:r w:rsidR="00A46867" w:rsidRPr="00A2171C">
              <w:rPr>
                <w:rFonts w:eastAsia="Times New Roman" w:cs="Times New Roman"/>
                <w:i w:val="0"/>
                <w:iCs w:val="0"/>
                <w:color w:val="auto"/>
                <w:sz w:val="20"/>
                <w:szCs w:val="20"/>
                <w:lang w:val="en-GB"/>
              </w:rPr>
              <w:t xml:space="preserve">Description of partial-factors </w:t>
            </w:r>
            <w:r w:rsidR="0003285A" w:rsidRPr="00A2171C">
              <w:rPr>
                <w:rFonts w:eastAsia="Times New Roman" w:cs="Times New Roman"/>
                <w:i w:val="0"/>
                <w:iCs w:val="0"/>
                <w:color w:val="auto"/>
                <w:sz w:val="20"/>
                <w:szCs w:val="20"/>
                <w:lang w:val="en-GB"/>
              </w:rPr>
              <w:t xml:space="preserve">to </w:t>
            </w:r>
            <w:r w:rsidR="00A46867" w:rsidRPr="00A2171C">
              <w:rPr>
                <w:rFonts w:eastAsia="Times New Roman" w:cs="Times New Roman"/>
                <w:i w:val="0"/>
                <w:iCs w:val="0"/>
                <w:color w:val="auto"/>
                <w:sz w:val="20"/>
                <w:szCs w:val="20"/>
                <w:lang w:val="en-GB"/>
              </w:rPr>
              <w:t>assess fire evacuation risk (SF</w:t>
            </w:r>
            <w:r w:rsidR="00A46867" w:rsidRPr="00A2171C">
              <w:rPr>
                <w:rFonts w:eastAsia="Times New Roman" w:cs="Times New Roman"/>
                <w:i w:val="0"/>
                <w:iCs w:val="0"/>
                <w:color w:val="auto"/>
                <w:sz w:val="20"/>
                <w:szCs w:val="20"/>
                <w:vertAlign w:val="subscript"/>
                <w:lang w:val="en-GB"/>
              </w:rPr>
              <w:t>E</w:t>
            </w:r>
            <w:r w:rsidR="00A46867" w:rsidRPr="00A2171C">
              <w:rPr>
                <w:rFonts w:eastAsia="Times New Roman" w:cs="Times New Roman"/>
                <w:i w:val="0"/>
                <w:iCs w:val="0"/>
                <w:color w:val="auto"/>
                <w:sz w:val="20"/>
                <w:szCs w:val="20"/>
                <w:lang w:val="en-GB"/>
              </w:rPr>
              <w:t xml:space="preserve">) of aggregate historical buildings. Score values are according to </w:t>
            </w:r>
            <w:r w:rsidR="00A46867" w:rsidRPr="00A2171C">
              <w:rPr>
                <w:rFonts w:eastAsia="Times New Roman" w:cs="Times New Roman"/>
                <w:i w:val="0"/>
                <w:iCs w:val="0"/>
                <w:noProof/>
                <w:color w:val="auto"/>
                <w:sz w:val="20"/>
                <w:szCs w:val="20"/>
                <w:lang w:val="en-GB"/>
              </w:rPr>
              <w:t>Ferreira et al., 2016</w:t>
            </w:r>
          </w:p>
        </w:tc>
      </w:tr>
      <w:tr w:rsidR="00A46867" w:rsidRPr="00A2171C" w14:paraId="4485FA20" w14:textId="77777777" w:rsidTr="00F25DA4">
        <w:tc>
          <w:tcPr>
            <w:tcW w:w="8828" w:type="dxa"/>
          </w:tcPr>
          <w:tbl>
            <w:tblPr>
              <w:tblStyle w:val="TableGrid"/>
              <w:tblW w:w="8844" w:type="dxa"/>
              <w:tblBorders>
                <w:left w:val="none" w:sz="0" w:space="0" w:color="auto"/>
                <w:right w:val="none" w:sz="0" w:space="0" w:color="auto"/>
              </w:tblBorders>
              <w:tblLook w:val="0400" w:firstRow="0" w:lastRow="0" w:firstColumn="0" w:lastColumn="0" w:noHBand="0" w:noVBand="1"/>
            </w:tblPr>
            <w:tblGrid>
              <w:gridCol w:w="2551"/>
              <w:gridCol w:w="5159"/>
              <w:gridCol w:w="907"/>
              <w:gridCol w:w="227"/>
            </w:tblGrid>
            <w:tr w:rsidR="00A2171C" w:rsidRPr="00A2171C" w14:paraId="43734CA2" w14:textId="77777777" w:rsidTr="00FE0A15">
              <w:trPr>
                <w:trHeight w:val="340"/>
              </w:trPr>
              <w:tc>
                <w:tcPr>
                  <w:tcW w:w="8844" w:type="dxa"/>
                  <w:gridSpan w:val="4"/>
                  <w:tcBorders>
                    <w:top w:val="nil"/>
                    <w:bottom w:val="nil"/>
                  </w:tcBorders>
                  <w:vAlign w:val="center"/>
                </w:tcPr>
                <w:p w14:paraId="499A6722" w14:textId="22A39648" w:rsidR="00A46867" w:rsidRPr="00A2171C" w:rsidRDefault="00A46867" w:rsidP="00BA2612">
                  <w:pPr>
                    <w:spacing w:line="240" w:lineRule="auto"/>
                    <w:jc w:val="center"/>
                    <w:rPr>
                      <w:rFonts w:eastAsia="Times New Roman" w:cs="Times New Roman"/>
                      <w:b/>
                      <w:szCs w:val="20"/>
                      <w:lang w:val="en-GB"/>
                    </w:rPr>
                  </w:pPr>
                  <w:r w:rsidRPr="00A2171C">
                    <w:rPr>
                      <w:rFonts w:eastAsia="Times New Roman" w:cs="Times New Roman"/>
                      <w:b/>
                      <w:szCs w:val="20"/>
                      <w:lang w:val="en-GB"/>
                    </w:rPr>
                    <w:t xml:space="preserve">FIRE EVACUATION RISK: </w:t>
                  </w:r>
                  <m:oMath>
                    <m:sSub>
                      <m:sSubPr>
                        <m:ctrlPr>
                          <w:rPr>
                            <w:rFonts w:ascii="Cambria Math" w:eastAsia="Times New Roman" w:hAnsi="Cambria Math" w:cs="Times New Roman"/>
                            <w:b/>
                            <w:i/>
                            <w:szCs w:val="20"/>
                            <w:lang w:val="en-GB"/>
                          </w:rPr>
                        </m:ctrlPr>
                      </m:sSubPr>
                      <m:e>
                        <m:r>
                          <m:rPr>
                            <m:sty m:val="bi"/>
                          </m:rPr>
                          <w:rPr>
                            <w:rFonts w:ascii="Cambria Math" w:eastAsia="Times New Roman" w:hAnsi="Cambria Math" w:cs="Times New Roman"/>
                            <w:szCs w:val="20"/>
                            <w:lang w:val="en-GB"/>
                          </w:rPr>
                          <m:t>SF</m:t>
                        </m:r>
                      </m:e>
                      <m:sub>
                        <m:r>
                          <m:rPr>
                            <m:sty m:val="bi"/>
                          </m:rPr>
                          <w:rPr>
                            <w:rFonts w:ascii="Cambria Math" w:eastAsia="Times New Roman" w:hAnsi="Cambria Math" w:cs="Times New Roman"/>
                            <w:szCs w:val="20"/>
                            <w:lang w:val="en-GB"/>
                          </w:rPr>
                          <m:t>E</m:t>
                        </m:r>
                      </m:sub>
                    </m:sSub>
                  </m:oMath>
                  <w:r w:rsidRPr="00A2171C">
                    <w:rPr>
                      <w:rFonts w:eastAsia="Times New Roman" w:cs="Times New Roman"/>
                      <w:b/>
                      <w:szCs w:val="20"/>
                      <w:lang w:val="en-GB"/>
                    </w:rPr>
                    <w:t xml:space="preserve">= </w:t>
                  </w:r>
                  <m:oMath>
                    <m:nary>
                      <m:naryPr>
                        <m:chr m:val="∑"/>
                        <m:ctrlPr>
                          <w:rPr>
                            <w:rFonts w:ascii="Cambria Math" w:eastAsia="Cambria Math" w:hAnsi="Cambria Math" w:cs="Times New Roman"/>
                            <w:szCs w:val="20"/>
                            <w:lang w:val="en-GB"/>
                          </w:rPr>
                        </m:ctrlPr>
                      </m:naryPr>
                      <m:sub>
                        <m:r>
                          <m:rPr>
                            <m:sty m:val="p"/>
                          </m:rPr>
                          <w:rPr>
                            <w:rFonts w:ascii="Cambria Math" w:eastAsia="Cambria Math" w:hAnsi="Cambria Math" w:cs="Times New Roman"/>
                            <w:szCs w:val="20"/>
                            <w:lang w:val="en-GB"/>
                          </w:rPr>
                          <m:t>i</m:t>
                        </m:r>
                      </m:sub>
                      <m:sup>
                        <m:r>
                          <m:rPr>
                            <m:sty m:val="p"/>
                          </m:rPr>
                          <w:rPr>
                            <w:rFonts w:ascii="Cambria Math" w:eastAsia="Cambria Math" w:hAnsi="Cambria Math" w:cs="Times New Roman"/>
                            <w:szCs w:val="20"/>
                            <w:lang w:val="en-GB"/>
                          </w:rPr>
                          <m:t>1</m:t>
                        </m:r>
                      </m:sup>
                      <m:e>
                        <m:acc>
                          <m:accPr>
                            <m:ctrlPr>
                              <w:rPr>
                                <w:rFonts w:ascii="Cambria Math" w:eastAsia="Cambria Math" w:hAnsi="Cambria Math" w:cs="Times New Roman"/>
                                <w:szCs w:val="20"/>
                                <w:lang w:val="en-GB"/>
                              </w:rPr>
                            </m:ctrlPr>
                          </m:accPr>
                          <m:e>
                            <m:sSub>
                              <m:sSubPr>
                                <m:ctrlPr>
                                  <w:rPr>
                                    <w:rFonts w:ascii="Cambria Math" w:eastAsia="Cambria Math" w:hAnsi="Cambria Math" w:cs="Times New Roman"/>
                                    <w:szCs w:val="20"/>
                                    <w:lang w:val="en-GB"/>
                                  </w:rPr>
                                </m:ctrlPr>
                              </m:sSubPr>
                              <m:e>
                                <m:r>
                                  <m:rPr>
                                    <m:sty m:val="p"/>
                                  </m:rPr>
                                  <w:rPr>
                                    <w:rFonts w:ascii="Cambria Math" w:eastAsia="Cambria Math" w:hAnsi="Cambria Math" w:cs="Times New Roman"/>
                                    <w:szCs w:val="20"/>
                                    <w:lang w:val="en-GB"/>
                                  </w:rPr>
                                  <m:t>PF</m:t>
                                </m:r>
                              </m:e>
                              <m:sub>
                                <m:r>
                                  <m:rPr>
                                    <m:sty m:val="p"/>
                                  </m:rPr>
                                  <w:rPr>
                                    <w:rFonts w:ascii="Cambria Math" w:eastAsia="Cambria Math" w:hAnsi="Cambria Math" w:cs="Times New Roman"/>
                                    <w:szCs w:val="20"/>
                                    <w:lang w:val="en-GB"/>
                                  </w:rPr>
                                  <m:t>E,k</m:t>
                                </m:r>
                              </m:sub>
                            </m:sSub>
                          </m:e>
                        </m:acc>
                      </m:e>
                    </m:nary>
                  </m:oMath>
                </w:p>
              </w:tc>
            </w:tr>
            <w:tr w:rsidR="00A2171C" w:rsidRPr="00A2171C" w14:paraId="39C82E28" w14:textId="77777777" w:rsidTr="00FE0A15">
              <w:trPr>
                <w:gridAfter w:val="1"/>
                <w:wAfter w:w="227" w:type="dxa"/>
                <w:trHeight w:val="340"/>
              </w:trPr>
              <w:tc>
                <w:tcPr>
                  <w:tcW w:w="2551" w:type="dxa"/>
                  <w:tcBorders>
                    <w:top w:val="nil"/>
                    <w:bottom w:val="nil"/>
                    <w:right w:val="nil"/>
                  </w:tcBorders>
                  <w:vAlign w:val="center"/>
                </w:tcPr>
                <w:p w14:paraId="394FAF0E" w14:textId="77777777" w:rsidR="00A46867" w:rsidRPr="00A2171C" w:rsidRDefault="00A46867" w:rsidP="00BA2612">
                  <w:pPr>
                    <w:spacing w:line="240" w:lineRule="auto"/>
                    <w:jc w:val="center"/>
                    <w:rPr>
                      <w:rFonts w:eastAsia="Times New Roman" w:cs="Times New Roman"/>
                      <w:b/>
                      <w:szCs w:val="20"/>
                      <w:lang w:val="en-GB"/>
                    </w:rPr>
                  </w:pPr>
                  <w:r w:rsidRPr="00A2171C">
                    <w:rPr>
                      <w:rFonts w:eastAsia="Times New Roman" w:cs="Times New Roman"/>
                      <w:b/>
                      <w:szCs w:val="20"/>
                      <w:lang w:val="en-GB"/>
                    </w:rPr>
                    <w:t>Partial-factors</w:t>
                  </w:r>
                </w:p>
              </w:tc>
              <w:tc>
                <w:tcPr>
                  <w:tcW w:w="5159" w:type="dxa"/>
                  <w:tcBorders>
                    <w:top w:val="nil"/>
                    <w:left w:val="nil"/>
                    <w:bottom w:val="nil"/>
                    <w:right w:val="nil"/>
                  </w:tcBorders>
                  <w:vAlign w:val="center"/>
                </w:tcPr>
                <w:p w14:paraId="40FB7B83" w14:textId="77777777" w:rsidR="00A46867" w:rsidRPr="00A2171C" w:rsidRDefault="00A46867" w:rsidP="00206EA7">
                  <w:pPr>
                    <w:spacing w:line="240" w:lineRule="auto"/>
                    <w:jc w:val="left"/>
                    <w:rPr>
                      <w:rFonts w:eastAsia="Times New Roman" w:cs="Times New Roman"/>
                      <w:b/>
                      <w:szCs w:val="20"/>
                      <w:lang w:val="en-GB"/>
                    </w:rPr>
                  </w:pPr>
                  <w:r w:rsidRPr="00A2171C">
                    <w:rPr>
                      <w:rFonts w:eastAsia="Times New Roman" w:cs="Times New Roman"/>
                      <w:b/>
                      <w:szCs w:val="20"/>
                      <w:lang w:val="en-GB"/>
                    </w:rPr>
                    <w:t>Description</w:t>
                  </w:r>
                </w:p>
              </w:tc>
              <w:tc>
                <w:tcPr>
                  <w:tcW w:w="907" w:type="dxa"/>
                  <w:tcBorders>
                    <w:top w:val="nil"/>
                    <w:left w:val="nil"/>
                    <w:bottom w:val="nil"/>
                  </w:tcBorders>
                  <w:vAlign w:val="center"/>
                </w:tcPr>
                <w:p w14:paraId="0ABE18C0" w14:textId="77777777" w:rsidR="00A46867" w:rsidRPr="00A2171C" w:rsidRDefault="00A46867" w:rsidP="00BA2612">
                  <w:pPr>
                    <w:spacing w:line="240" w:lineRule="auto"/>
                    <w:jc w:val="center"/>
                    <w:rPr>
                      <w:rFonts w:eastAsia="Times New Roman" w:cs="Times New Roman"/>
                      <w:b/>
                      <w:szCs w:val="20"/>
                      <w:lang w:val="en-GB"/>
                    </w:rPr>
                  </w:pPr>
                  <w:r w:rsidRPr="00A2171C">
                    <w:rPr>
                      <w:rFonts w:eastAsia="Times New Roman" w:cs="Times New Roman"/>
                      <w:b/>
                      <w:szCs w:val="20"/>
                      <w:lang w:val="en-GB"/>
                    </w:rPr>
                    <w:t>Score</w:t>
                  </w:r>
                </w:p>
              </w:tc>
            </w:tr>
            <w:tr w:rsidR="00A2171C" w:rsidRPr="00A2171C" w14:paraId="5F34A9E7" w14:textId="77777777" w:rsidTr="00FE0A15">
              <w:trPr>
                <w:gridAfter w:val="1"/>
                <w:wAfter w:w="227" w:type="dxa"/>
                <w:trHeight w:val="20"/>
              </w:trPr>
              <w:tc>
                <w:tcPr>
                  <w:tcW w:w="2551" w:type="dxa"/>
                  <w:tcBorders>
                    <w:top w:val="nil"/>
                    <w:bottom w:val="nil"/>
                    <w:right w:val="nil"/>
                  </w:tcBorders>
                  <w:vAlign w:val="center"/>
                </w:tcPr>
                <w:p w14:paraId="4F9F750B" w14:textId="6D0F975A" w:rsidR="00A46867" w:rsidRPr="00A2171C" w:rsidRDefault="00000000" w:rsidP="00206EA7">
                  <w:pPr>
                    <w:spacing w:line="240" w:lineRule="auto"/>
                    <w:jc w:val="left"/>
                    <w:rPr>
                      <w:rFonts w:eastAsia="Times New Roman" w:cs="Times New Roman"/>
                      <w:szCs w:val="20"/>
                      <w:lang w:val="en-GB"/>
                    </w:rPr>
                  </w:pP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E,1</m:t>
                        </m:r>
                      </m:sub>
                    </m:sSub>
                  </m:oMath>
                  <w:r w:rsidR="00A46867" w:rsidRPr="00A2171C">
                    <w:rPr>
                      <w:rFonts w:eastAsia="Times New Roman" w:cs="Times New Roman"/>
                      <w:szCs w:val="20"/>
                      <w:vertAlign w:val="subscript"/>
                      <w:lang w:val="en-GB"/>
                    </w:rPr>
                    <w:t xml:space="preserve">, </w:t>
                  </w:r>
                  <w:r w:rsidR="00A46867" w:rsidRPr="00A2171C">
                    <w:rPr>
                      <w:rFonts w:eastAsia="Times New Roman" w:cs="Times New Roman"/>
                      <w:szCs w:val="20"/>
                      <w:lang w:val="en-GB"/>
                    </w:rPr>
                    <w:t>Evacuation and escape routes</w:t>
                  </w:r>
                </w:p>
              </w:tc>
              <w:tc>
                <w:tcPr>
                  <w:tcW w:w="5159" w:type="dxa"/>
                  <w:tcBorders>
                    <w:top w:val="nil"/>
                    <w:left w:val="nil"/>
                    <w:bottom w:val="nil"/>
                    <w:right w:val="nil"/>
                  </w:tcBorders>
                  <w:vAlign w:val="center"/>
                </w:tcPr>
                <w:p w14:paraId="335A0FE6"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Base value</w:t>
                  </w:r>
                </w:p>
                <w:p w14:paraId="2120A96C"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Passage units and spans less than 90 cm</w:t>
                  </w:r>
                </w:p>
                <w:p w14:paraId="7D1056EB" w14:textId="0A2E4A5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N</w:t>
                  </w:r>
                  <w:r w:rsidR="0003285A" w:rsidRPr="00A2171C">
                    <w:rPr>
                      <w:rFonts w:eastAsia="Times New Roman" w:cs="Times New Roman"/>
                      <w:szCs w:val="20"/>
                      <w:lang w:val="en-GB"/>
                    </w:rPr>
                    <w:t>umber</w:t>
                  </w:r>
                  <w:r w:rsidRPr="00A2171C">
                    <w:rPr>
                      <w:rFonts w:eastAsia="Times New Roman" w:cs="Times New Roman"/>
                      <w:szCs w:val="20"/>
                      <w:lang w:val="en-GB"/>
                    </w:rPr>
                    <w:t xml:space="preserve"> of exits below regulation</w:t>
                  </w:r>
                </w:p>
                <w:p w14:paraId="76E36888"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Vertical track inclination greater than 45</w:t>
                  </w:r>
                </w:p>
                <w:p w14:paraId="0D2E30A8" w14:textId="2CE69BC9"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 xml:space="preserve">Lack of emergency </w:t>
                  </w:r>
                  <w:r w:rsidR="0003285A" w:rsidRPr="00A2171C">
                    <w:rPr>
                      <w:rFonts w:eastAsia="Times New Roman" w:cs="Times New Roman"/>
                      <w:szCs w:val="20"/>
                      <w:lang w:val="en-GB"/>
                    </w:rPr>
                    <w:t>signalling</w:t>
                  </w:r>
                  <w:r w:rsidRPr="00A2171C">
                    <w:rPr>
                      <w:rFonts w:eastAsia="Times New Roman" w:cs="Times New Roman"/>
                      <w:szCs w:val="20"/>
                      <w:lang w:val="en-GB"/>
                    </w:rPr>
                    <w:t xml:space="preserve"> and lighting, when required</w:t>
                  </w:r>
                </w:p>
              </w:tc>
              <w:tc>
                <w:tcPr>
                  <w:tcW w:w="907" w:type="dxa"/>
                  <w:tcBorders>
                    <w:top w:val="nil"/>
                    <w:left w:val="nil"/>
                    <w:bottom w:val="nil"/>
                  </w:tcBorders>
                  <w:vAlign w:val="center"/>
                </w:tcPr>
                <w:p w14:paraId="400D4B43"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1.00</w:t>
                  </w:r>
                </w:p>
                <w:p w14:paraId="590D25F3"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+0.25</w:t>
                  </w:r>
                </w:p>
                <w:p w14:paraId="6875C898"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+0.25</w:t>
                  </w:r>
                </w:p>
                <w:p w14:paraId="099D6FF3"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+.025</w:t>
                  </w:r>
                </w:p>
                <w:p w14:paraId="77DC72FF"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+0.25</w:t>
                  </w:r>
                </w:p>
              </w:tc>
            </w:tr>
            <w:tr w:rsidR="00A2171C" w:rsidRPr="00A2171C" w14:paraId="0282B6EC" w14:textId="77777777" w:rsidTr="00FE0A15">
              <w:trPr>
                <w:gridAfter w:val="1"/>
                <w:wAfter w:w="227" w:type="dxa"/>
                <w:trHeight w:val="20"/>
              </w:trPr>
              <w:tc>
                <w:tcPr>
                  <w:tcW w:w="2551" w:type="dxa"/>
                  <w:tcBorders>
                    <w:top w:val="nil"/>
                    <w:bottom w:val="nil"/>
                    <w:right w:val="nil"/>
                  </w:tcBorders>
                  <w:vAlign w:val="center"/>
                </w:tcPr>
                <w:p w14:paraId="0266FA22" w14:textId="7FEAC22B" w:rsidR="00A46867" w:rsidRPr="00A2171C" w:rsidRDefault="00000000" w:rsidP="00206EA7">
                  <w:pPr>
                    <w:spacing w:line="240" w:lineRule="auto"/>
                    <w:jc w:val="left"/>
                    <w:rPr>
                      <w:rFonts w:eastAsia="Times New Roman" w:cs="Times New Roman"/>
                      <w:szCs w:val="20"/>
                      <w:lang w:val="en-GB"/>
                    </w:rPr>
                  </w:pP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E,2</m:t>
                        </m:r>
                      </m:sub>
                    </m:sSub>
                  </m:oMath>
                  <w:r w:rsidR="00A46867" w:rsidRPr="00A2171C">
                    <w:rPr>
                      <w:rFonts w:eastAsia="Times New Roman" w:cs="Times New Roman"/>
                      <w:szCs w:val="20"/>
                      <w:vertAlign w:val="subscript"/>
                      <w:lang w:val="en-GB"/>
                    </w:rPr>
                    <w:t xml:space="preserve">, </w:t>
                  </w:r>
                  <w:r w:rsidR="00A46867" w:rsidRPr="00A2171C">
                    <w:rPr>
                      <w:rFonts w:eastAsia="Times New Roman" w:cs="Times New Roman"/>
                      <w:szCs w:val="20"/>
                      <w:lang w:val="en-GB"/>
                    </w:rPr>
                    <w:t>Building properties</w:t>
                  </w:r>
                </w:p>
                <w:p w14:paraId="43969D74"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E2 = (PF</w:t>
                  </w:r>
                  <w:r w:rsidRPr="00A2171C">
                    <w:rPr>
                      <w:rFonts w:eastAsia="Times New Roman" w:cs="Times New Roman"/>
                      <w:szCs w:val="20"/>
                      <w:vertAlign w:val="subscript"/>
                      <w:lang w:val="en-GB"/>
                    </w:rPr>
                    <w:t>P2</w:t>
                  </w:r>
                  <w:r w:rsidRPr="00A2171C">
                    <w:rPr>
                      <w:rFonts w:eastAsia="Times New Roman" w:cs="Times New Roman"/>
                      <w:szCs w:val="20"/>
                      <w:lang w:val="en-GB"/>
                    </w:rPr>
                    <w:t xml:space="preserve"> + PF</w:t>
                  </w:r>
                  <w:r w:rsidRPr="00A2171C">
                    <w:rPr>
                      <w:rFonts w:eastAsia="Times New Roman" w:cs="Times New Roman"/>
                      <w:szCs w:val="20"/>
                      <w:vertAlign w:val="subscript"/>
                      <w:lang w:val="en-GB"/>
                    </w:rPr>
                    <w:t>P3</w:t>
                  </w:r>
                  <w:r w:rsidRPr="00A2171C">
                    <w:rPr>
                      <w:rFonts w:eastAsia="Times New Roman" w:cs="Times New Roman"/>
                      <w:szCs w:val="20"/>
                      <w:lang w:val="en-GB"/>
                    </w:rPr>
                    <w:t xml:space="preserve"> + PF</w:t>
                  </w:r>
                  <w:r w:rsidRPr="00A2171C">
                    <w:rPr>
                      <w:rFonts w:eastAsia="Times New Roman" w:cs="Times New Roman"/>
                      <w:szCs w:val="20"/>
                      <w:vertAlign w:val="subscript"/>
                      <w:lang w:val="en-GB"/>
                    </w:rPr>
                    <w:t>e2</w:t>
                  </w:r>
                  <w:r w:rsidRPr="00A2171C">
                    <w:rPr>
                      <w:rFonts w:eastAsia="Times New Roman" w:cs="Times New Roman"/>
                      <w:szCs w:val="20"/>
                      <w:lang w:val="en-GB"/>
                    </w:rPr>
                    <w:t>)/3</w:t>
                  </w:r>
                </w:p>
              </w:tc>
              <w:tc>
                <w:tcPr>
                  <w:tcW w:w="5159" w:type="dxa"/>
                  <w:tcBorders>
                    <w:top w:val="nil"/>
                    <w:left w:val="nil"/>
                    <w:bottom w:val="nil"/>
                    <w:right w:val="nil"/>
                  </w:tcBorders>
                  <w:vAlign w:val="center"/>
                </w:tcPr>
                <w:p w14:paraId="04234057"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PF</w:t>
                  </w:r>
                  <w:r w:rsidRPr="00A2171C">
                    <w:rPr>
                      <w:rFonts w:eastAsia="Times New Roman" w:cs="Times New Roman"/>
                      <w:szCs w:val="20"/>
                      <w:vertAlign w:val="subscript"/>
                      <w:lang w:val="en-GB"/>
                    </w:rPr>
                    <w:t>P2</w:t>
                  </w:r>
                  <w:r w:rsidRPr="00A2171C">
                    <w:rPr>
                      <w:rFonts w:eastAsia="Times New Roman" w:cs="Times New Roman"/>
                      <w:szCs w:val="20"/>
                      <w:lang w:val="en-GB"/>
                    </w:rPr>
                    <w:t>: Safety and security teams</w:t>
                  </w:r>
                </w:p>
                <w:p w14:paraId="576801E0"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PF</w:t>
                  </w:r>
                  <w:r w:rsidRPr="00A2171C">
                    <w:rPr>
                      <w:rFonts w:eastAsia="Times New Roman" w:cs="Times New Roman"/>
                      <w:szCs w:val="20"/>
                      <w:vertAlign w:val="subscript"/>
                      <w:lang w:val="en-GB"/>
                    </w:rPr>
                    <w:t>P3</w:t>
                  </w:r>
                  <w:r w:rsidRPr="00A2171C">
                    <w:rPr>
                      <w:rFonts w:eastAsia="Times New Roman" w:cs="Times New Roman"/>
                      <w:szCs w:val="20"/>
                      <w:lang w:val="en-GB"/>
                    </w:rPr>
                    <w:t>: Fire detection, alert and alarm</w:t>
                  </w:r>
                </w:p>
                <w:p w14:paraId="4C1CD806"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PF</w:t>
                  </w:r>
                  <w:r w:rsidRPr="00A2171C">
                    <w:rPr>
                      <w:rFonts w:eastAsia="Times New Roman" w:cs="Times New Roman"/>
                      <w:szCs w:val="20"/>
                      <w:vertAlign w:val="subscript"/>
                      <w:lang w:val="en-GB"/>
                    </w:rPr>
                    <w:t>e2</w:t>
                  </w:r>
                  <w:r w:rsidRPr="00A2171C">
                    <w:rPr>
                      <w:rFonts w:eastAsia="Times New Roman" w:cs="Times New Roman"/>
                      <w:szCs w:val="20"/>
                      <w:lang w:val="en-GB"/>
                    </w:rPr>
                    <w:t>: Safety drills:</w:t>
                  </w:r>
                </w:p>
                <w:p w14:paraId="09983C5E"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Not required - At least 2 evacuation exercises were performed;</w:t>
                  </w:r>
                </w:p>
                <w:p w14:paraId="3050A1FD"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Not required</w:t>
                  </w:r>
                  <w:r w:rsidRPr="00A2171C" w:rsidDel="00E055F6">
                    <w:rPr>
                      <w:rFonts w:eastAsia="Times New Roman" w:cs="Times New Roman"/>
                      <w:szCs w:val="20"/>
                      <w:lang w:val="en-GB"/>
                    </w:rPr>
                    <w:t xml:space="preserve"> </w:t>
                  </w:r>
                  <w:r w:rsidRPr="00A2171C">
                    <w:rPr>
                      <w:rFonts w:eastAsia="Times New Roman" w:cs="Times New Roman"/>
                      <w:szCs w:val="20"/>
                      <w:lang w:val="en-GB"/>
                    </w:rPr>
                    <w:t>- Evacuation exercises were not performed;</w:t>
                  </w:r>
                </w:p>
                <w:p w14:paraId="20633776"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Required - Evacuation exercises were carried out with periodicity as required;</w:t>
                  </w:r>
                </w:p>
                <w:p w14:paraId="19536776"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Required - Evacuation exercises were not performed at intervals as required;</w:t>
                  </w:r>
                </w:p>
              </w:tc>
              <w:tc>
                <w:tcPr>
                  <w:tcW w:w="907" w:type="dxa"/>
                  <w:tcBorders>
                    <w:top w:val="nil"/>
                    <w:left w:val="nil"/>
                    <w:bottom w:val="nil"/>
                  </w:tcBorders>
                  <w:vAlign w:val="center"/>
                </w:tcPr>
                <w:p w14:paraId="428119B1" w14:textId="77777777" w:rsidR="00A46867" w:rsidRPr="00A2171C" w:rsidRDefault="00A46867" w:rsidP="00BA2612">
                  <w:pPr>
                    <w:spacing w:line="240" w:lineRule="auto"/>
                    <w:jc w:val="center"/>
                    <w:rPr>
                      <w:rFonts w:eastAsia="Times New Roman" w:cs="Times New Roman"/>
                      <w:szCs w:val="20"/>
                      <w:lang w:val="en-US"/>
                    </w:rPr>
                  </w:pPr>
                </w:p>
                <w:p w14:paraId="6DC37E5A"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0.50</w:t>
                  </w:r>
                </w:p>
                <w:p w14:paraId="7FD347D7"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1.00</w:t>
                  </w:r>
                </w:p>
                <w:p w14:paraId="6777FAC4"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1.00</w:t>
                  </w:r>
                </w:p>
                <w:p w14:paraId="00DC0E31" w14:textId="77777777" w:rsidR="00A46867" w:rsidRPr="00A2171C" w:rsidRDefault="00A46867" w:rsidP="00BA2612">
                  <w:pPr>
                    <w:spacing w:line="240" w:lineRule="auto"/>
                    <w:jc w:val="center"/>
                    <w:rPr>
                      <w:rFonts w:eastAsia="Times New Roman" w:cs="Times New Roman"/>
                      <w:szCs w:val="20"/>
                      <w:lang w:val="en-GB"/>
                    </w:rPr>
                  </w:pPr>
                </w:p>
                <w:p w14:paraId="1519313D"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2.00</w:t>
                  </w:r>
                </w:p>
              </w:tc>
            </w:tr>
            <w:tr w:rsidR="00A2171C" w:rsidRPr="00A2171C" w14:paraId="5CAEE8AF" w14:textId="77777777" w:rsidTr="00FE0A15">
              <w:trPr>
                <w:gridAfter w:val="1"/>
                <w:wAfter w:w="227" w:type="dxa"/>
                <w:trHeight w:val="20"/>
              </w:trPr>
              <w:tc>
                <w:tcPr>
                  <w:tcW w:w="2551" w:type="dxa"/>
                  <w:tcBorders>
                    <w:top w:val="nil"/>
                    <w:bottom w:val="nil"/>
                    <w:right w:val="nil"/>
                  </w:tcBorders>
                  <w:vAlign w:val="center"/>
                </w:tcPr>
                <w:p w14:paraId="6BB03ED5" w14:textId="54189D9B" w:rsidR="00A46867" w:rsidRPr="00A2171C" w:rsidRDefault="00000000" w:rsidP="00206EA7">
                  <w:pPr>
                    <w:spacing w:line="240" w:lineRule="auto"/>
                    <w:jc w:val="left"/>
                    <w:rPr>
                      <w:rFonts w:eastAsia="Times New Roman" w:cs="Times New Roman"/>
                      <w:szCs w:val="20"/>
                      <w:lang w:val="en-GB"/>
                    </w:rPr>
                  </w:pPr>
                  <m:oMath>
                    <m:sSub>
                      <m:sSubPr>
                        <m:ctrlPr>
                          <w:rPr>
                            <w:rFonts w:ascii="Cambria Math" w:eastAsia="Times New Roman" w:hAnsi="Cambria Math" w:cs="Times New Roman"/>
                            <w:i/>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E,3</m:t>
                        </m:r>
                      </m:sub>
                    </m:sSub>
                  </m:oMath>
                  <w:r w:rsidR="00A46867" w:rsidRPr="00A2171C">
                    <w:rPr>
                      <w:rFonts w:eastAsia="Times New Roman" w:cs="Times New Roman"/>
                      <w:szCs w:val="20"/>
                      <w:vertAlign w:val="subscript"/>
                      <w:lang w:val="en-GB"/>
                    </w:rPr>
                    <w:t xml:space="preserve">, </w:t>
                  </w:r>
                  <w:r w:rsidR="00A46867" w:rsidRPr="00A2171C">
                    <w:rPr>
                      <w:rFonts w:eastAsia="Times New Roman" w:cs="Times New Roman"/>
                      <w:szCs w:val="20"/>
                      <w:lang w:val="en-GB"/>
                    </w:rPr>
                    <w:t>Correction factor</w:t>
                  </w:r>
                </w:p>
              </w:tc>
              <w:tc>
                <w:tcPr>
                  <w:tcW w:w="5159" w:type="dxa"/>
                  <w:tcBorders>
                    <w:top w:val="nil"/>
                    <w:left w:val="nil"/>
                    <w:bottom w:val="nil"/>
                    <w:right w:val="nil"/>
                  </w:tcBorders>
                  <w:vAlign w:val="center"/>
                </w:tcPr>
                <w:p w14:paraId="63675153" w14:textId="77777777" w:rsidR="00A46867" w:rsidRPr="00A2171C" w:rsidRDefault="00A46867" w:rsidP="00206EA7">
                  <w:pPr>
                    <w:spacing w:line="240" w:lineRule="auto"/>
                    <w:jc w:val="left"/>
                    <w:rPr>
                      <w:rFonts w:cs="Times New Roman"/>
                      <w:szCs w:val="20"/>
                      <w:lang w:val="en-GB"/>
                    </w:rPr>
                  </w:pPr>
                  <w:r w:rsidRPr="00A2171C">
                    <w:rPr>
                      <w:rFonts w:cs="Times New Roman"/>
                      <w:szCs w:val="20"/>
                      <w:lang w:val="en-GB"/>
                    </w:rPr>
                    <w:t>The building complies with all regulatory provisions for partial-factors PF</w:t>
                  </w:r>
                  <w:r w:rsidRPr="00A2171C">
                    <w:rPr>
                      <w:rFonts w:cs="Times New Roman"/>
                      <w:szCs w:val="20"/>
                      <w:vertAlign w:val="subscript"/>
                      <w:lang w:val="en-GB"/>
                    </w:rPr>
                    <w:t>P2</w:t>
                  </w:r>
                  <w:r w:rsidRPr="00A2171C">
                    <w:rPr>
                      <w:rFonts w:cs="Times New Roman"/>
                      <w:szCs w:val="20"/>
                      <w:lang w:val="en-GB"/>
                    </w:rPr>
                    <w:t>, PF</w:t>
                  </w:r>
                  <w:r w:rsidRPr="00A2171C">
                    <w:rPr>
                      <w:rFonts w:cs="Times New Roman"/>
                      <w:szCs w:val="20"/>
                      <w:vertAlign w:val="subscript"/>
                      <w:lang w:val="en-GB"/>
                    </w:rPr>
                    <w:t>P3</w:t>
                  </w:r>
                  <w:r w:rsidRPr="00A2171C">
                    <w:rPr>
                      <w:rFonts w:cs="Times New Roman"/>
                      <w:szCs w:val="20"/>
                      <w:lang w:val="en-GB"/>
                    </w:rPr>
                    <w:t xml:space="preserve"> and PF</w:t>
                  </w:r>
                  <w:r w:rsidRPr="00A2171C">
                    <w:rPr>
                      <w:rFonts w:cs="Times New Roman"/>
                      <w:szCs w:val="20"/>
                      <w:vertAlign w:val="subscript"/>
                      <w:lang w:val="en-GB"/>
                    </w:rPr>
                    <w:t>e2</w:t>
                  </w:r>
                </w:p>
                <w:p w14:paraId="0DA7D185" w14:textId="77777777" w:rsidR="00A46867" w:rsidRPr="00A2171C" w:rsidRDefault="00A46867" w:rsidP="00206EA7">
                  <w:pPr>
                    <w:spacing w:line="240" w:lineRule="auto"/>
                    <w:jc w:val="left"/>
                    <w:rPr>
                      <w:rFonts w:cs="Times New Roman"/>
                      <w:szCs w:val="20"/>
                      <w:lang w:val="en-GB"/>
                    </w:rPr>
                  </w:pPr>
                  <w:r w:rsidRPr="00A2171C">
                    <w:rPr>
                      <w:rFonts w:cs="Times New Roman"/>
                      <w:szCs w:val="20"/>
                      <w:lang w:val="en-GB"/>
                    </w:rPr>
                    <w:t>The building does not comply with all regulatory provisions for partial-factors PF</w:t>
                  </w:r>
                  <w:r w:rsidRPr="00A2171C">
                    <w:rPr>
                      <w:rFonts w:cs="Times New Roman"/>
                      <w:szCs w:val="20"/>
                      <w:vertAlign w:val="subscript"/>
                      <w:lang w:val="en-GB"/>
                    </w:rPr>
                    <w:t>P2</w:t>
                  </w:r>
                  <w:r w:rsidRPr="00A2171C">
                    <w:rPr>
                      <w:rFonts w:cs="Times New Roman"/>
                      <w:szCs w:val="20"/>
                      <w:lang w:val="en-GB"/>
                    </w:rPr>
                    <w:t>, PF</w:t>
                  </w:r>
                  <w:r w:rsidRPr="00A2171C">
                    <w:rPr>
                      <w:rFonts w:cs="Times New Roman"/>
                      <w:szCs w:val="20"/>
                      <w:vertAlign w:val="subscript"/>
                      <w:lang w:val="en-GB"/>
                    </w:rPr>
                    <w:t>P3</w:t>
                  </w:r>
                  <w:r w:rsidRPr="00A2171C">
                    <w:rPr>
                      <w:rFonts w:cs="Times New Roman"/>
                      <w:szCs w:val="20"/>
                      <w:lang w:val="en-GB"/>
                    </w:rPr>
                    <w:t xml:space="preserve"> and PF</w:t>
                  </w:r>
                  <w:r w:rsidRPr="00A2171C">
                    <w:rPr>
                      <w:rFonts w:cs="Times New Roman"/>
                      <w:szCs w:val="20"/>
                      <w:vertAlign w:val="subscript"/>
                      <w:lang w:val="en-GB"/>
                    </w:rPr>
                    <w:t>e.2</w:t>
                  </w:r>
                </w:p>
                <w:p w14:paraId="7A1D9229" w14:textId="77777777" w:rsidR="00A46867" w:rsidRPr="00A2171C" w:rsidRDefault="00000000" w:rsidP="00206EA7">
                  <w:pPr>
                    <w:spacing w:line="240" w:lineRule="auto"/>
                    <w:jc w:val="left"/>
                    <w:rPr>
                      <w:rFonts w:eastAsia="Times New Roman" w:cs="Times New Roman"/>
                      <w:szCs w:val="20"/>
                      <w:lang w:val="en-GB"/>
                    </w:rPr>
                  </w:pPr>
                  <w:sdt>
                    <w:sdtPr>
                      <w:rPr>
                        <w:rFonts w:cs="Times New Roman"/>
                        <w:szCs w:val="20"/>
                        <w:lang w:val="en-GB"/>
                      </w:rPr>
                      <w:tag w:val="goog_rdk_12"/>
                      <w:id w:val="319009206"/>
                    </w:sdtPr>
                    <w:sdtContent>
                      <w:r w:rsidR="00A46867" w:rsidRPr="00A2171C">
                        <w:rPr>
                          <w:rFonts w:eastAsia="Gungsuh" w:cs="Times New Roman"/>
                          <w:szCs w:val="20"/>
                          <w:lang w:val="en-GB"/>
                        </w:rPr>
                        <w:t>n° of storey ≤3;</w:t>
                      </w:r>
                    </w:sdtContent>
                  </w:sdt>
                </w:p>
                <w:p w14:paraId="5B7D2D99" w14:textId="77777777" w:rsidR="00A46867" w:rsidRPr="00A2171C" w:rsidRDefault="00000000" w:rsidP="00206EA7">
                  <w:pPr>
                    <w:spacing w:line="240" w:lineRule="auto"/>
                    <w:jc w:val="left"/>
                    <w:rPr>
                      <w:rFonts w:eastAsia="Times New Roman" w:cs="Times New Roman"/>
                      <w:szCs w:val="20"/>
                      <w:lang w:val="en-GB"/>
                    </w:rPr>
                  </w:pPr>
                  <w:sdt>
                    <w:sdtPr>
                      <w:rPr>
                        <w:rFonts w:cs="Times New Roman"/>
                        <w:szCs w:val="20"/>
                        <w:lang w:val="en-GB"/>
                      </w:rPr>
                      <w:tag w:val="goog_rdk_13"/>
                      <w:id w:val="-89549703"/>
                    </w:sdtPr>
                    <w:sdtContent>
                      <w:r w:rsidR="00A46867" w:rsidRPr="00A2171C">
                        <w:rPr>
                          <w:rFonts w:eastAsia="Gungsuh" w:cs="Times New Roman"/>
                          <w:szCs w:val="20"/>
                          <w:lang w:val="en-GB"/>
                        </w:rPr>
                        <w:t>3 &lt; n° of storey ≤ 7;</w:t>
                      </w:r>
                    </w:sdtContent>
                  </w:sdt>
                </w:p>
                <w:p w14:paraId="6C4B266A" w14:textId="77777777" w:rsidR="00A46867" w:rsidRPr="00A2171C" w:rsidRDefault="00A46867" w:rsidP="00206EA7">
                  <w:pPr>
                    <w:spacing w:line="240" w:lineRule="auto"/>
                    <w:jc w:val="left"/>
                    <w:rPr>
                      <w:rFonts w:eastAsia="Times New Roman" w:cs="Times New Roman"/>
                      <w:szCs w:val="20"/>
                      <w:lang w:val="en-GB"/>
                    </w:rPr>
                  </w:pPr>
                  <w:r w:rsidRPr="00A2171C">
                    <w:rPr>
                      <w:rFonts w:eastAsia="Times New Roman" w:cs="Times New Roman"/>
                      <w:szCs w:val="20"/>
                      <w:lang w:val="en-GB"/>
                    </w:rPr>
                    <w:t>n° of storey &gt;7</w:t>
                  </w:r>
                </w:p>
              </w:tc>
              <w:tc>
                <w:tcPr>
                  <w:tcW w:w="907" w:type="dxa"/>
                  <w:tcBorders>
                    <w:top w:val="nil"/>
                    <w:left w:val="nil"/>
                    <w:bottom w:val="nil"/>
                  </w:tcBorders>
                  <w:vAlign w:val="center"/>
                </w:tcPr>
                <w:p w14:paraId="1A0D9690" w14:textId="77777777" w:rsidR="00A46867" w:rsidRPr="00A2171C" w:rsidRDefault="00A46867" w:rsidP="00BA2612">
                  <w:pPr>
                    <w:spacing w:line="240" w:lineRule="auto"/>
                    <w:jc w:val="center"/>
                    <w:rPr>
                      <w:rFonts w:eastAsia="Times New Roman" w:cs="Times New Roman"/>
                      <w:szCs w:val="20"/>
                      <w:lang w:val="en-GB"/>
                    </w:rPr>
                  </w:pPr>
                </w:p>
                <w:p w14:paraId="1655D514"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1.00</w:t>
                  </w:r>
                </w:p>
                <w:p w14:paraId="75DC0DAB" w14:textId="77777777" w:rsidR="00A46867" w:rsidRPr="00A2171C" w:rsidRDefault="00A46867" w:rsidP="00BA2612">
                  <w:pPr>
                    <w:spacing w:line="240" w:lineRule="auto"/>
                    <w:jc w:val="center"/>
                    <w:rPr>
                      <w:rFonts w:eastAsia="Times New Roman" w:cs="Times New Roman"/>
                      <w:szCs w:val="20"/>
                      <w:lang w:val="en-GB"/>
                    </w:rPr>
                  </w:pPr>
                </w:p>
                <w:p w14:paraId="16055C2C" w14:textId="77777777" w:rsidR="00A46867" w:rsidRPr="00A2171C" w:rsidRDefault="00A46867" w:rsidP="00BA2612">
                  <w:pPr>
                    <w:spacing w:line="240" w:lineRule="auto"/>
                    <w:jc w:val="center"/>
                    <w:rPr>
                      <w:rFonts w:eastAsia="Times New Roman" w:cs="Times New Roman"/>
                      <w:szCs w:val="20"/>
                      <w:lang w:val="en-GB"/>
                    </w:rPr>
                  </w:pPr>
                </w:p>
                <w:p w14:paraId="66ADD1FC"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1.10</w:t>
                  </w:r>
                </w:p>
                <w:p w14:paraId="355D8DC2"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1.20</w:t>
                  </w:r>
                </w:p>
                <w:p w14:paraId="611423D1" w14:textId="77777777" w:rsidR="00A46867" w:rsidRPr="00A2171C" w:rsidRDefault="00A46867" w:rsidP="00BA2612">
                  <w:pPr>
                    <w:spacing w:line="240" w:lineRule="auto"/>
                    <w:jc w:val="center"/>
                    <w:rPr>
                      <w:rFonts w:eastAsia="Times New Roman" w:cs="Times New Roman"/>
                      <w:szCs w:val="20"/>
                      <w:lang w:val="en-GB"/>
                    </w:rPr>
                  </w:pPr>
                  <w:r w:rsidRPr="00A2171C">
                    <w:rPr>
                      <w:rFonts w:eastAsia="Times New Roman" w:cs="Times New Roman"/>
                      <w:szCs w:val="20"/>
                      <w:lang w:val="en-GB"/>
                    </w:rPr>
                    <w:t>1.30</w:t>
                  </w:r>
                </w:p>
              </w:tc>
            </w:tr>
          </w:tbl>
          <w:p w14:paraId="3D2160A9" w14:textId="77777777" w:rsidR="00A46867" w:rsidRPr="00A2171C" w:rsidRDefault="00A46867" w:rsidP="00BA2612">
            <w:pPr>
              <w:rPr>
                <w:rFonts w:cs="Times New Roman"/>
                <w:szCs w:val="20"/>
                <w:lang w:val="en-GB"/>
              </w:rPr>
            </w:pPr>
          </w:p>
        </w:tc>
      </w:tr>
    </w:tbl>
    <w:p w14:paraId="746C439B" w14:textId="77777777" w:rsidR="00E314AC" w:rsidRPr="00A2171C" w:rsidRDefault="00E314AC"/>
    <w:tbl>
      <w:tblPr>
        <w:tblStyle w:val="TableGrid"/>
        <w:tblW w:w="0" w:type="auto"/>
        <w:tblLook w:val="04A0" w:firstRow="1" w:lastRow="0" w:firstColumn="1" w:lastColumn="0" w:noHBand="0" w:noVBand="1"/>
      </w:tblPr>
      <w:tblGrid>
        <w:gridCol w:w="8828"/>
      </w:tblGrid>
      <w:tr w:rsidR="00A2171C" w:rsidRPr="00A2171C" w14:paraId="56927A11" w14:textId="77777777" w:rsidTr="00FE0A15">
        <w:trPr>
          <w:trHeight w:val="624"/>
        </w:trPr>
        <w:tc>
          <w:tcPr>
            <w:tcW w:w="8828" w:type="dxa"/>
            <w:shd w:val="clear" w:color="auto" w:fill="D9D9D9" w:themeFill="background1" w:themeFillShade="D9"/>
            <w:vAlign w:val="center"/>
          </w:tcPr>
          <w:p w14:paraId="4E7AC2DD" w14:textId="7EA67CD2" w:rsidR="00A46867" w:rsidRPr="00A2171C" w:rsidRDefault="00C74E25" w:rsidP="00EA368D">
            <w:pPr>
              <w:pStyle w:val="Caption"/>
              <w:spacing w:after="0"/>
              <w:jc w:val="center"/>
              <w:rPr>
                <w:rFonts w:cs="Times New Roman"/>
                <w:i w:val="0"/>
                <w:iCs w:val="0"/>
                <w:color w:val="auto"/>
                <w:sz w:val="20"/>
                <w:szCs w:val="20"/>
                <w:lang w:val="en-GB"/>
              </w:rPr>
            </w:pPr>
            <w:bookmarkStart w:id="49" w:name="_Ref121156889"/>
            <w:r w:rsidRPr="00A2171C">
              <w:rPr>
                <w:color w:val="auto"/>
                <w:lang w:val="en-US"/>
              </w:rPr>
              <w:t xml:space="preserve">Table A </w:t>
            </w:r>
            <w:r w:rsidRPr="00A2171C">
              <w:rPr>
                <w:color w:val="auto"/>
              </w:rPr>
              <w:fldChar w:fldCharType="begin"/>
            </w:r>
            <w:r w:rsidRPr="00A2171C">
              <w:rPr>
                <w:color w:val="auto"/>
                <w:lang w:val="en-US"/>
              </w:rPr>
              <w:instrText xml:space="preserve"> SEQ Table_A \* ARABIC </w:instrText>
            </w:r>
            <w:r w:rsidRPr="00A2171C">
              <w:rPr>
                <w:color w:val="auto"/>
              </w:rPr>
              <w:fldChar w:fldCharType="separate"/>
            </w:r>
            <w:r w:rsidR="00C20049" w:rsidRPr="00A2171C">
              <w:rPr>
                <w:noProof/>
                <w:color w:val="auto"/>
                <w:lang w:val="en-US"/>
              </w:rPr>
              <w:t>4</w:t>
            </w:r>
            <w:r w:rsidRPr="00A2171C">
              <w:rPr>
                <w:color w:val="auto"/>
              </w:rPr>
              <w:fldChar w:fldCharType="end"/>
            </w:r>
            <w:bookmarkEnd w:id="49"/>
            <w:r w:rsidRPr="00A2171C">
              <w:rPr>
                <w:color w:val="auto"/>
                <w:lang w:val="en-US"/>
              </w:rPr>
              <w:t xml:space="preserve">: </w:t>
            </w:r>
            <w:r w:rsidR="00A46867" w:rsidRPr="00A2171C">
              <w:rPr>
                <w:rFonts w:cs="Times New Roman"/>
                <w:i w:val="0"/>
                <w:iCs w:val="0"/>
                <w:color w:val="auto"/>
                <w:sz w:val="20"/>
                <w:szCs w:val="20"/>
                <w:lang w:val="en-GB"/>
              </w:rPr>
              <w:t>Description of three partial-factors for the assessment of fire combat risk (SFC) of aggregate historical buildings. Score values are according to Ferreira et al., 2016.</w:t>
            </w:r>
          </w:p>
        </w:tc>
      </w:tr>
      <w:tr w:rsidR="00A46867" w:rsidRPr="00A2171C" w14:paraId="56E6101B" w14:textId="77777777" w:rsidTr="008600AE">
        <w:tc>
          <w:tcPr>
            <w:tcW w:w="8828" w:type="dxa"/>
          </w:tcPr>
          <w:tbl>
            <w:tblPr>
              <w:tblW w:w="8810" w:type="dxa"/>
              <w:jc w:val="center"/>
              <w:tblLook w:val="0400" w:firstRow="0" w:lastRow="0" w:firstColumn="0" w:lastColumn="0" w:noHBand="0" w:noVBand="1"/>
            </w:tblPr>
            <w:tblGrid>
              <w:gridCol w:w="2346"/>
              <w:gridCol w:w="5677"/>
              <w:gridCol w:w="787"/>
            </w:tblGrid>
            <w:tr w:rsidR="00A2171C" w:rsidRPr="00A2171C" w14:paraId="5C19A068" w14:textId="77777777" w:rsidTr="00FE0A15">
              <w:trPr>
                <w:trHeight w:val="340"/>
                <w:jc w:val="center"/>
              </w:trPr>
              <w:tc>
                <w:tcPr>
                  <w:tcW w:w="8810" w:type="dxa"/>
                  <w:gridSpan w:val="3"/>
                  <w:vAlign w:val="center"/>
                </w:tcPr>
                <w:p w14:paraId="4C61B996" w14:textId="29F47A5F" w:rsidR="00A46867" w:rsidRPr="00A2171C" w:rsidRDefault="00A46867" w:rsidP="0015439E">
                  <w:pPr>
                    <w:widowControl w:val="0"/>
                    <w:autoSpaceDE w:val="0"/>
                    <w:autoSpaceDN w:val="0"/>
                    <w:adjustRightInd w:val="0"/>
                    <w:spacing w:after="0" w:line="240" w:lineRule="auto"/>
                    <w:ind w:left="480" w:hanging="480"/>
                    <w:jc w:val="center"/>
                    <w:rPr>
                      <w:rFonts w:cs="Times New Roman"/>
                      <w:szCs w:val="20"/>
                      <w:lang w:val="en-US"/>
                    </w:rPr>
                  </w:pPr>
                  <w:r w:rsidRPr="00A2171C">
                    <w:rPr>
                      <w:rFonts w:eastAsia="Times New Roman" w:cs="Times New Roman"/>
                      <w:b/>
                      <w:szCs w:val="20"/>
                      <w:lang w:val="en-GB"/>
                    </w:rPr>
                    <w:t xml:space="preserve">FIRE COMBAT RISK: </w:t>
                  </w:r>
                  <m:oMath>
                    <m:sSub>
                      <m:sSubPr>
                        <m:ctrlPr>
                          <w:rPr>
                            <w:rFonts w:ascii="Cambria Math" w:eastAsia="Times New Roman" w:hAnsi="Cambria Math" w:cs="Times New Roman"/>
                            <w:b/>
                            <w:i/>
                            <w:szCs w:val="20"/>
                            <w:lang w:val="en-GB"/>
                          </w:rPr>
                        </m:ctrlPr>
                      </m:sSubPr>
                      <m:e>
                        <m:r>
                          <m:rPr>
                            <m:sty m:val="bi"/>
                          </m:rPr>
                          <w:rPr>
                            <w:rFonts w:ascii="Cambria Math" w:eastAsia="Times New Roman" w:hAnsi="Cambria Math" w:cs="Times New Roman"/>
                            <w:szCs w:val="20"/>
                            <w:lang w:val="en-GB"/>
                          </w:rPr>
                          <m:t>PF</m:t>
                        </m:r>
                      </m:e>
                      <m:sub>
                        <m:r>
                          <m:rPr>
                            <m:sty m:val="bi"/>
                          </m:rPr>
                          <w:rPr>
                            <w:rFonts w:ascii="Cambria Math" w:eastAsia="Times New Roman" w:hAnsi="Cambria Math" w:cs="Times New Roman"/>
                            <w:szCs w:val="20"/>
                            <w:lang w:val="en-GB"/>
                          </w:rPr>
                          <m:t>C</m:t>
                        </m:r>
                      </m:sub>
                    </m:sSub>
                  </m:oMath>
                  <w:r w:rsidRPr="00A2171C">
                    <w:rPr>
                      <w:rFonts w:eastAsia="Times New Roman" w:cs="Times New Roman"/>
                      <w:b/>
                      <w:szCs w:val="20"/>
                      <w:lang w:val="en-GB"/>
                    </w:rPr>
                    <w:t xml:space="preserve">= </w:t>
                  </w:r>
                  <m:oMath>
                    <m:nary>
                      <m:naryPr>
                        <m:chr m:val="∑"/>
                        <m:ctrlPr>
                          <w:rPr>
                            <w:rFonts w:ascii="Cambria Math" w:eastAsia="Cambria Math" w:hAnsi="Cambria Math" w:cs="Times New Roman"/>
                            <w:szCs w:val="20"/>
                            <w:lang w:val="en-GB"/>
                          </w:rPr>
                        </m:ctrlPr>
                      </m:naryPr>
                      <m:sub>
                        <m:r>
                          <m:rPr>
                            <m:sty m:val="p"/>
                          </m:rPr>
                          <w:rPr>
                            <w:rFonts w:ascii="Cambria Math" w:eastAsia="Cambria Math" w:hAnsi="Cambria Math" w:cs="Times New Roman"/>
                            <w:szCs w:val="20"/>
                            <w:lang w:val="en-GB"/>
                          </w:rPr>
                          <m:t>i</m:t>
                        </m:r>
                      </m:sub>
                      <m:sup>
                        <m:r>
                          <m:rPr>
                            <m:sty m:val="p"/>
                          </m:rPr>
                          <w:rPr>
                            <w:rFonts w:ascii="Cambria Math" w:eastAsia="Cambria Math" w:hAnsi="Cambria Math" w:cs="Times New Roman"/>
                            <w:szCs w:val="20"/>
                            <w:lang w:val="en-GB"/>
                          </w:rPr>
                          <m:t>1</m:t>
                        </m:r>
                      </m:sup>
                      <m:e>
                        <m:acc>
                          <m:accPr>
                            <m:ctrlPr>
                              <w:rPr>
                                <w:rFonts w:ascii="Cambria Math" w:eastAsia="Cambria Math" w:hAnsi="Cambria Math" w:cs="Times New Roman"/>
                                <w:szCs w:val="20"/>
                                <w:lang w:val="en-GB"/>
                              </w:rPr>
                            </m:ctrlPr>
                          </m:accPr>
                          <m:e>
                            <m:sSub>
                              <m:sSubPr>
                                <m:ctrlPr>
                                  <w:rPr>
                                    <w:rFonts w:ascii="Cambria Math" w:eastAsia="Cambria Math" w:hAnsi="Cambria Math" w:cs="Times New Roman"/>
                                    <w:szCs w:val="20"/>
                                    <w:lang w:val="en-GB"/>
                                  </w:rPr>
                                </m:ctrlPr>
                              </m:sSubPr>
                              <m:e>
                                <m:r>
                                  <m:rPr>
                                    <m:sty m:val="p"/>
                                  </m:rPr>
                                  <w:rPr>
                                    <w:rFonts w:ascii="Cambria Math" w:eastAsia="Cambria Math" w:hAnsi="Cambria Math" w:cs="Times New Roman"/>
                                    <w:szCs w:val="20"/>
                                    <w:lang w:val="en-GB"/>
                                  </w:rPr>
                                  <m:t>PF</m:t>
                                </m:r>
                              </m:e>
                              <m:sub>
                                <m:r>
                                  <m:rPr>
                                    <m:sty m:val="p"/>
                                  </m:rPr>
                                  <w:rPr>
                                    <w:rFonts w:ascii="Cambria Math" w:eastAsia="Cambria Math" w:hAnsi="Cambria Math" w:cs="Times New Roman"/>
                                    <w:szCs w:val="20"/>
                                    <w:lang w:val="en-GB"/>
                                  </w:rPr>
                                  <m:t>C,k</m:t>
                                </m:r>
                              </m:sub>
                            </m:sSub>
                          </m:e>
                        </m:acc>
                      </m:e>
                    </m:nary>
                  </m:oMath>
                </w:p>
              </w:tc>
            </w:tr>
            <w:tr w:rsidR="00A2171C" w:rsidRPr="00A2171C" w14:paraId="5E11BDBE" w14:textId="77777777" w:rsidTr="00FE0A15">
              <w:trPr>
                <w:trHeight w:val="340"/>
                <w:jc w:val="center"/>
              </w:trPr>
              <w:tc>
                <w:tcPr>
                  <w:tcW w:w="2381" w:type="dxa"/>
                  <w:vAlign w:val="center"/>
                </w:tcPr>
                <w:p w14:paraId="5E2BABB8" w14:textId="77777777" w:rsidR="00A46867" w:rsidRPr="00A2171C" w:rsidRDefault="00A46867" w:rsidP="0015439E">
                  <w:pPr>
                    <w:spacing w:after="0" w:line="240" w:lineRule="auto"/>
                    <w:jc w:val="left"/>
                    <w:rPr>
                      <w:rFonts w:eastAsia="Times New Roman" w:cs="Times New Roman"/>
                      <w:b/>
                      <w:szCs w:val="20"/>
                      <w:lang w:val="en-US"/>
                    </w:rPr>
                  </w:pPr>
                  <w:r w:rsidRPr="00A2171C">
                    <w:rPr>
                      <w:rFonts w:eastAsia="Times New Roman" w:cs="Times New Roman"/>
                      <w:b/>
                      <w:szCs w:val="20"/>
                      <w:lang w:val="en-US"/>
                    </w:rPr>
                    <w:t>Partial-factors</w:t>
                  </w:r>
                </w:p>
              </w:tc>
              <w:tc>
                <w:tcPr>
                  <w:tcW w:w="5783" w:type="dxa"/>
                  <w:vAlign w:val="center"/>
                </w:tcPr>
                <w:p w14:paraId="4C6787F0" w14:textId="50F72338" w:rsidR="00A46867" w:rsidRPr="00A2171C" w:rsidRDefault="00FE0A15" w:rsidP="00FE0A15">
                  <w:pPr>
                    <w:spacing w:after="0" w:line="240" w:lineRule="auto"/>
                    <w:rPr>
                      <w:rFonts w:eastAsia="Times New Roman" w:cs="Times New Roman"/>
                      <w:b/>
                      <w:szCs w:val="20"/>
                      <w:lang w:val="en-US"/>
                    </w:rPr>
                  </w:pPr>
                  <w:r w:rsidRPr="00A2171C">
                    <w:rPr>
                      <w:rFonts w:eastAsia="Times New Roman" w:cs="Times New Roman"/>
                      <w:b/>
                      <w:szCs w:val="20"/>
                      <w:lang w:val="en-US"/>
                    </w:rPr>
                    <w:t xml:space="preserve"> </w:t>
                  </w:r>
                  <w:r w:rsidR="00A46867" w:rsidRPr="00A2171C">
                    <w:rPr>
                      <w:rFonts w:eastAsia="Times New Roman" w:cs="Times New Roman"/>
                      <w:b/>
                      <w:szCs w:val="20"/>
                      <w:lang w:val="en-US"/>
                    </w:rPr>
                    <w:t>Description</w:t>
                  </w:r>
                </w:p>
              </w:tc>
              <w:tc>
                <w:tcPr>
                  <w:tcW w:w="646" w:type="dxa"/>
                  <w:vAlign w:val="center"/>
                </w:tcPr>
                <w:p w14:paraId="3AD6D0B7" w14:textId="77777777" w:rsidR="00A46867" w:rsidRPr="00A2171C" w:rsidRDefault="00A46867" w:rsidP="0015439E">
                  <w:pPr>
                    <w:spacing w:after="0" w:line="240" w:lineRule="auto"/>
                    <w:jc w:val="left"/>
                    <w:rPr>
                      <w:rFonts w:eastAsia="Times New Roman" w:cs="Times New Roman"/>
                      <w:b/>
                      <w:szCs w:val="20"/>
                    </w:rPr>
                  </w:pPr>
                  <w:r w:rsidRPr="00A2171C">
                    <w:rPr>
                      <w:rFonts w:eastAsia="Times New Roman" w:cs="Times New Roman"/>
                      <w:b/>
                      <w:szCs w:val="20"/>
                    </w:rPr>
                    <w:t>Score</w:t>
                  </w:r>
                </w:p>
              </w:tc>
            </w:tr>
            <w:tr w:rsidR="00A2171C" w:rsidRPr="00A2171C" w14:paraId="1C62EC77" w14:textId="77777777" w:rsidTr="00FE0A15">
              <w:trPr>
                <w:jc w:val="center"/>
              </w:trPr>
              <w:tc>
                <w:tcPr>
                  <w:tcW w:w="2381" w:type="dxa"/>
                </w:tcPr>
                <w:p w14:paraId="69A903E1" w14:textId="23076668" w:rsidR="00A46867" w:rsidRPr="00A2171C" w:rsidRDefault="00000000" w:rsidP="00FE0A15">
                  <w:pPr>
                    <w:spacing w:after="0" w:line="240" w:lineRule="auto"/>
                    <w:jc w:val="left"/>
                    <w:rPr>
                      <w:rFonts w:eastAsia="Times New Roman" w:cs="Times New Roman"/>
                      <w:szCs w:val="20"/>
                      <w:lang w:val="en-GB"/>
                    </w:rPr>
                  </w:pPr>
                  <m:oMath>
                    <m:sSub>
                      <m:sSubPr>
                        <m:ctrlPr>
                          <w:rPr>
                            <w:rFonts w:ascii="Cambria Math" w:eastAsia="Times New Roman" w:hAnsi="Cambria Math" w:cs="Times New Roman"/>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C,1</m:t>
                        </m:r>
                      </m:sub>
                    </m:sSub>
                  </m:oMath>
                  <w:r w:rsidR="00A46867" w:rsidRPr="00A2171C">
                    <w:rPr>
                      <w:rFonts w:eastAsia="Times New Roman" w:cs="Times New Roman"/>
                      <w:szCs w:val="20"/>
                      <w:lang w:val="en-GB"/>
                    </w:rPr>
                    <w:t>, External fire combat conditions</w:t>
                  </w:r>
                </w:p>
                <w:p w14:paraId="5FC5B8B1" w14:textId="4B0ED88E" w:rsidR="00A46867" w:rsidRPr="00A2171C" w:rsidRDefault="00000000" w:rsidP="00FE0A15">
                  <w:pPr>
                    <w:spacing w:after="0" w:line="240" w:lineRule="auto"/>
                    <w:jc w:val="left"/>
                    <w:rPr>
                      <w:rFonts w:eastAsia="Times New Roman" w:cs="Times New Roman"/>
                      <w:szCs w:val="20"/>
                      <w:lang w:val="en-GB"/>
                    </w:rPr>
                  </w:pPr>
                  <m:oMathPara>
                    <m:oMath>
                      <m:sSub>
                        <m:sSubPr>
                          <m:ctrlPr>
                            <w:rPr>
                              <w:rFonts w:ascii="Cambria Math" w:eastAsia="Times New Roman" w:hAnsi="Cambria Math" w:cs="Times New Roman"/>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C,1</m:t>
                          </m:r>
                        </m:sub>
                      </m:sSub>
                      <m:r>
                        <m:rPr>
                          <m:sty m:val="p"/>
                        </m:rPr>
                        <w:rPr>
                          <w:rFonts w:ascii="Cambria Math" w:eastAsia="Times New Roman" w:hAnsi="Cambria Math" w:cs="Times New Roman"/>
                          <w:szCs w:val="20"/>
                          <w:lang w:val="en-GB"/>
                        </w:rPr>
                        <m:t xml:space="preserve">= </m:t>
                      </m:r>
                      <m:d>
                        <m:dPr>
                          <m:begChr m:val="["/>
                          <m:endChr m:val="]"/>
                          <m:ctrlPr>
                            <w:rPr>
                              <w:rFonts w:ascii="Cambria Math" w:eastAsia="Times New Roman" w:hAnsi="Cambria Math" w:cs="Times New Roman"/>
                              <w:szCs w:val="20"/>
                              <w:lang w:val="en-GB"/>
                            </w:rPr>
                          </m:ctrlPr>
                        </m:dPr>
                        <m:e>
                          <m:f>
                            <m:fPr>
                              <m:ctrlPr>
                                <w:rPr>
                                  <w:rFonts w:ascii="Cambria Math" w:eastAsia="Times New Roman" w:hAnsi="Cambria Math" w:cs="Times New Roman"/>
                                  <w:szCs w:val="20"/>
                                  <w:lang w:val="en-GB"/>
                                </w:rPr>
                              </m:ctrlPr>
                            </m:fPr>
                            <m:num>
                              <m:sSub>
                                <m:sSubPr>
                                  <m:ctrlPr>
                                    <w:rPr>
                                      <w:rFonts w:ascii="Cambria Math" w:eastAsia="Times New Roman" w:hAnsi="Cambria Math" w:cs="Times New Roman"/>
                                      <w:szCs w:val="20"/>
                                      <w:lang w:val="en-GB"/>
                                    </w:rPr>
                                  </m:ctrlPr>
                                </m:sSubPr>
                                <m:e>
                                  <m:r>
                                    <m:rPr>
                                      <m:sty m:val="p"/>
                                    </m:rPr>
                                    <w:rPr>
                                      <w:rFonts w:ascii="Cambria Math" w:eastAsia="Times New Roman" w:hAnsi="Cambria Math" w:cs="Times New Roman"/>
                                      <w:szCs w:val="20"/>
                                      <w:lang w:val="en-GB"/>
                                    </w:rPr>
                                    <m:t>C</m:t>
                                  </m:r>
                                </m:e>
                                <m:sub>
                                  <m:r>
                                    <m:rPr>
                                      <m:sty m:val="p"/>
                                    </m:rPr>
                                    <w:rPr>
                                      <w:rFonts w:ascii="Cambria Math" w:eastAsia="Times New Roman" w:hAnsi="Cambria Math" w:cs="Times New Roman"/>
                                      <w:szCs w:val="20"/>
                                      <w:lang w:val="en-GB"/>
                                    </w:rPr>
                                    <m:t>1,1</m:t>
                                  </m:r>
                                </m:sub>
                              </m:sSub>
                              <m:r>
                                <m:rPr>
                                  <m:sty m:val="p"/>
                                </m:rPr>
                                <w:rPr>
                                  <w:rFonts w:ascii="Cambria Math" w:eastAsia="Times New Roman" w:hAnsi="Cambria Math" w:cs="Times New Roman"/>
                                  <w:szCs w:val="20"/>
                                  <w:lang w:val="en-GB"/>
                                </w:rPr>
                                <m:t xml:space="preserve"> </m:t>
                              </m:r>
                              <m:sSub>
                                <m:sSubPr>
                                  <m:ctrlPr>
                                    <w:rPr>
                                      <w:rFonts w:ascii="Cambria Math" w:eastAsia="Times New Roman" w:hAnsi="Cambria Math" w:cs="Times New Roman"/>
                                      <w:szCs w:val="20"/>
                                      <w:lang w:val="en-GB"/>
                                    </w:rPr>
                                  </m:ctrlPr>
                                </m:sSubPr>
                                <m:e>
                                  <m:r>
                                    <m:rPr>
                                      <m:sty m:val="p"/>
                                    </m:rPr>
                                    <w:rPr>
                                      <w:rFonts w:ascii="Cambria Math" w:eastAsia="Times New Roman" w:hAnsi="Cambria Math" w:cs="Times New Roman"/>
                                      <w:szCs w:val="20"/>
                                      <w:lang w:val="en-GB"/>
                                    </w:rPr>
                                    <m:t>C</m:t>
                                  </m:r>
                                </m:e>
                                <m:sub>
                                  <m:r>
                                    <m:rPr>
                                      <m:sty m:val="p"/>
                                    </m:rPr>
                                    <w:rPr>
                                      <w:rFonts w:ascii="Cambria Math" w:eastAsia="Times New Roman" w:hAnsi="Cambria Math" w:cs="Times New Roman"/>
                                      <w:szCs w:val="20"/>
                                      <w:lang w:val="en-GB"/>
                                    </w:rPr>
                                    <m:t>1,2</m:t>
                                  </m:r>
                                </m:sub>
                              </m:sSub>
                            </m:num>
                            <m:den>
                              <m:r>
                                <m:rPr>
                                  <m:sty m:val="p"/>
                                </m:rPr>
                                <w:rPr>
                                  <w:rFonts w:ascii="Cambria Math" w:eastAsia="Times New Roman" w:hAnsi="Cambria Math" w:cs="Times New Roman"/>
                                  <w:szCs w:val="20"/>
                                  <w:lang w:val="en-GB"/>
                                </w:rPr>
                                <m:t>2</m:t>
                              </m:r>
                            </m:den>
                          </m:f>
                        </m:e>
                      </m:d>
                      <m:r>
                        <m:rPr>
                          <m:sty m:val="p"/>
                        </m:rPr>
                        <w:rPr>
                          <w:rFonts w:ascii="Cambria Math" w:eastAsia="Times New Roman" w:hAnsi="Cambria Math" w:cs="Times New Roman"/>
                          <w:szCs w:val="20"/>
                          <w:lang w:val="en-GB"/>
                        </w:rPr>
                        <m:t xml:space="preserve"> </m:t>
                      </m:r>
                      <m:sSub>
                        <m:sSubPr>
                          <m:ctrlPr>
                            <w:rPr>
                              <w:rFonts w:ascii="Cambria Math" w:eastAsia="Times New Roman" w:hAnsi="Cambria Math" w:cs="Times New Roman"/>
                              <w:szCs w:val="20"/>
                              <w:lang w:val="en-GB"/>
                            </w:rPr>
                          </m:ctrlPr>
                        </m:sSubPr>
                        <m:e>
                          <m:r>
                            <m:rPr>
                              <m:sty m:val="p"/>
                            </m:rPr>
                            <w:rPr>
                              <w:rFonts w:ascii="Cambria Math" w:eastAsia="Times New Roman" w:hAnsi="Cambria Math" w:cs="Times New Roman"/>
                              <w:szCs w:val="20"/>
                              <w:lang w:val="en-GB"/>
                            </w:rPr>
                            <m:t>C</m:t>
                          </m:r>
                        </m:e>
                        <m:sub>
                          <m:r>
                            <m:rPr>
                              <m:sty m:val="p"/>
                            </m:rPr>
                            <w:rPr>
                              <w:rFonts w:ascii="Cambria Math" w:eastAsia="Times New Roman" w:hAnsi="Cambria Math" w:cs="Times New Roman"/>
                              <w:szCs w:val="20"/>
                              <w:lang w:val="en-GB"/>
                            </w:rPr>
                            <m:t>1,3</m:t>
                          </m:r>
                        </m:sub>
                      </m:sSub>
                    </m:oMath>
                  </m:oMathPara>
                </w:p>
              </w:tc>
              <w:tc>
                <w:tcPr>
                  <w:tcW w:w="5783" w:type="dxa"/>
                </w:tcPr>
                <w:p w14:paraId="3F4B549D" w14:textId="77777777" w:rsidR="00A46867" w:rsidRPr="00A2171C" w:rsidRDefault="00A46867" w:rsidP="0015439E">
                  <w:pPr>
                    <w:spacing w:after="0" w:line="240" w:lineRule="auto"/>
                    <w:jc w:val="center"/>
                    <w:rPr>
                      <w:rFonts w:eastAsia="Times New Roman" w:cs="Times New Roman"/>
                      <w:b/>
                      <w:szCs w:val="20"/>
                      <w:vertAlign w:val="subscript"/>
                      <w:lang w:val="en-GB"/>
                    </w:rPr>
                  </w:pPr>
                  <w:r w:rsidRPr="00A2171C">
                    <w:rPr>
                      <w:rFonts w:eastAsia="Times New Roman" w:cs="Times New Roman"/>
                      <w:b/>
                      <w:szCs w:val="20"/>
                      <w:lang w:val="en-GB"/>
                    </w:rPr>
                    <w:t>C</w:t>
                  </w:r>
                  <w:r w:rsidRPr="00A2171C">
                    <w:rPr>
                      <w:rFonts w:eastAsia="Times New Roman" w:cs="Times New Roman"/>
                      <w:b/>
                      <w:szCs w:val="20"/>
                      <w:vertAlign w:val="subscript"/>
                      <w:lang w:val="en-GB"/>
                    </w:rPr>
                    <w:t xml:space="preserve">1,1 </w:t>
                  </w:r>
                </w:p>
                <w:tbl>
                  <w:tblPr>
                    <w:tblW w:w="0" w:type="auto"/>
                    <w:tblLook w:val="04A0" w:firstRow="1" w:lastRow="0" w:firstColumn="1" w:lastColumn="0" w:noHBand="0" w:noVBand="1"/>
                  </w:tblPr>
                  <w:tblGrid>
                    <w:gridCol w:w="1234"/>
                    <w:gridCol w:w="1493"/>
                    <w:gridCol w:w="1371"/>
                    <w:gridCol w:w="1363"/>
                  </w:tblGrid>
                  <w:tr w:rsidR="00A2171C" w:rsidRPr="00A2171C" w14:paraId="777CAEC7" w14:textId="77777777" w:rsidTr="00BA2612">
                    <w:tc>
                      <w:tcPr>
                        <w:tcW w:w="1248" w:type="dxa"/>
                      </w:tcPr>
                      <w:p w14:paraId="47F9DD9B" w14:textId="77777777" w:rsidR="00A46867" w:rsidRPr="00A2171C" w:rsidRDefault="00A46867" w:rsidP="00FE0A15">
                        <w:pPr>
                          <w:spacing w:after="0" w:line="240" w:lineRule="auto"/>
                          <w:jc w:val="left"/>
                          <w:rPr>
                            <w:rFonts w:eastAsia="Times New Roman" w:cs="Times New Roman"/>
                            <w:b/>
                            <w:bCs/>
                            <w:lang w:val="en-GB"/>
                          </w:rPr>
                        </w:pPr>
                        <w:r w:rsidRPr="00A2171C">
                          <w:rPr>
                            <w:rFonts w:eastAsia="Gungsuh" w:cs="Times New Roman"/>
                            <w:lang w:val="en-GB"/>
                          </w:rPr>
                          <w:t>Building height (m)</w:t>
                        </w:r>
                      </w:p>
                    </w:tc>
                    <w:tc>
                      <w:tcPr>
                        <w:tcW w:w="1530" w:type="dxa"/>
                      </w:tcPr>
                      <w:p w14:paraId="57B76397" w14:textId="77777777" w:rsidR="00A46867" w:rsidRPr="00A2171C" w:rsidRDefault="00A46867" w:rsidP="0015439E">
                        <w:pPr>
                          <w:spacing w:after="0" w:line="240" w:lineRule="auto"/>
                          <w:jc w:val="center"/>
                          <w:rPr>
                            <w:rFonts w:eastAsia="Times New Roman" w:cs="Times New Roman"/>
                            <w:b/>
                            <w:bCs/>
                            <w:lang w:val="en-GB"/>
                          </w:rPr>
                        </w:pPr>
                        <w:r w:rsidRPr="00A2171C">
                          <w:rPr>
                            <w:rFonts w:eastAsia="Gungsuh" w:cs="Times New Roman"/>
                            <w:lang w:val="en-GB"/>
                          </w:rPr>
                          <w:t>Street width (m)</w:t>
                        </w:r>
                      </w:p>
                    </w:tc>
                    <w:tc>
                      <w:tcPr>
                        <w:tcW w:w="1389" w:type="dxa"/>
                      </w:tcPr>
                      <w:p w14:paraId="3174815B" w14:textId="77777777" w:rsidR="00A46867" w:rsidRPr="00A2171C" w:rsidRDefault="00A46867" w:rsidP="0015439E">
                        <w:pPr>
                          <w:spacing w:after="0" w:line="240" w:lineRule="auto"/>
                          <w:jc w:val="center"/>
                          <w:rPr>
                            <w:rFonts w:eastAsia="Times New Roman" w:cs="Times New Roman"/>
                            <w:b/>
                            <w:bCs/>
                            <w:lang w:val="en-GB"/>
                          </w:rPr>
                        </w:pPr>
                        <w:r w:rsidRPr="00A2171C">
                          <w:rPr>
                            <w:rFonts w:eastAsia="Times New Roman" w:cs="Times New Roman"/>
                            <w:lang w:val="en-GB"/>
                          </w:rPr>
                          <w:t>Street clearance height (m)</w:t>
                        </w:r>
                      </w:p>
                    </w:tc>
                    <w:tc>
                      <w:tcPr>
                        <w:tcW w:w="1390" w:type="dxa"/>
                      </w:tcPr>
                      <w:p w14:paraId="5D93504E" w14:textId="77777777" w:rsidR="00A46867" w:rsidRPr="00A2171C" w:rsidRDefault="00A46867" w:rsidP="0015439E">
                        <w:pPr>
                          <w:spacing w:after="0" w:line="240" w:lineRule="auto"/>
                          <w:jc w:val="center"/>
                          <w:rPr>
                            <w:rFonts w:eastAsia="Times New Roman" w:cs="Times New Roman"/>
                            <w:b/>
                            <w:bCs/>
                            <w:lang w:val="en-GB"/>
                          </w:rPr>
                        </w:pPr>
                        <w:r w:rsidRPr="00A2171C">
                          <w:rPr>
                            <w:rFonts w:eastAsia="Times New Roman" w:cs="Times New Roman"/>
                            <w:lang w:val="en-GB"/>
                          </w:rPr>
                          <w:t>Slope of the street (%)</w:t>
                        </w:r>
                      </w:p>
                    </w:tc>
                  </w:tr>
                  <w:tr w:rsidR="00A2171C" w:rsidRPr="00A2171C" w14:paraId="7DAC0323" w14:textId="77777777" w:rsidTr="00BA2612">
                    <w:tc>
                      <w:tcPr>
                        <w:tcW w:w="1248" w:type="dxa"/>
                        <w:vMerge w:val="restart"/>
                      </w:tcPr>
                      <w:p w14:paraId="0549FE75" w14:textId="77777777" w:rsidR="00A46867" w:rsidRPr="00A2171C" w:rsidRDefault="00A46867" w:rsidP="0015439E">
                        <w:pPr>
                          <w:spacing w:after="0" w:line="240" w:lineRule="auto"/>
                          <w:jc w:val="center"/>
                          <w:rPr>
                            <w:rFonts w:eastAsia="Times New Roman" w:cs="Times New Roman"/>
                            <w:b/>
                            <w:bCs/>
                            <w:lang w:val="en-GB"/>
                          </w:rPr>
                        </w:pPr>
                        <w:r w:rsidRPr="00A2171C">
                          <w:rPr>
                            <w:rFonts w:eastAsia="Gungsuh" w:cs="Times New Roman"/>
                            <w:lang w:val="en-GB"/>
                          </w:rPr>
                          <w:t>≤ 9.00</w:t>
                        </w:r>
                      </w:p>
                    </w:tc>
                    <w:tc>
                      <w:tcPr>
                        <w:tcW w:w="1530" w:type="dxa"/>
                      </w:tcPr>
                      <w:p w14:paraId="02B39338"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3.5</w:t>
                        </w:r>
                      </w:p>
                    </w:tc>
                    <w:tc>
                      <w:tcPr>
                        <w:tcW w:w="1389" w:type="dxa"/>
                      </w:tcPr>
                      <w:p w14:paraId="3E236E1C"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4.0</w:t>
                        </w:r>
                      </w:p>
                    </w:tc>
                    <w:tc>
                      <w:tcPr>
                        <w:tcW w:w="1390" w:type="dxa"/>
                      </w:tcPr>
                      <w:p w14:paraId="70440CCD" w14:textId="77777777" w:rsidR="00A46867" w:rsidRPr="00A2171C" w:rsidRDefault="00A46867" w:rsidP="0015439E">
                        <w:pPr>
                          <w:spacing w:after="0" w:line="240" w:lineRule="auto"/>
                          <w:jc w:val="center"/>
                          <w:rPr>
                            <w:rFonts w:eastAsia="Times New Roman" w:cs="Times New Roman"/>
                            <w:lang w:val="en-GB"/>
                          </w:rPr>
                        </w:pPr>
                        <w:r w:rsidRPr="00A2171C">
                          <w:rPr>
                            <w:rFonts w:eastAsia="Times New Roman" w:cs="Times New Roman"/>
                            <w:lang w:val="en-GB"/>
                          </w:rPr>
                          <w:t>≤15.00</w:t>
                        </w:r>
                      </w:p>
                    </w:tc>
                  </w:tr>
                  <w:tr w:rsidR="00A2171C" w:rsidRPr="00A2171C" w14:paraId="6BE424A1" w14:textId="77777777" w:rsidTr="00BA2612">
                    <w:tc>
                      <w:tcPr>
                        <w:tcW w:w="1248" w:type="dxa"/>
                        <w:vMerge/>
                      </w:tcPr>
                      <w:p w14:paraId="4B0160DB" w14:textId="77777777" w:rsidR="00A46867" w:rsidRPr="00A2171C" w:rsidRDefault="00A46867" w:rsidP="0015439E">
                        <w:pPr>
                          <w:spacing w:after="0" w:line="240" w:lineRule="auto"/>
                          <w:jc w:val="center"/>
                          <w:rPr>
                            <w:rFonts w:eastAsia="Times New Roman" w:cs="Times New Roman"/>
                            <w:b/>
                            <w:bCs/>
                            <w:lang w:val="en-GB"/>
                          </w:rPr>
                        </w:pPr>
                      </w:p>
                    </w:tc>
                    <w:tc>
                      <w:tcPr>
                        <w:tcW w:w="1530" w:type="dxa"/>
                      </w:tcPr>
                      <w:p w14:paraId="0EED973D"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3.5</w:t>
                        </w:r>
                      </w:p>
                    </w:tc>
                    <w:tc>
                      <w:tcPr>
                        <w:tcW w:w="1389" w:type="dxa"/>
                      </w:tcPr>
                      <w:p w14:paraId="4BCFC54B"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4.0</w:t>
                        </w:r>
                      </w:p>
                    </w:tc>
                    <w:tc>
                      <w:tcPr>
                        <w:tcW w:w="1390" w:type="dxa"/>
                      </w:tcPr>
                      <w:p w14:paraId="7CD0A8AE" w14:textId="77777777" w:rsidR="00A46867" w:rsidRPr="00A2171C" w:rsidRDefault="00A46867" w:rsidP="0015439E">
                        <w:pPr>
                          <w:spacing w:after="0" w:line="240" w:lineRule="auto"/>
                          <w:jc w:val="center"/>
                          <w:rPr>
                            <w:rFonts w:eastAsia="Times New Roman" w:cs="Times New Roman"/>
                            <w:b/>
                            <w:lang w:val="en-GB"/>
                          </w:rPr>
                        </w:pPr>
                        <w:r w:rsidRPr="00A2171C">
                          <w:rPr>
                            <w:rFonts w:eastAsia="Times New Roman" w:cs="Times New Roman"/>
                            <w:lang w:val="en-GB"/>
                          </w:rPr>
                          <w:t>&gt;15.00</w:t>
                        </w:r>
                      </w:p>
                    </w:tc>
                  </w:tr>
                  <w:tr w:rsidR="00A2171C" w:rsidRPr="00A2171C" w14:paraId="296D1250" w14:textId="77777777" w:rsidTr="00BA2612">
                    <w:tc>
                      <w:tcPr>
                        <w:tcW w:w="1248" w:type="dxa"/>
                        <w:vMerge w:val="restart"/>
                      </w:tcPr>
                      <w:p w14:paraId="2A5E136D" w14:textId="77777777" w:rsidR="00A46867" w:rsidRPr="00A2171C" w:rsidRDefault="00A46867" w:rsidP="0015439E">
                        <w:pPr>
                          <w:spacing w:after="0" w:line="240" w:lineRule="auto"/>
                          <w:jc w:val="center"/>
                          <w:rPr>
                            <w:rFonts w:eastAsia="Times New Roman" w:cs="Times New Roman"/>
                            <w:b/>
                            <w:bCs/>
                            <w:lang w:val="en-GB"/>
                          </w:rPr>
                        </w:pPr>
                        <w:r w:rsidRPr="00A2171C">
                          <w:rPr>
                            <w:rFonts w:eastAsia="Gungsuh" w:cs="Times New Roman"/>
                            <w:lang w:val="en-GB"/>
                          </w:rPr>
                          <w:t>&gt; 9.00</w:t>
                        </w:r>
                      </w:p>
                    </w:tc>
                    <w:tc>
                      <w:tcPr>
                        <w:tcW w:w="1530" w:type="dxa"/>
                      </w:tcPr>
                      <w:p w14:paraId="761BF577"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6.0</w:t>
                        </w:r>
                      </w:p>
                    </w:tc>
                    <w:tc>
                      <w:tcPr>
                        <w:tcW w:w="1389" w:type="dxa"/>
                      </w:tcPr>
                      <w:p w14:paraId="29A4D144"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5.0</w:t>
                        </w:r>
                      </w:p>
                    </w:tc>
                    <w:tc>
                      <w:tcPr>
                        <w:tcW w:w="1390" w:type="dxa"/>
                      </w:tcPr>
                      <w:p w14:paraId="32FCDB12" w14:textId="77777777" w:rsidR="00A46867" w:rsidRPr="00A2171C" w:rsidRDefault="00A46867" w:rsidP="0015439E">
                        <w:pPr>
                          <w:spacing w:after="0" w:line="240" w:lineRule="auto"/>
                          <w:jc w:val="center"/>
                          <w:rPr>
                            <w:rFonts w:eastAsia="Times New Roman" w:cs="Times New Roman"/>
                            <w:b/>
                            <w:lang w:val="en-GB"/>
                          </w:rPr>
                        </w:pPr>
                        <w:r w:rsidRPr="00A2171C">
                          <w:rPr>
                            <w:rFonts w:eastAsia="Times New Roman" w:cs="Times New Roman"/>
                            <w:lang w:val="en-GB"/>
                          </w:rPr>
                          <w:t>≤10.00</w:t>
                        </w:r>
                      </w:p>
                    </w:tc>
                  </w:tr>
                  <w:tr w:rsidR="00A2171C" w:rsidRPr="00A2171C" w14:paraId="5C11EA46" w14:textId="77777777" w:rsidTr="00BA2612">
                    <w:tc>
                      <w:tcPr>
                        <w:tcW w:w="1248" w:type="dxa"/>
                        <w:vMerge/>
                      </w:tcPr>
                      <w:p w14:paraId="5864598F" w14:textId="77777777" w:rsidR="00A46867" w:rsidRPr="00A2171C" w:rsidRDefault="00A46867" w:rsidP="0015439E">
                        <w:pPr>
                          <w:spacing w:after="0" w:line="240" w:lineRule="auto"/>
                          <w:jc w:val="center"/>
                          <w:rPr>
                            <w:rFonts w:eastAsia="Times New Roman" w:cs="Times New Roman"/>
                            <w:b/>
                            <w:bCs/>
                            <w:lang w:val="en-GB"/>
                          </w:rPr>
                        </w:pPr>
                      </w:p>
                    </w:tc>
                    <w:tc>
                      <w:tcPr>
                        <w:tcW w:w="1530" w:type="dxa"/>
                      </w:tcPr>
                      <w:p w14:paraId="1CCC9C44"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6.0</w:t>
                        </w:r>
                      </w:p>
                    </w:tc>
                    <w:tc>
                      <w:tcPr>
                        <w:tcW w:w="1389" w:type="dxa"/>
                      </w:tcPr>
                      <w:p w14:paraId="7093A3F5" w14:textId="77777777" w:rsidR="00A46867" w:rsidRPr="00A2171C" w:rsidRDefault="00A46867" w:rsidP="0015439E">
                        <w:pPr>
                          <w:spacing w:after="0" w:line="240" w:lineRule="auto"/>
                          <w:jc w:val="center"/>
                          <w:rPr>
                            <w:rFonts w:eastAsia="Times New Roman" w:cs="Times New Roman"/>
                            <w:b/>
                            <w:lang w:val="en-GB"/>
                          </w:rPr>
                        </w:pPr>
                        <w:r w:rsidRPr="00A2171C">
                          <w:rPr>
                            <w:rFonts w:eastAsia="Gungsuh" w:cs="Times New Roman"/>
                            <w:lang w:val="en-GB"/>
                          </w:rPr>
                          <w:t>≥ 5.0</w:t>
                        </w:r>
                      </w:p>
                    </w:tc>
                    <w:tc>
                      <w:tcPr>
                        <w:tcW w:w="1390" w:type="dxa"/>
                      </w:tcPr>
                      <w:p w14:paraId="6B05E43D" w14:textId="77777777" w:rsidR="00A46867" w:rsidRPr="00A2171C" w:rsidRDefault="00A46867" w:rsidP="0015439E">
                        <w:pPr>
                          <w:spacing w:after="0" w:line="240" w:lineRule="auto"/>
                          <w:jc w:val="center"/>
                          <w:rPr>
                            <w:rFonts w:eastAsia="Times New Roman" w:cs="Times New Roman"/>
                            <w:b/>
                            <w:lang w:val="en-GB"/>
                          </w:rPr>
                        </w:pPr>
                        <w:r w:rsidRPr="00A2171C">
                          <w:rPr>
                            <w:rFonts w:eastAsia="Times New Roman" w:cs="Times New Roman"/>
                            <w:lang w:val="en-GB"/>
                          </w:rPr>
                          <w:t>&gt;10.00</w:t>
                        </w:r>
                      </w:p>
                    </w:tc>
                  </w:tr>
                </w:tbl>
                <w:p w14:paraId="365571D9" w14:textId="77777777" w:rsidR="00A46867" w:rsidRPr="00A2171C" w:rsidRDefault="00A46867" w:rsidP="0015439E">
                  <w:pPr>
                    <w:spacing w:after="0" w:line="240" w:lineRule="auto"/>
                    <w:jc w:val="center"/>
                    <w:rPr>
                      <w:rFonts w:eastAsia="Times New Roman" w:cs="Times New Roman"/>
                      <w:szCs w:val="20"/>
                      <w:vertAlign w:val="subscript"/>
                      <w:lang w:val="en-GB"/>
                    </w:rPr>
                  </w:pPr>
                  <w:r w:rsidRPr="00A2171C">
                    <w:rPr>
                      <w:rFonts w:eastAsia="Times New Roman" w:cs="Times New Roman"/>
                      <w:b/>
                      <w:szCs w:val="20"/>
                      <w:lang w:val="en-GB"/>
                    </w:rPr>
                    <w:t>C</w:t>
                  </w:r>
                  <w:r w:rsidRPr="00A2171C">
                    <w:rPr>
                      <w:rFonts w:eastAsia="Times New Roman" w:cs="Times New Roman"/>
                      <w:b/>
                      <w:szCs w:val="20"/>
                      <w:vertAlign w:val="subscript"/>
                      <w:lang w:val="en-GB"/>
                    </w:rPr>
                    <w:t>1,2</w:t>
                  </w:r>
                  <w:r w:rsidRPr="00A2171C">
                    <w:rPr>
                      <w:rFonts w:eastAsia="Times New Roman" w:cs="Times New Roman"/>
                      <w:szCs w:val="20"/>
                      <w:vertAlign w:val="subscript"/>
                      <w:lang w:val="en-GB"/>
                    </w:rPr>
                    <w:t xml:space="preserve"> </w:t>
                  </w:r>
                </w:p>
                <w:tbl>
                  <w:tblPr>
                    <w:tblW w:w="0" w:type="auto"/>
                    <w:tblLook w:val="04A0" w:firstRow="1" w:lastRow="0" w:firstColumn="1" w:lastColumn="0" w:noHBand="0" w:noVBand="1"/>
                  </w:tblPr>
                  <w:tblGrid>
                    <w:gridCol w:w="2729"/>
                    <w:gridCol w:w="2732"/>
                  </w:tblGrid>
                  <w:tr w:rsidR="00A2171C" w:rsidRPr="00A2171C" w14:paraId="1D3BA475" w14:textId="77777777" w:rsidTr="00BA2612">
                    <w:tc>
                      <w:tcPr>
                        <w:tcW w:w="2778" w:type="dxa"/>
                      </w:tcPr>
                      <w:p w14:paraId="06FD5353" w14:textId="77777777" w:rsidR="00A46867" w:rsidRPr="00A2171C" w:rsidRDefault="00A46867" w:rsidP="0015439E">
                        <w:pPr>
                          <w:spacing w:after="0" w:line="240" w:lineRule="auto"/>
                          <w:jc w:val="left"/>
                          <w:rPr>
                            <w:rFonts w:eastAsia="Times New Roman" w:cs="Times New Roman"/>
                            <w:b/>
                            <w:bCs/>
                            <w:lang w:val="en-GB"/>
                          </w:rPr>
                        </w:pPr>
                        <w:r w:rsidRPr="00A2171C">
                          <w:rPr>
                            <w:rFonts w:eastAsia="Gungsuh" w:cs="Times New Roman"/>
                            <w:lang w:val="en-GB"/>
                          </w:rPr>
                          <w:t xml:space="preserve">Hydrant distance </w:t>
                        </w:r>
                      </w:p>
                    </w:tc>
                    <w:tc>
                      <w:tcPr>
                        <w:tcW w:w="2779" w:type="dxa"/>
                      </w:tcPr>
                      <w:p w14:paraId="3F724130" w14:textId="77777777" w:rsidR="00A46867" w:rsidRPr="00A2171C" w:rsidRDefault="00A46867" w:rsidP="0015439E">
                        <w:pPr>
                          <w:spacing w:after="0" w:line="240" w:lineRule="auto"/>
                          <w:jc w:val="left"/>
                          <w:rPr>
                            <w:rFonts w:eastAsia="Times New Roman" w:cs="Times New Roman"/>
                            <w:b/>
                            <w:bCs/>
                            <w:lang w:val="en-GB"/>
                          </w:rPr>
                        </w:pPr>
                        <w:r w:rsidRPr="00A2171C">
                          <w:rPr>
                            <w:rFonts w:eastAsia="Times New Roman" w:cs="Times New Roman"/>
                            <w:lang w:val="en-GB"/>
                          </w:rPr>
                          <w:t>Fire reel existence</w:t>
                        </w:r>
                      </w:p>
                    </w:tc>
                  </w:tr>
                  <w:tr w:rsidR="00A2171C" w:rsidRPr="00A2171C" w14:paraId="622002A5" w14:textId="77777777" w:rsidTr="00BA2612">
                    <w:tc>
                      <w:tcPr>
                        <w:tcW w:w="2778" w:type="dxa"/>
                      </w:tcPr>
                      <w:p w14:paraId="1420E410" w14:textId="77777777" w:rsidR="00A46867" w:rsidRPr="00A2171C" w:rsidRDefault="00A46867" w:rsidP="0015439E">
                        <w:pPr>
                          <w:spacing w:after="0" w:line="240" w:lineRule="auto"/>
                          <w:jc w:val="left"/>
                          <w:rPr>
                            <w:rFonts w:eastAsia="Times New Roman" w:cs="Times New Roman"/>
                            <w:b/>
                            <w:bCs/>
                            <w:lang w:val="en-GB"/>
                          </w:rPr>
                        </w:pPr>
                        <w:r w:rsidRPr="00A2171C">
                          <w:rPr>
                            <w:rFonts w:eastAsia="Gungsuh" w:cs="Times New Roman"/>
                            <w:lang w:val="en-GB"/>
                          </w:rPr>
                          <w:t xml:space="preserve">≤ </w:t>
                        </w:r>
                        <w:r w:rsidRPr="00A2171C">
                          <w:rPr>
                            <w:rFonts w:eastAsia="Times New Roman" w:cs="Times New Roman"/>
                            <w:lang w:val="en-GB"/>
                          </w:rPr>
                          <w:t>100 m</w:t>
                        </w:r>
                      </w:p>
                    </w:tc>
                    <w:tc>
                      <w:tcPr>
                        <w:tcW w:w="2779" w:type="dxa"/>
                      </w:tcPr>
                      <w:p w14:paraId="4CD9FF32" w14:textId="77777777" w:rsidR="00A46867" w:rsidRPr="00A2171C" w:rsidRDefault="00A46867" w:rsidP="0015439E">
                        <w:pPr>
                          <w:spacing w:after="0" w:line="240" w:lineRule="auto"/>
                          <w:jc w:val="left"/>
                          <w:rPr>
                            <w:rFonts w:eastAsia="Times New Roman" w:cs="Times New Roman"/>
                            <w:lang w:val="en-GB"/>
                          </w:rPr>
                        </w:pPr>
                        <w:r w:rsidRPr="00A2171C">
                          <w:rPr>
                            <w:rFonts w:eastAsia="Times New Roman" w:cs="Times New Roman"/>
                            <w:lang w:val="en-GB"/>
                          </w:rPr>
                          <w:t>No</w:t>
                        </w:r>
                      </w:p>
                    </w:tc>
                  </w:tr>
                  <w:tr w:rsidR="00A2171C" w:rsidRPr="00A2171C" w14:paraId="7B20DF4D" w14:textId="77777777" w:rsidTr="00BA2612">
                    <w:tc>
                      <w:tcPr>
                        <w:tcW w:w="2778" w:type="dxa"/>
                        <w:vMerge w:val="restart"/>
                      </w:tcPr>
                      <w:p w14:paraId="011259D9" w14:textId="77777777" w:rsidR="00A46867" w:rsidRPr="00A2171C" w:rsidRDefault="00A46867" w:rsidP="0015439E">
                        <w:pPr>
                          <w:spacing w:after="0" w:line="240" w:lineRule="auto"/>
                          <w:jc w:val="left"/>
                          <w:rPr>
                            <w:rFonts w:eastAsia="Times New Roman" w:cs="Times New Roman"/>
                            <w:b/>
                            <w:bCs/>
                            <w:lang w:val="en-GB"/>
                          </w:rPr>
                        </w:pPr>
                        <w:r w:rsidRPr="00A2171C">
                          <w:rPr>
                            <w:rFonts w:eastAsia="Times New Roman" w:cs="Times New Roman"/>
                            <w:lang w:val="en-GB"/>
                          </w:rPr>
                          <w:t>&gt; 100 m</w:t>
                        </w:r>
                      </w:p>
                    </w:tc>
                    <w:tc>
                      <w:tcPr>
                        <w:tcW w:w="2779" w:type="dxa"/>
                      </w:tcPr>
                      <w:p w14:paraId="380D8E82" w14:textId="77777777" w:rsidR="00A46867" w:rsidRPr="00A2171C" w:rsidRDefault="00A46867" w:rsidP="0015439E">
                        <w:pPr>
                          <w:spacing w:after="0" w:line="240" w:lineRule="auto"/>
                          <w:jc w:val="left"/>
                          <w:rPr>
                            <w:rFonts w:eastAsia="Times New Roman" w:cs="Times New Roman"/>
                            <w:lang w:val="en-GB"/>
                          </w:rPr>
                        </w:pPr>
                        <w:r w:rsidRPr="00A2171C">
                          <w:rPr>
                            <w:rFonts w:eastAsia="Times New Roman" w:cs="Times New Roman"/>
                            <w:lang w:val="en-GB"/>
                          </w:rPr>
                          <w:t>Yes</w:t>
                        </w:r>
                      </w:p>
                    </w:tc>
                  </w:tr>
                  <w:tr w:rsidR="00A2171C" w:rsidRPr="00A2171C" w14:paraId="62C7F41C" w14:textId="77777777" w:rsidTr="00BA2612">
                    <w:tc>
                      <w:tcPr>
                        <w:tcW w:w="2778" w:type="dxa"/>
                        <w:vMerge/>
                      </w:tcPr>
                      <w:p w14:paraId="37237C9E" w14:textId="77777777" w:rsidR="00A46867" w:rsidRPr="00A2171C" w:rsidRDefault="00A46867" w:rsidP="0015439E">
                        <w:pPr>
                          <w:spacing w:after="0" w:line="240" w:lineRule="auto"/>
                          <w:jc w:val="left"/>
                          <w:rPr>
                            <w:rFonts w:eastAsia="Times New Roman" w:cs="Times New Roman"/>
                            <w:b/>
                            <w:bCs/>
                            <w:lang w:val="en-GB"/>
                          </w:rPr>
                        </w:pPr>
                      </w:p>
                    </w:tc>
                    <w:tc>
                      <w:tcPr>
                        <w:tcW w:w="2779" w:type="dxa"/>
                      </w:tcPr>
                      <w:p w14:paraId="677085C0" w14:textId="77777777" w:rsidR="00A46867" w:rsidRPr="00A2171C" w:rsidRDefault="00A46867" w:rsidP="0015439E">
                        <w:pPr>
                          <w:spacing w:after="0" w:line="240" w:lineRule="auto"/>
                          <w:jc w:val="left"/>
                          <w:rPr>
                            <w:rFonts w:eastAsia="Times New Roman" w:cs="Times New Roman"/>
                            <w:lang w:val="en-GB"/>
                          </w:rPr>
                        </w:pPr>
                        <w:r w:rsidRPr="00A2171C">
                          <w:rPr>
                            <w:rFonts w:eastAsia="Times New Roman" w:cs="Times New Roman"/>
                            <w:lang w:val="en-GB"/>
                          </w:rPr>
                          <w:t>No</w:t>
                        </w:r>
                      </w:p>
                    </w:tc>
                  </w:tr>
                </w:tbl>
                <w:p w14:paraId="2BECBC73" w14:textId="77777777" w:rsidR="00A46867" w:rsidRPr="00A2171C" w:rsidRDefault="00A46867" w:rsidP="0015439E">
                  <w:pPr>
                    <w:spacing w:after="0" w:line="240" w:lineRule="auto"/>
                    <w:jc w:val="center"/>
                    <w:rPr>
                      <w:rFonts w:eastAsia="Times New Roman" w:cs="Times New Roman"/>
                      <w:szCs w:val="20"/>
                      <w:vertAlign w:val="subscript"/>
                      <w:lang w:val="en-GB"/>
                    </w:rPr>
                  </w:pPr>
                  <w:r w:rsidRPr="00A2171C">
                    <w:rPr>
                      <w:rFonts w:eastAsia="Times New Roman" w:cs="Times New Roman"/>
                      <w:b/>
                      <w:szCs w:val="20"/>
                      <w:lang w:val="en-GB"/>
                    </w:rPr>
                    <w:t>C</w:t>
                  </w:r>
                  <w:r w:rsidRPr="00A2171C">
                    <w:rPr>
                      <w:rFonts w:eastAsia="Times New Roman" w:cs="Times New Roman"/>
                      <w:b/>
                      <w:szCs w:val="20"/>
                      <w:vertAlign w:val="subscript"/>
                      <w:lang w:val="en-GB"/>
                    </w:rPr>
                    <w:t>1,3</w:t>
                  </w:r>
                  <w:r w:rsidRPr="00A2171C">
                    <w:rPr>
                      <w:rFonts w:eastAsia="Times New Roman" w:cs="Times New Roman"/>
                      <w:szCs w:val="20"/>
                      <w:vertAlign w:val="subscript"/>
                      <w:lang w:val="en-GB"/>
                    </w:rPr>
                    <w:t xml:space="preserve"> </w:t>
                  </w:r>
                </w:p>
                <w:p w14:paraId="34065F4B" w14:textId="77777777" w:rsidR="00A46867" w:rsidRPr="00A2171C" w:rsidRDefault="00A46867" w:rsidP="0015439E">
                  <w:pPr>
                    <w:spacing w:after="0" w:line="240" w:lineRule="auto"/>
                    <w:rPr>
                      <w:rFonts w:eastAsia="Times New Roman" w:cs="Times New Roman"/>
                      <w:szCs w:val="20"/>
                      <w:lang w:val="en-GB"/>
                    </w:rPr>
                  </w:pPr>
                  <w:r w:rsidRPr="00A2171C">
                    <w:rPr>
                      <w:rFonts w:eastAsia="Times New Roman" w:cs="Times New Roman"/>
                      <w:szCs w:val="20"/>
                      <w:lang w:val="en-GB"/>
                    </w:rPr>
                    <w:t>Reliability of the existing hydraulic network</w:t>
                  </w:r>
                </w:p>
                <w:p w14:paraId="7382A014" w14:textId="77777777" w:rsidR="00A46867" w:rsidRPr="00A2171C" w:rsidRDefault="00A46867" w:rsidP="0015439E">
                  <w:pPr>
                    <w:spacing w:after="0" w:line="240" w:lineRule="auto"/>
                    <w:rPr>
                      <w:rFonts w:eastAsia="Times New Roman" w:cs="Times New Roman"/>
                      <w:szCs w:val="20"/>
                      <w:lang w:val="en-GB"/>
                    </w:rPr>
                  </w:pPr>
                  <w:r w:rsidRPr="00A2171C">
                    <w:rPr>
                      <w:rFonts w:eastAsia="Times New Roman" w:cs="Times New Roman"/>
                      <w:szCs w:val="20"/>
                      <w:lang w:val="en-GB"/>
                    </w:rPr>
                    <w:t>Yes</w:t>
                  </w:r>
                </w:p>
                <w:p w14:paraId="75440551" w14:textId="77777777" w:rsidR="00A46867" w:rsidRPr="00A2171C" w:rsidRDefault="00A46867" w:rsidP="0015439E">
                  <w:pPr>
                    <w:spacing w:after="0" w:line="240" w:lineRule="auto"/>
                    <w:rPr>
                      <w:rFonts w:eastAsia="Times New Roman" w:cs="Times New Roman"/>
                      <w:szCs w:val="20"/>
                      <w:lang w:val="en-GB"/>
                    </w:rPr>
                  </w:pPr>
                  <w:r w:rsidRPr="00A2171C">
                    <w:rPr>
                      <w:rFonts w:eastAsia="Times New Roman" w:cs="Times New Roman"/>
                      <w:szCs w:val="20"/>
                      <w:lang w:val="en-GB"/>
                    </w:rPr>
                    <w:t>No</w:t>
                  </w:r>
                </w:p>
              </w:tc>
              <w:tc>
                <w:tcPr>
                  <w:tcW w:w="646" w:type="dxa"/>
                </w:tcPr>
                <w:p w14:paraId="4D8CDD8D" w14:textId="77777777" w:rsidR="00A46867" w:rsidRPr="00A2171C" w:rsidRDefault="00A46867" w:rsidP="0015439E">
                  <w:pPr>
                    <w:spacing w:before="240" w:after="0" w:line="240" w:lineRule="auto"/>
                    <w:jc w:val="center"/>
                    <w:rPr>
                      <w:rFonts w:eastAsia="Times New Roman" w:cs="Times New Roman"/>
                      <w:szCs w:val="20"/>
                      <w:lang w:val="en-GB"/>
                    </w:rPr>
                  </w:pPr>
                </w:p>
                <w:tbl>
                  <w:tblPr>
                    <w:tblStyle w:val="TableGrid"/>
                    <w:tblW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tblGrid>
                  <w:tr w:rsidR="00A2171C" w:rsidRPr="00A2171C" w14:paraId="2D3DFFB1" w14:textId="77777777" w:rsidTr="00BA2612">
                    <w:tc>
                      <w:tcPr>
                        <w:tcW w:w="571" w:type="dxa"/>
                      </w:tcPr>
                      <w:p w14:paraId="24C0CEE5" w14:textId="77777777" w:rsidR="0015439E" w:rsidRPr="00A2171C" w:rsidRDefault="0015439E" w:rsidP="0015439E">
                        <w:pPr>
                          <w:spacing w:line="240" w:lineRule="auto"/>
                          <w:rPr>
                            <w:rFonts w:eastAsia="Times New Roman" w:cs="Times New Roman"/>
                            <w:szCs w:val="20"/>
                          </w:rPr>
                        </w:pPr>
                      </w:p>
                      <w:p w14:paraId="4685F5D5" w14:textId="77777777" w:rsidR="00A46867" w:rsidRPr="00A2171C" w:rsidRDefault="00A46867" w:rsidP="0015439E">
                        <w:pPr>
                          <w:spacing w:line="240" w:lineRule="auto"/>
                          <w:rPr>
                            <w:rFonts w:eastAsia="Times New Roman" w:cs="Times New Roman"/>
                            <w:szCs w:val="20"/>
                          </w:rPr>
                        </w:pPr>
                      </w:p>
                      <w:p w14:paraId="1C34B630" w14:textId="77777777" w:rsidR="00A46867" w:rsidRPr="00A2171C" w:rsidRDefault="00A46867" w:rsidP="0015439E">
                        <w:pPr>
                          <w:spacing w:line="240" w:lineRule="auto"/>
                          <w:rPr>
                            <w:rFonts w:eastAsia="Times New Roman" w:cs="Times New Roman"/>
                            <w:szCs w:val="20"/>
                          </w:rPr>
                        </w:pPr>
                        <w:r w:rsidRPr="00A2171C">
                          <w:rPr>
                            <w:rFonts w:eastAsia="Times New Roman" w:cs="Times New Roman"/>
                            <w:szCs w:val="20"/>
                          </w:rPr>
                          <w:t>1.00</w:t>
                        </w:r>
                      </w:p>
                    </w:tc>
                  </w:tr>
                  <w:tr w:rsidR="00A2171C" w:rsidRPr="00A2171C" w14:paraId="5C6DCF4D" w14:textId="77777777" w:rsidTr="00BA2612">
                    <w:tc>
                      <w:tcPr>
                        <w:tcW w:w="571" w:type="dxa"/>
                      </w:tcPr>
                      <w:p w14:paraId="3E87023E" w14:textId="77777777" w:rsidR="00A46867" w:rsidRPr="00A2171C" w:rsidRDefault="00A46867" w:rsidP="0015439E">
                        <w:pPr>
                          <w:spacing w:line="240" w:lineRule="auto"/>
                          <w:rPr>
                            <w:rFonts w:eastAsia="Times New Roman" w:cs="Times New Roman"/>
                            <w:szCs w:val="20"/>
                          </w:rPr>
                        </w:pPr>
                        <w:r w:rsidRPr="00A2171C">
                          <w:rPr>
                            <w:rFonts w:eastAsia="Times New Roman" w:cs="Times New Roman"/>
                            <w:szCs w:val="20"/>
                          </w:rPr>
                          <w:t>1.50</w:t>
                        </w:r>
                      </w:p>
                    </w:tc>
                  </w:tr>
                  <w:tr w:rsidR="00A2171C" w:rsidRPr="00A2171C" w14:paraId="285CA8DF" w14:textId="77777777" w:rsidTr="00BA2612">
                    <w:tc>
                      <w:tcPr>
                        <w:tcW w:w="571" w:type="dxa"/>
                      </w:tcPr>
                      <w:p w14:paraId="7BB6A173" w14:textId="77777777" w:rsidR="00A46867" w:rsidRPr="00A2171C" w:rsidRDefault="00A46867" w:rsidP="0015439E">
                        <w:pPr>
                          <w:spacing w:line="240" w:lineRule="auto"/>
                          <w:rPr>
                            <w:rFonts w:eastAsia="Times New Roman" w:cs="Times New Roman"/>
                            <w:szCs w:val="20"/>
                          </w:rPr>
                        </w:pPr>
                        <w:r w:rsidRPr="00A2171C">
                          <w:rPr>
                            <w:rFonts w:eastAsia="Times New Roman" w:cs="Times New Roman"/>
                            <w:szCs w:val="20"/>
                          </w:rPr>
                          <w:t>1.00</w:t>
                        </w:r>
                      </w:p>
                    </w:tc>
                  </w:tr>
                  <w:tr w:rsidR="00A2171C" w:rsidRPr="00A2171C" w14:paraId="48552A75" w14:textId="77777777" w:rsidTr="00BA2612">
                    <w:tc>
                      <w:tcPr>
                        <w:tcW w:w="571" w:type="dxa"/>
                      </w:tcPr>
                      <w:p w14:paraId="05C742AA" w14:textId="77777777" w:rsidR="00A46867" w:rsidRPr="00A2171C" w:rsidRDefault="00A46867" w:rsidP="0015439E">
                        <w:pPr>
                          <w:spacing w:line="240" w:lineRule="auto"/>
                          <w:rPr>
                            <w:rFonts w:eastAsia="Times New Roman" w:cs="Times New Roman"/>
                            <w:szCs w:val="20"/>
                          </w:rPr>
                        </w:pPr>
                        <w:r w:rsidRPr="00A2171C">
                          <w:rPr>
                            <w:rFonts w:eastAsia="Times New Roman" w:cs="Times New Roman"/>
                            <w:szCs w:val="20"/>
                          </w:rPr>
                          <w:t>1.50</w:t>
                        </w:r>
                      </w:p>
                    </w:tc>
                  </w:tr>
                </w:tbl>
                <w:p w14:paraId="064A94E9" w14:textId="77777777" w:rsidR="00A46867" w:rsidRPr="00A2171C" w:rsidRDefault="00A46867" w:rsidP="0015439E">
                  <w:pPr>
                    <w:spacing w:after="0" w:line="240" w:lineRule="auto"/>
                    <w:jc w:val="center"/>
                    <w:rPr>
                      <w:rFonts w:eastAsia="Times New Roman" w:cs="Times New Roman"/>
                      <w:szCs w:val="20"/>
                    </w:rPr>
                  </w:pPr>
                </w:p>
                <w:tbl>
                  <w:tblPr>
                    <w:tblStyle w:val="TableGrid"/>
                    <w:tblW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tblGrid>
                  <w:tr w:rsidR="00A2171C" w:rsidRPr="00A2171C" w14:paraId="7AC3587D" w14:textId="77777777" w:rsidTr="00BA2612">
                    <w:tc>
                      <w:tcPr>
                        <w:tcW w:w="566" w:type="dxa"/>
                      </w:tcPr>
                      <w:p w14:paraId="763F7047" w14:textId="77777777" w:rsidR="00A46867" w:rsidRPr="00A2171C" w:rsidRDefault="00A46867" w:rsidP="0015439E">
                        <w:pPr>
                          <w:spacing w:line="240" w:lineRule="auto"/>
                          <w:jc w:val="center"/>
                          <w:rPr>
                            <w:rFonts w:eastAsia="Times New Roman" w:cs="Times New Roman"/>
                            <w:szCs w:val="20"/>
                          </w:rPr>
                        </w:pPr>
                      </w:p>
                    </w:tc>
                  </w:tr>
                  <w:tr w:rsidR="00A2171C" w:rsidRPr="00A2171C" w14:paraId="6CF97479" w14:textId="77777777" w:rsidTr="00BA2612">
                    <w:tc>
                      <w:tcPr>
                        <w:tcW w:w="566" w:type="dxa"/>
                      </w:tcPr>
                      <w:p w14:paraId="3326A7A0" w14:textId="77777777" w:rsidR="00A46867" w:rsidRPr="00A2171C" w:rsidRDefault="00A46867" w:rsidP="0015439E">
                        <w:pPr>
                          <w:spacing w:line="240" w:lineRule="auto"/>
                          <w:rPr>
                            <w:rFonts w:eastAsia="Times New Roman" w:cs="Times New Roman"/>
                            <w:szCs w:val="20"/>
                          </w:rPr>
                        </w:pPr>
                        <w:r w:rsidRPr="00A2171C">
                          <w:rPr>
                            <w:rFonts w:eastAsia="Times New Roman" w:cs="Times New Roman"/>
                            <w:szCs w:val="20"/>
                          </w:rPr>
                          <w:t>1.00</w:t>
                        </w:r>
                      </w:p>
                    </w:tc>
                  </w:tr>
                  <w:tr w:rsidR="00A2171C" w:rsidRPr="00A2171C" w14:paraId="573CAF43" w14:textId="77777777" w:rsidTr="00BA2612">
                    <w:tc>
                      <w:tcPr>
                        <w:tcW w:w="566" w:type="dxa"/>
                      </w:tcPr>
                      <w:p w14:paraId="38F62D82" w14:textId="77777777" w:rsidR="00A46867" w:rsidRPr="00A2171C" w:rsidRDefault="00A46867" w:rsidP="0015439E">
                        <w:pPr>
                          <w:spacing w:line="240" w:lineRule="auto"/>
                          <w:rPr>
                            <w:rFonts w:eastAsia="Times New Roman" w:cs="Times New Roman"/>
                            <w:szCs w:val="20"/>
                          </w:rPr>
                        </w:pPr>
                        <w:r w:rsidRPr="00A2171C">
                          <w:rPr>
                            <w:rFonts w:eastAsia="Times New Roman" w:cs="Times New Roman"/>
                            <w:szCs w:val="20"/>
                          </w:rPr>
                          <w:t>1.50</w:t>
                        </w:r>
                      </w:p>
                    </w:tc>
                  </w:tr>
                  <w:tr w:rsidR="00A2171C" w:rsidRPr="00A2171C" w14:paraId="39116379" w14:textId="77777777" w:rsidTr="00BA2612">
                    <w:tc>
                      <w:tcPr>
                        <w:tcW w:w="566" w:type="dxa"/>
                      </w:tcPr>
                      <w:p w14:paraId="4E1C91C7" w14:textId="77777777" w:rsidR="00A46867" w:rsidRPr="00A2171C" w:rsidRDefault="00A46867" w:rsidP="0015439E">
                        <w:pPr>
                          <w:spacing w:line="240" w:lineRule="auto"/>
                          <w:rPr>
                            <w:rFonts w:eastAsia="Times New Roman" w:cs="Times New Roman"/>
                            <w:szCs w:val="20"/>
                          </w:rPr>
                        </w:pPr>
                        <w:r w:rsidRPr="00A2171C">
                          <w:rPr>
                            <w:rFonts w:eastAsia="Times New Roman" w:cs="Times New Roman"/>
                            <w:szCs w:val="20"/>
                          </w:rPr>
                          <w:t>2.00</w:t>
                        </w:r>
                      </w:p>
                    </w:tc>
                  </w:tr>
                </w:tbl>
                <w:p w14:paraId="6B21ED2D" w14:textId="77777777" w:rsidR="00A46867" w:rsidRPr="00A2171C" w:rsidRDefault="00A46867" w:rsidP="0015439E">
                  <w:pPr>
                    <w:spacing w:after="0" w:line="240" w:lineRule="auto"/>
                    <w:jc w:val="center"/>
                    <w:rPr>
                      <w:rFonts w:eastAsia="Times New Roman" w:cs="Times New Roman"/>
                      <w:szCs w:val="20"/>
                    </w:rPr>
                  </w:pPr>
                </w:p>
                <w:p w14:paraId="0F94B77C" w14:textId="77777777" w:rsidR="00A46867" w:rsidRPr="00A2171C" w:rsidRDefault="00A46867" w:rsidP="0015439E">
                  <w:pPr>
                    <w:spacing w:after="0" w:line="240" w:lineRule="auto"/>
                    <w:jc w:val="center"/>
                    <w:rPr>
                      <w:rFonts w:eastAsia="Times New Roman" w:cs="Times New Roman"/>
                      <w:szCs w:val="20"/>
                    </w:rPr>
                  </w:pPr>
                </w:p>
                <w:p w14:paraId="574FC552"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1.00</w:t>
                  </w:r>
                </w:p>
                <w:p w14:paraId="2A51BA40"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2.00</w:t>
                  </w:r>
                </w:p>
              </w:tc>
            </w:tr>
            <w:tr w:rsidR="00A2171C" w:rsidRPr="00A2171C" w14:paraId="74C31695" w14:textId="77777777" w:rsidTr="00FE0A15">
              <w:trPr>
                <w:jc w:val="center"/>
              </w:trPr>
              <w:tc>
                <w:tcPr>
                  <w:tcW w:w="2381" w:type="dxa"/>
                </w:tcPr>
                <w:p w14:paraId="1A164216" w14:textId="38AF2C62" w:rsidR="00A46867" w:rsidRPr="00A2171C" w:rsidRDefault="00000000" w:rsidP="0015439E">
                  <w:pPr>
                    <w:spacing w:after="0" w:line="240" w:lineRule="auto"/>
                    <w:rPr>
                      <w:rFonts w:eastAsia="Times New Roman" w:cs="Times New Roman"/>
                      <w:szCs w:val="20"/>
                      <w:lang w:val="en-US"/>
                    </w:rPr>
                  </w:pPr>
                  <m:oMath>
                    <m:sSub>
                      <m:sSubPr>
                        <m:ctrlPr>
                          <w:rPr>
                            <w:rFonts w:ascii="Cambria Math" w:eastAsia="Times New Roman" w:hAnsi="Cambria Math" w:cs="Times New Roman"/>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C,2</m:t>
                        </m:r>
                      </m:sub>
                    </m:sSub>
                  </m:oMath>
                  <w:r w:rsidR="00A46867" w:rsidRPr="00A2171C">
                    <w:rPr>
                      <w:rFonts w:eastAsia="Times New Roman" w:cs="Times New Roman"/>
                      <w:szCs w:val="20"/>
                      <w:lang w:val="en-US"/>
                    </w:rPr>
                    <w:t>, Internal fire combat conditions</w:t>
                  </w:r>
                </w:p>
                <w:p w14:paraId="62F209F3" w14:textId="77777777" w:rsidR="00A46867" w:rsidRPr="00A2171C" w:rsidRDefault="00A46867" w:rsidP="0015439E">
                  <w:pPr>
                    <w:spacing w:after="0" w:line="240" w:lineRule="auto"/>
                    <w:rPr>
                      <w:rFonts w:eastAsia="Times New Roman" w:cs="Times New Roman"/>
                      <w:szCs w:val="20"/>
                      <w:lang w:val="en-US"/>
                    </w:rPr>
                  </w:pPr>
                </w:p>
              </w:tc>
              <w:tc>
                <w:tcPr>
                  <w:tcW w:w="5783" w:type="dxa"/>
                </w:tcPr>
                <w:p w14:paraId="7A74A5D0" w14:textId="3049B674"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Residential</w:t>
                  </w:r>
                  <w:r w:rsidR="0003285A" w:rsidRPr="00A2171C">
                    <w:rPr>
                      <w:rFonts w:eastAsia="Times New Roman" w:cs="Times New Roman"/>
                      <w:szCs w:val="20"/>
                      <w:lang w:val="en-US"/>
                    </w:rPr>
                    <w:t>:</w:t>
                  </w:r>
                  <w:r w:rsidRPr="00A2171C">
                    <w:rPr>
                      <w:rFonts w:eastAsia="Times New Roman" w:cs="Times New Roman"/>
                      <w:szCs w:val="20"/>
                      <w:lang w:val="en-US"/>
                    </w:rPr>
                    <w:t xml:space="preserve"> </w:t>
                  </w:r>
                  <w:r w:rsidR="0003285A" w:rsidRPr="00A2171C">
                    <w:rPr>
                      <w:rFonts w:eastAsia="Times New Roman" w:cs="Times New Roman"/>
                      <w:szCs w:val="20"/>
                      <w:lang w:val="en-US"/>
                    </w:rPr>
                    <w:t xml:space="preserve">at </w:t>
                  </w:r>
                  <w:r w:rsidRPr="00A2171C">
                    <w:rPr>
                      <w:rFonts w:eastAsia="Times New Roman" w:cs="Times New Roman"/>
                      <w:szCs w:val="20"/>
                      <w:lang w:val="en-US"/>
                    </w:rPr>
                    <w:t>least 1 extinguisher;</w:t>
                  </w:r>
                </w:p>
                <w:p w14:paraId="680A0409" w14:textId="16E946A7"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Residential</w:t>
                  </w:r>
                  <w:r w:rsidR="0003285A" w:rsidRPr="00A2171C">
                    <w:rPr>
                      <w:rFonts w:eastAsia="Times New Roman" w:cs="Times New Roman"/>
                      <w:szCs w:val="20"/>
                      <w:lang w:val="en-US"/>
                    </w:rPr>
                    <w:t xml:space="preserve">: no </w:t>
                  </w:r>
                  <w:r w:rsidRPr="00A2171C">
                    <w:rPr>
                      <w:rFonts w:eastAsia="Times New Roman" w:cs="Times New Roman"/>
                      <w:szCs w:val="20"/>
                      <w:lang w:val="en-US"/>
                    </w:rPr>
                    <w:t>extinguisher;</w:t>
                  </w:r>
                </w:p>
                <w:p w14:paraId="6349C7A0" w14:textId="3333A484"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Market, other</w:t>
                  </w:r>
                  <w:r w:rsidR="0003285A" w:rsidRPr="00A2171C">
                    <w:rPr>
                      <w:rFonts w:eastAsia="Times New Roman" w:cs="Times New Roman"/>
                      <w:szCs w:val="20"/>
                      <w:lang w:val="en-US"/>
                    </w:rPr>
                    <w:t xml:space="preserve"> number </w:t>
                  </w:r>
                  <w:r w:rsidRPr="00A2171C">
                    <w:rPr>
                      <w:rFonts w:eastAsia="Times New Roman" w:cs="Times New Roman"/>
                      <w:szCs w:val="20"/>
                      <w:lang w:val="en-US"/>
                    </w:rPr>
                    <w:t xml:space="preserve">of fire extinguishers </w:t>
                  </w:r>
                  <w:r w:rsidR="00FE0A15" w:rsidRPr="00A2171C">
                    <w:rPr>
                      <w:rFonts w:eastAsia="Times New Roman" w:cs="Times New Roman"/>
                      <w:szCs w:val="20"/>
                      <w:lang w:val="en-US"/>
                    </w:rPr>
                    <w:t xml:space="preserve">≤ </w:t>
                  </w:r>
                  <w:r w:rsidRPr="00A2171C">
                    <w:rPr>
                      <w:rFonts w:eastAsia="Times New Roman" w:cs="Times New Roman"/>
                      <w:szCs w:val="20"/>
                      <w:lang w:val="en-US"/>
                    </w:rPr>
                    <w:t>storey n°;</w:t>
                  </w:r>
                </w:p>
                <w:p w14:paraId="207C36B8" w14:textId="00C8CA29"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Market</w:t>
                  </w:r>
                  <w:r w:rsidR="0003285A" w:rsidRPr="00A2171C">
                    <w:rPr>
                      <w:rFonts w:eastAsia="Times New Roman" w:cs="Times New Roman"/>
                      <w:szCs w:val="20"/>
                      <w:lang w:val="en-US"/>
                    </w:rPr>
                    <w:t xml:space="preserve">: number </w:t>
                  </w:r>
                  <w:r w:rsidRPr="00A2171C">
                    <w:rPr>
                      <w:rFonts w:eastAsia="Times New Roman" w:cs="Times New Roman"/>
                      <w:szCs w:val="20"/>
                      <w:lang w:val="en-US"/>
                    </w:rPr>
                    <w:t>of fire extinguishers below the number of floors;</w:t>
                  </w:r>
                </w:p>
                <w:p w14:paraId="584BF268" w14:textId="32004131"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Market</w:t>
                  </w:r>
                  <w:r w:rsidR="0003285A" w:rsidRPr="00A2171C">
                    <w:rPr>
                      <w:rFonts w:eastAsia="Times New Roman" w:cs="Times New Roman"/>
                      <w:szCs w:val="20"/>
                      <w:lang w:val="en-US"/>
                    </w:rPr>
                    <w:t>: t</w:t>
                  </w:r>
                  <w:r w:rsidRPr="00A2171C">
                    <w:rPr>
                      <w:rFonts w:eastAsia="Times New Roman" w:cs="Times New Roman"/>
                      <w:szCs w:val="20"/>
                      <w:lang w:val="en-US"/>
                    </w:rPr>
                    <w:t>here are no fire extinguishers.</w:t>
                  </w:r>
                </w:p>
              </w:tc>
              <w:tc>
                <w:tcPr>
                  <w:tcW w:w="646" w:type="dxa"/>
                </w:tcPr>
                <w:p w14:paraId="749F5725" w14:textId="77777777" w:rsidR="00A46867" w:rsidRPr="00A2171C" w:rsidRDefault="00000000" w:rsidP="0015439E">
                  <w:pPr>
                    <w:spacing w:after="0" w:line="240" w:lineRule="auto"/>
                    <w:jc w:val="center"/>
                    <w:rPr>
                      <w:rFonts w:eastAsia="Times New Roman" w:cs="Times New Roman"/>
                      <w:szCs w:val="20"/>
                    </w:rPr>
                  </w:pPr>
                  <w:sdt>
                    <w:sdtPr>
                      <w:rPr>
                        <w:rFonts w:cs="Times New Roman"/>
                        <w:szCs w:val="20"/>
                      </w:rPr>
                      <w:tag w:val="goog_rdk_18"/>
                      <w:id w:val="-720282704"/>
                    </w:sdtPr>
                    <w:sdtContent/>
                  </w:sdt>
                  <w:r w:rsidR="00A46867" w:rsidRPr="00A2171C">
                    <w:rPr>
                      <w:rFonts w:eastAsia="Times New Roman" w:cs="Times New Roman"/>
                      <w:szCs w:val="20"/>
                    </w:rPr>
                    <w:t>0.90</w:t>
                  </w:r>
                </w:p>
                <w:p w14:paraId="1FDF1EB4"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1.00</w:t>
                  </w:r>
                </w:p>
                <w:p w14:paraId="0087BCE4"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1.00</w:t>
                  </w:r>
                </w:p>
                <w:p w14:paraId="72661938"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1.75</w:t>
                  </w:r>
                </w:p>
                <w:p w14:paraId="51E2617F"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2.00</w:t>
                  </w:r>
                </w:p>
              </w:tc>
            </w:tr>
            <w:tr w:rsidR="00A2171C" w:rsidRPr="00A2171C" w14:paraId="66DA94F2" w14:textId="77777777" w:rsidTr="00FE0A15">
              <w:trPr>
                <w:jc w:val="center"/>
              </w:trPr>
              <w:tc>
                <w:tcPr>
                  <w:tcW w:w="2381" w:type="dxa"/>
                </w:tcPr>
                <w:p w14:paraId="7B463CF9" w14:textId="4ED1B46A" w:rsidR="00A46867" w:rsidRPr="00A2171C" w:rsidRDefault="00000000" w:rsidP="0015439E">
                  <w:pPr>
                    <w:spacing w:after="0" w:line="240" w:lineRule="auto"/>
                    <w:rPr>
                      <w:rFonts w:eastAsia="Times New Roman" w:cs="Times New Roman"/>
                      <w:szCs w:val="20"/>
                      <w:lang w:val="en-US"/>
                    </w:rPr>
                  </w:pPr>
                  <m:oMath>
                    <m:sSub>
                      <m:sSubPr>
                        <m:ctrlPr>
                          <w:rPr>
                            <w:rFonts w:ascii="Cambria Math" w:eastAsia="Times New Roman" w:hAnsi="Cambria Math" w:cs="Times New Roman"/>
                            <w:szCs w:val="20"/>
                            <w:lang w:val="en-GB"/>
                          </w:rPr>
                        </m:ctrlPr>
                      </m:sSubPr>
                      <m:e>
                        <m:r>
                          <w:rPr>
                            <w:rFonts w:ascii="Cambria Math" w:eastAsia="Times New Roman" w:hAnsi="Cambria Math" w:cs="Times New Roman"/>
                            <w:szCs w:val="20"/>
                            <w:lang w:val="en-GB"/>
                          </w:rPr>
                          <m:t>PF</m:t>
                        </m:r>
                      </m:e>
                      <m:sub>
                        <m:r>
                          <w:rPr>
                            <w:rFonts w:ascii="Cambria Math" w:eastAsia="Times New Roman" w:hAnsi="Cambria Math" w:cs="Times New Roman"/>
                            <w:szCs w:val="20"/>
                            <w:lang w:val="en-GB"/>
                          </w:rPr>
                          <m:t>C,3</m:t>
                        </m:r>
                      </m:sub>
                    </m:sSub>
                  </m:oMath>
                  <w:r w:rsidR="00A46867" w:rsidRPr="00A2171C">
                    <w:rPr>
                      <w:rFonts w:eastAsia="Times New Roman" w:cs="Times New Roman"/>
                      <w:szCs w:val="20"/>
                      <w:lang w:val="en-US"/>
                    </w:rPr>
                    <w:t>, Security teams</w:t>
                  </w:r>
                </w:p>
              </w:tc>
              <w:tc>
                <w:tcPr>
                  <w:tcW w:w="5783" w:type="dxa"/>
                </w:tcPr>
                <w:p w14:paraId="509E1D8F" w14:textId="387CFA57"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Not required</w:t>
                  </w:r>
                  <w:r w:rsidR="0003285A" w:rsidRPr="00A2171C">
                    <w:rPr>
                      <w:rFonts w:eastAsia="Times New Roman" w:cs="Times New Roman"/>
                      <w:szCs w:val="20"/>
                      <w:lang w:val="en-US"/>
                    </w:rPr>
                    <w:t>,</w:t>
                  </w:r>
                  <w:r w:rsidRPr="00A2171C" w:rsidDel="0048538E">
                    <w:rPr>
                      <w:rFonts w:eastAsia="Times New Roman" w:cs="Times New Roman"/>
                      <w:szCs w:val="20"/>
                      <w:lang w:val="en-US"/>
                    </w:rPr>
                    <w:t xml:space="preserve"> </w:t>
                  </w:r>
                  <w:r w:rsidRPr="00A2171C">
                    <w:rPr>
                      <w:rFonts w:eastAsia="Times New Roman" w:cs="Times New Roman"/>
                      <w:szCs w:val="20"/>
                      <w:lang w:val="en-US"/>
                    </w:rPr>
                    <w:t>but exist</w:t>
                  </w:r>
                  <w:r w:rsidR="0003285A" w:rsidRPr="00A2171C">
                    <w:rPr>
                      <w:rFonts w:eastAsia="Times New Roman" w:cs="Times New Roman"/>
                      <w:szCs w:val="20"/>
                      <w:lang w:val="en-US"/>
                    </w:rPr>
                    <w:t>s</w:t>
                  </w:r>
                </w:p>
                <w:p w14:paraId="5CE0CF97" w14:textId="77777777"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Not required</w:t>
                  </w:r>
                  <w:r w:rsidRPr="00A2171C" w:rsidDel="0048538E">
                    <w:rPr>
                      <w:rFonts w:eastAsia="Times New Roman" w:cs="Times New Roman"/>
                      <w:szCs w:val="20"/>
                      <w:lang w:val="en-US"/>
                    </w:rPr>
                    <w:t xml:space="preserve"> </w:t>
                  </w:r>
                  <w:r w:rsidRPr="00A2171C">
                    <w:rPr>
                      <w:rFonts w:eastAsia="Times New Roman" w:cs="Times New Roman"/>
                      <w:szCs w:val="20"/>
                      <w:lang w:val="en-US"/>
                    </w:rPr>
                    <w:t>and do not exist</w:t>
                  </w:r>
                </w:p>
                <w:p w14:paraId="3788A920" w14:textId="43078E52"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Required, exist</w:t>
                  </w:r>
                  <w:r w:rsidR="0003285A" w:rsidRPr="00A2171C">
                    <w:rPr>
                      <w:rFonts w:eastAsia="Times New Roman" w:cs="Times New Roman"/>
                      <w:szCs w:val="20"/>
                      <w:lang w:val="en-US"/>
                    </w:rPr>
                    <w:t>s</w:t>
                  </w:r>
                </w:p>
                <w:p w14:paraId="10CCFF3A" w14:textId="77777777" w:rsidR="00A46867" w:rsidRPr="00A2171C" w:rsidRDefault="00A46867" w:rsidP="0015439E">
                  <w:pPr>
                    <w:spacing w:after="0" w:line="240" w:lineRule="auto"/>
                    <w:rPr>
                      <w:rFonts w:eastAsia="Times New Roman" w:cs="Times New Roman"/>
                      <w:szCs w:val="20"/>
                      <w:lang w:val="en-US"/>
                    </w:rPr>
                  </w:pPr>
                  <w:r w:rsidRPr="00A2171C">
                    <w:rPr>
                      <w:rFonts w:eastAsia="Times New Roman" w:cs="Times New Roman"/>
                      <w:szCs w:val="20"/>
                      <w:lang w:val="en-US"/>
                    </w:rPr>
                    <w:t>Required, do not exist</w:t>
                  </w:r>
                </w:p>
              </w:tc>
              <w:tc>
                <w:tcPr>
                  <w:tcW w:w="646" w:type="dxa"/>
                </w:tcPr>
                <w:p w14:paraId="23681C4E"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0.50</w:t>
                  </w:r>
                </w:p>
                <w:p w14:paraId="6C1293B5"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1.00</w:t>
                  </w:r>
                </w:p>
                <w:p w14:paraId="1FB96983"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1.00</w:t>
                  </w:r>
                </w:p>
                <w:p w14:paraId="271189A7" w14:textId="77777777" w:rsidR="00A46867" w:rsidRPr="00A2171C" w:rsidRDefault="00A46867" w:rsidP="0015439E">
                  <w:pPr>
                    <w:spacing w:after="0" w:line="240" w:lineRule="auto"/>
                    <w:jc w:val="center"/>
                    <w:rPr>
                      <w:rFonts w:eastAsia="Times New Roman" w:cs="Times New Roman"/>
                      <w:szCs w:val="20"/>
                    </w:rPr>
                  </w:pPr>
                  <w:r w:rsidRPr="00A2171C">
                    <w:rPr>
                      <w:rFonts w:eastAsia="Times New Roman" w:cs="Times New Roman"/>
                      <w:szCs w:val="20"/>
                    </w:rPr>
                    <w:t>2.00</w:t>
                  </w:r>
                </w:p>
              </w:tc>
            </w:tr>
          </w:tbl>
          <w:p w14:paraId="6A90FA7A" w14:textId="77777777" w:rsidR="00A46867" w:rsidRPr="00A2171C" w:rsidRDefault="00A46867" w:rsidP="00FE0A15">
            <w:pPr>
              <w:keepNext/>
              <w:rPr>
                <w:rFonts w:cs="Times New Roman"/>
                <w:szCs w:val="20"/>
                <w:lang w:val="en-GB"/>
              </w:rPr>
            </w:pPr>
          </w:p>
        </w:tc>
      </w:tr>
    </w:tbl>
    <w:p w14:paraId="7191B218" w14:textId="637FEA3F" w:rsidR="00534A83" w:rsidRPr="00A2171C" w:rsidRDefault="00C74E25" w:rsidP="00C74E25">
      <w:pPr>
        <w:pStyle w:val="Caption"/>
        <w:jc w:val="center"/>
        <w:rPr>
          <w:color w:val="auto"/>
          <w:sz w:val="20"/>
          <w:szCs w:val="20"/>
          <w:lang w:val="en-GB"/>
        </w:rPr>
      </w:pPr>
      <w:bookmarkStart w:id="50" w:name="_Ref121162618"/>
      <w:bookmarkEnd w:id="39"/>
      <w:r w:rsidRPr="00A2171C">
        <w:rPr>
          <w:color w:val="auto"/>
          <w:lang w:val="en-US"/>
        </w:rPr>
        <w:lastRenderedPageBreak/>
        <w:t xml:space="preserve">Table A </w:t>
      </w:r>
      <w:r w:rsidRPr="00A2171C">
        <w:rPr>
          <w:color w:val="auto"/>
        </w:rPr>
        <w:fldChar w:fldCharType="begin"/>
      </w:r>
      <w:r w:rsidRPr="00A2171C">
        <w:rPr>
          <w:color w:val="auto"/>
          <w:lang w:val="en-US"/>
        </w:rPr>
        <w:instrText xml:space="preserve"> SEQ Table_A \* ARABIC </w:instrText>
      </w:r>
      <w:r w:rsidRPr="00A2171C">
        <w:rPr>
          <w:color w:val="auto"/>
        </w:rPr>
        <w:fldChar w:fldCharType="separate"/>
      </w:r>
      <w:r w:rsidR="00C20049" w:rsidRPr="00A2171C">
        <w:rPr>
          <w:noProof/>
          <w:color w:val="auto"/>
          <w:lang w:val="en-US"/>
        </w:rPr>
        <w:t>5</w:t>
      </w:r>
      <w:r w:rsidRPr="00A2171C">
        <w:rPr>
          <w:color w:val="auto"/>
        </w:rPr>
        <w:fldChar w:fldCharType="end"/>
      </w:r>
      <w:bookmarkEnd w:id="50"/>
      <w:r w:rsidRPr="00A2171C">
        <w:rPr>
          <w:color w:val="auto"/>
          <w:lang w:val="en-US"/>
        </w:rPr>
        <w:t xml:space="preserve">: </w:t>
      </w:r>
      <w:r w:rsidR="00534A83" w:rsidRPr="00A2171C">
        <w:rPr>
          <w:color w:val="auto"/>
          <w:sz w:val="20"/>
          <w:szCs w:val="20"/>
          <w:lang w:val="en-GB"/>
        </w:rPr>
        <w:t>Summary of the physical aspects, occupancy and main uses of the units studied.</w:t>
      </w:r>
    </w:p>
    <w:tbl>
      <w:tblPr>
        <w:tblW w:w="8577" w:type="dxa"/>
        <w:jc w:val="center"/>
        <w:tblLayout w:type="fixed"/>
        <w:tblCellMar>
          <w:left w:w="10" w:type="dxa"/>
          <w:right w:w="10" w:type="dxa"/>
        </w:tblCellMar>
        <w:tblLook w:val="04A0" w:firstRow="1" w:lastRow="0" w:firstColumn="1" w:lastColumn="0" w:noHBand="0" w:noVBand="1"/>
      </w:tblPr>
      <w:tblGrid>
        <w:gridCol w:w="2493"/>
        <w:gridCol w:w="2891"/>
        <w:gridCol w:w="1719"/>
        <w:gridCol w:w="1474"/>
      </w:tblGrid>
      <w:tr w:rsidR="00A2171C" w:rsidRPr="00A2171C" w14:paraId="143166DD" w14:textId="77777777" w:rsidTr="00534A83">
        <w:trPr>
          <w:jc w:val="center"/>
        </w:trPr>
        <w:tc>
          <w:tcPr>
            <w:tcW w:w="2493" w:type="dxa"/>
            <w:tcBorders>
              <w:top w:val="single" w:sz="2" w:space="0" w:color="000000"/>
              <w:bottom w:val="single" w:sz="2" w:space="0" w:color="000000"/>
            </w:tcBorders>
            <w:tcMar>
              <w:top w:w="29" w:type="dxa"/>
              <w:left w:w="0" w:type="dxa"/>
              <w:bottom w:w="29" w:type="dxa"/>
              <w:right w:w="0" w:type="dxa"/>
            </w:tcMar>
          </w:tcPr>
          <w:p w14:paraId="33E0260A" w14:textId="77777777" w:rsidR="004E6BD0" w:rsidRPr="00A2171C" w:rsidRDefault="004E6BD0" w:rsidP="004A6C1F">
            <w:pPr>
              <w:pStyle w:val="Standard"/>
              <w:rPr>
                <w:b/>
                <w:bCs/>
                <w:sz w:val="18"/>
                <w:szCs w:val="18"/>
              </w:rPr>
            </w:pPr>
            <w:r w:rsidRPr="00A2171C">
              <w:rPr>
                <w:b/>
                <w:bCs/>
                <w:sz w:val="18"/>
                <w:szCs w:val="18"/>
              </w:rPr>
              <w:t>Category</w:t>
            </w:r>
          </w:p>
        </w:tc>
        <w:tc>
          <w:tcPr>
            <w:tcW w:w="2891" w:type="dxa"/>
            <w:tcBorders>
              <w:top w:val="single" w:sz="2" w:space="0" w:color="000000"/>
              <w:bottom w:val="single" w:sz="2" w:space="0" w:color="000000"/>
            </w:tcBorders>
            <w:tcMar>
              <w:top w:w="29" w:type="dxa"/>
              <w:left w:w="0" w:type="dxa"/>
              <w:bottom w:w="29" w:type="dxa"/>
              <w:right w:w="0" w:type="dxa"/>
            </w:tcMar>
          </w:tcPr>
          <w:p w14:paraId="39200F0C" w14:textId="77777777" w:rsidR="004E6BD0" w:rsidRPr="00A2171C" w:rsidRDefault="004E6BD0" w:rsidP="00534A83">
            <w:pPr>
              <w:pStyle w:val="Standard"/>
              <w:rPr>
                <w:b/>
                <w:bCs/>
                <w:sz w:val="18"/>
                <w:szCs w:val="18"/>
              </w:rPr>
            </w:pPr>
            <w:r w:rsidRPr="00A2171C">
              <w:rPr>
                <w:b/>
                <w:bCs/>
                <w:sz w:val="18"/>
                <w:szCs w:val="18"/>
              </w:rPr>
              <w:t>Subcategory</w:t>
            </w:r>
          </w:p>
        </w:tc>
        <w:tc>
          <w:tcPr>
            <w:tcW w:w="1719" w:type="dxa"/>
            <w:tcBorders>
              <w:top w:val="single" w:sz="2" w:space="0" w:color="000000"/>
              <w:bottom w:val="single" w:sz="2" w:space="0" w:color="000000"/>
            </w:tcBorders>
            <w:tcMar>
              <w:top w:w="29" w:type="dxa"/>
              <w:left w:w="0" w:type="dxa"/>
              <w:bottom w:w="29" w:type="dxa"/>
              <w:right w:w="0" w:type="dxa"/>
            </w:tcMar>
          </w:tcPr>
          <w:p w14:paraId="1DEE08CB" w14:textId="77777777" w:rsidR="004E6BD0" w:rsidRPr="00A2171C" w:rsidRDefault="004E6BD0" w:rsidP="00534A83">
            <w:pPr>
              <w:pStyle w:val="Standard"/>
              <w:rPr>
                <w:b/>
                <w:bCs/>
                <w:sz w:val="18"/>
                <w:szCs w:val="18"/>
              </w:rPr>
            </w:pPr>
            <w:r w:rsidRPr="00A2171C">
              <w:rPr>
                <w:b/>
                <w:bCs/>
                <w:sz w:val="18"/>
                <w:szCs w:val="18"/>
              </w:rPr>
              <w:t>Item</w:t>
            </w:r>
          </w:p>
        </w:tc>
        <w:tc>
          <w:tcPr>
            <w:tcW w:w="1474" w:type="dxa"/>
            <w:tcBorders>
              <w:top w:val="single" w:sz="2" w:space="0" w:color="000000"/>
              <w:bottom w:val="single" w:sz="2" w:space="0" w:color="000000"/>
            </w:tcBorders>
            <w:tcMar>
              <w:top w:w="29" w:type="dxa"/>
              <w:left w:w="0" w:type="dxa"/>
              <w:bottom w:w="29" w:type="dxa"/>
              <w:right w:w="0" w:type="dxa"/>
            </w:tcMar>
          </w:tcPr>
          <w:p w14:paraId="4FD40785" w14:textId="77777777" w:rsidR="004E6BD0" w:rsidRPr="00A2171C" w:rsidRDefault="004E6BD0" w:rsidP="00534A83">
            <w:pPr>
              <w:pStyle w:val="Standard"/>
              <w:rPr>
                <w:b/>
                <w:bCs/>
                <w:sz w:val="18"/>
                <w:szCs w:val="18"/>
              </w:rPr>
            </w:pPr>
            <w:r w:rsidRPr="00A2171C">
              <w:rPr>
                <w:b/>
                <w:bCs/>
                <w:sz w:val="18"/>
                <w:szCs w:val="18"/>
              </w:rPr>
              <w:t>Frequency</w:t>
            </w:r>
          </w:p>
        </w:tc>
      </w:tr>
      <w:tr w:rsidR="00A2171C" w:rsidRPr="00A2171C" w14:paraId="3AEEA661" w14:textId="77777777" w:rsidTr="00534A83">
        <w:trPr>
          <w:jc w:val="center"/>
        </w:trPr>
        <w:tc>
          <w:tcPr>
            <w:tcW w:w="2493" w:type="dxa"/>
            <w:tcMar>
              <w:top w:w="0" w:type="dxa"/>
              <w:left w:w="0" w:type="dxa"/>
              <w:bottom w:w="0" w:type="dxa"/>
              <w:right w:w="0" w:type="dxa"/>
            </w:tcMar>
          </w:tcPr>
          <w:p w14:paraId="3E4E0FD9" w14:textId="2D5533CE" w:rsidR="004E6BD0" w:rsidRPr="00A2171C" w:rsidRDefault="004E6BD0" w:rsidP="004A6C1F">
            <w:pPr>
              <w:pStyle w:val="Standard"/>
              <w:rPr>
                <w:iCs/>
                <w:sz w:val="20"/>
                <w:szCs w:val="20"/>
              </w:rPr>
            </w:pPr>
          </w:p>
        </w:tc>
        <w:tc>
          <w:tcPr>
            <w:tcW w:w="2891" w:type="dxa"/>
            <w:tcMar>
              <w:top w:w="0" w:type="dxa"/>
              <w:left w:w="0" w:type="dxa"/>
              <w:bottom w:w="0" w:type="dxa"/>
              <w:right w:w="0" w:type="dxa"/>
            </w:tcMar>
          </w:tcPr>
          <w:p w14:paraId="53C2DE55" w14:textId="2121BC56" w:rsidR="004E6BD0" w:rsidRPr="00A2171C" w:rsidRDefault="004E6BD0" w:rsidP="00534A83">
            <w:pPr>
              <w:pStyle w:val="Standard"/>
              <w:rPr>
                <w:sz w:val="20"/>
                <w:szCs w:val="20"/>
              </w:rPr>
            </w:pPr>
          </w:p>
        </w:tc>
        <w:tc>
          <w:tcPr>
            <w:tcW w:w="1719" w:type="dxa"/>
            <w:tcMar>
              <w:top w:w="0" w:type="dxa"/>
              <w:left w:w="0" w:type="dxa"/>
              <w:bottom w:w="0" w:type="dxa"/>
              <w:right w:w="0" w:type="dxa"/>
            </w:tcMar>
          </w:tcPr>
          <w:p w14:paraId="75D84F4C" w14:textId="77777777" w:rsidR="004E6BD0" w:rsidRPr="00A2171C" w:rsidRDefault="004E6BD0" w:rsidP="00534A83">
            <w:pPr>
              <w:pStyle w:val="Standard"/>
              <w:rPr>
                <w:sz w:val="20"/>
                <w:szCs w:val="20"/>
              </w:rPr>
            </w:pPr>
          </w:p>
        </w:tc>
        <w:tc>
          <w:tcPr>
            <w:tcW w:w="1474" w:type="dxa"/>
            <w:tcMar>
              <w:top w:w="0" w:type="dxa"/>
              <w:left w:w="0" w:type="dxa"/>
              <w:bottom w:w="0" w:type="dxa"/>
              <w:right w:w="0" w:type="dxa"/>
            </w:tcMar>
          </w:tcPr>
          <w:p w14:paraId="06671072" w14:textId="77777777" w:rsidR="004E6BD0" w:rsidRPr="00A2171C" w:rsidRDefault="004E6BD0" w:rsidP="00534A83">
            <w:pPr>
              <w:pStyle w:val="TableContents"/>
              <w:rPr>
                <w:sz w:val="20"/>
                <w:szCs w:val="20"/>
              </w:rPr>
            </w:pPr>
          </w:p>
        </w:tc>
      </w:tr>
      <w:tr w:rsidR="00A2171C" w:rsidRPr="00A2171C" w14:paraId="49AC6522" w14:textId="77777777" w:rsidTr="00534A83">
        <w:trPr>
          <w:jc w:val="center"/>
        </w:trPr>
        <w:tc>
          <w:tcPr>
            <w:tcW w:w="2493" w:type="dxa"/>
            <w:tcMar>
              <w:top w:w="0" w:type="dxa"/>
              <w:left w:w="0" w:type="dxa"/>
              <w:bottom w:w="0" w:type="dxa"/>
              <w:right w:w="0" w:type="dxa"/>
            </w:tcMar>
          </w:tcPr>
          <w:p w14:paraId="70719D38" w14:textId="759C521F" w:rsidR="006C1055" w:rsidRPr="00A2171C" w:rsidRDefault="006C1055" w:rsidP="006C1055">
            <w:pPr>
              <w:pStyle w:val="Standard"/>
              <w:rPr>
                <w:iCs/>
                <w:sz w:val="20"/>
                <w:szCs w:val="20"/>
              </w:rPr>
            </w:pPr>
            <w:r w:rsidRPr="00A2171C">
              <w:rPr>
                <w:iCs/>
                <w:sz w:val="20"/>
                <w:szCs w:val="20"/>
              </w:rPr>
              <w:t>Physical aspects of the units</w:t>
            </w:r>
          </w:p>
        </w:tc>
        <w:tc>
          <w:tcPr>
            <w:tcW w:w="2891" w:type="dxa"/>
            <w:tcMar>
              <w:top w:w="0" w:type="dxa"/>
              <w:left w:w="0" w:type="dxa"/>
              <w:bottom w:w="0" w:type="dxa"/>
              <w:right w:w="0" w:type="dxa"/>
            </w:tcMar>
          </w:tcPr>
          <w:p w14:paraId="51A96035" w14:textId="2642FBE5" w:rsidR="006C1055" w:rsidRPr="00A2171C" w:rsidRDefault="006C1055" w:rsidP="006C1055">
            <w:pPr>
              <w:pStyle w:val="Standard"/>
              <w:rPr>
                <w:sz w:val="20"/>
                <w:szCs w:val="20"/>
              </w:rPr>
            </w:pPr>
            <w:r w:rsidRPr="00A2171C">
              <w:rPr>
                <w:sz w:val="20"/>
                <w:szCs w:val="20"/>
              </w:rPr>
              <w:t>Architectural style</w:t>
            </w:r>
          </w:p>
        </w:tc>
        <w:tc>
          <w:tcPr>
            <w:tcW w:w="1719" w:type="dxa"/>
            <w:tcMar>
              <w:top w:w="0" w:type="dxa"/>
              <w:left w:w="0" w:type="dxa"/>
              <w:bottom w:w="0" w:type="dxa"/>
              <w:right w:w="0" w:type="dxa"/>
            </w:tcMar>
          </w:tcPr>
          <w:p w14:paraId="69DCBCA0" w14:textId="1F943AA3" w:rsidR="006C1055" w:rsidRPr="00A2171C" w:rsidRDefault="006C1055" w:rsidP="006C1055">
            <w:pPr>
              <w:pStyle w:val="Standard"/>
              <w:rPr>
                <w:sz w:val="20"/>
                <w:szCs w:val="20"/>
              </w:rPr>
            </w:pPr>
            <w:r w:rsidRPr="00A2171C">
              <w:rPr>
                <w:sz w:val="20"/>
                <w:szCs w:val="20"/>
              </w:rPr>
              <w:t>Colonial derivation</w:t>
            </w:r>
          </w:p>
        </w:tc>
        <w:tc>
          <w:tcPr>
            <w:tcW w:w="1474" w:type="dxa"/>
            <w:tcMar>
              <w:top w:w="0" w:type="dxa"/>
              <w:left w:w="0" w:type="dxa"/>
              <w:bottom w:w="0" w:type="dxa"/>
              <w:right w:w="0" w:type="dxa"/>
            </w:tcMar>
          </w:tcPr>
          <w:p w14:paraId="543D2B21" w14:textId="77777777" w:rsidR="006C1055" w:rsidRPr="00A2171C" w:rsidRDefault="006C1055" w:rsidP="006C1055">
            <w:pPr>
              <w:pStyle w:val="Standard"/>
              <w:rPr>
                <w:sz w:val="20"/>
                <w:szCs w:val="20"/>
              </w:rPr>
            </w:pPr>
            <w:r w:rsidRPr="00A2171C">
              <w:rPr>
                <w:sz w:val="20"/>
                <w:szCs w:val="20"/>
              </w:rPr>
              <w:t>288</w:t>
            </w:r>
          </w:p>
        </w:tc>
      </w:tr>
      <w:tr w:rsidR="00A2171C" w:rsidRPr="00A2171C" w14:paraId="10711846" w14:textId="77777777" w:rsidTr="00534A83">
        <w:trPr>
          <w:jc w:val="center"/>
        </w:trPr>
        <w:tc>
          <w:tcPr>
            <w:tcW w:w="2493" w:type="dxa"/>
            <w:tcMar>
              <w:top w:w="0" w:type="dxa"/>
              <w:left w:w="0" w:type="dxa"/>
              <w:bottom w:w="0" w:type="dxa"/>
              <w:right w:w="0" w:type="dxa"/>
            </w:tcMar>
          </w:tcPr>
          <w:p w14:paraId="75B0A283"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145781A4"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7C152267" w14:textId="3B475D4A" w:rsidR="006C1055" w:rsidRPr="00A2171C" w:rsidRDefault="006C1055" w:rsidP="006C1055">
            <w:pPr>
              <w:pStyle w:val="Standard"/>
              <w:rPr>
                <w:sz w:val="20"/>
                <w:szCs w:val="20"/>
              </w:rPr>
            </w:pPr>
            <w:r w:rsidRPr="00A2171C">
              <w:rPr>
                <w:sz w:val="20"/>
                <w:szCs w:val="20"/>
              </w:rPr>
              <w:t xml:space="preserve">Classist &amp; Va </w:t>
            </w:r>
          </w:p>
        </w:tc>
        <w:tc>
          <w:tcPr>
            <w:tcW w:w="1474" w:type="dxa"/>
            <w:tcMar>
              <w:top w:w="0" w:type="dxa"/>
              <w:left w:w="0" w:type="dxa"/>
              <w:bottom w:w="0" w:type="dxa"/>
              <w:right w:w="0" w:type="dxa"/>
            </w:tcMar>
          </w:tcPr>
          <w:p w14:paraId="51D5C19A" w14:textId="77777777" w:rsidR="006C1055" w:rsidRPr="00A2171C" w:rsidRDefault="006C1055" w:rsidP="006C1055">
            <w:pPr>
              <w:pStyle w:val="Standard"/>
              <w:rPr>
                <w:sz w:val="20"/>
                <w:szCs w:val="20"/>
              </w:rPr>
            </w:pPr>
            <w:r w:rsidRPr="00A2171C">
              <w:rPr>
                <w:sz w:val="20"/>
                <w:szCs w:val="20"/>
              </w:rPr>
              <w:t>144</w:t>
            </w:r>
          </w:p>
        </w:tc>
      </w:tr>
      <w:tr w:rsidR="00A2171C" w:rsidRPr="00A2171C" w14:paraId="5F73983F" w14:textId="77777777" w:rsidTr="00534A83">
        <w:trPr>
          <w:jc w:val="center"/>
        </w:trPr>
        <w:tc>
          <w:tcPr>
            <w:tcW w:w="2493" w:type="dxa"/>
            <w:tcMar>
              <w:top w:w="0" w:type="dxa"/>
              <w:left w:w="0" w:type="dxa"/>
              <w:bottom w:w="0" w:type="dxa"/>
              <w:right w:w="0" w:type="dxa"/>
            </w:tcMar>
          </w:tcPr>
          <w:p w14:paraId="5DBCFB69"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3605DE03"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1A22DE07" w14:textId="77777777" w:rsidR="006C1055" w:rsidRPr="00A2171C" w:rsidRDefault="006C1055" w:rsidP="006C1055">
            <w:pPr>
              <w:pStyle w:val="Standard"/>
              <w:rPr>
                <w:sz w:val="20"/>
                <w:szCs w:val="20"/>
              </w:rPr>
            </w:pPr>
            <w:r w:rsidRPr="00A2171C">
              <w:rPr>
                <w:sz w:val="20"/>
                <w:szCs w:val="20"/>
              </w:rPr>
              <w:t>Eclectic</w:t>
            </w:r>
          </w:p>
        </w:tc>
        <w:tc>
          <w:tcPr>
            <w:tcW w:w="1474" w:type="dxa"/>
            <w:tcMar>
              <w:top w:w="0" w:type="dxa"/>
              <w:left w:w="0" w:type="dxa"/>
              <w:bottom w:w="0" w:type="dxa"/>
              <w:right w:w="0" w:type="dxa"/>
            </w:tcMar>
          </w:tcPr>
          <w:p w14:paraId="46AC6A37" w14:textId="77777777" w:rsidR="006C1055" w:rsidRPr="00A2171C" w:rsidRDefault="006C1055" w:rsidP="006C1055">
            <w:pPr>
              <w:pStyle w:val="Standard"/>
              <w:rPr>
                <w:sz w:val="20"/>
                <w:szCs w:val="20"/>
              </w:rPr>
            </w:pPr>
            <w:r w:rsidRPr="00A2171C">
              <w:rPr>
                <w:sz w:val="20"/>
                <w:szCs w:val="20"/>
              </w:rPr>
              <w:t>10</w:t>
            </w:r>
          </w:p>
        </w:tc>
      </w:tr>
      <w:tr w:rsidR="00A2171C" w:rsidRPr="00A2171C" w14:paraId="0EB2F742" w14:textId="77777777" w:rsidTr="00534A83">
        <w:trPr>
          <w:jc w:val="center"/>
        </w:trPr>
        <w:tc>
          <w:tcPr>
            <w:tcW w:w="2493" w:type="dxa"/>
            <w:tcMar>
              <w:top w:w="0" w:type="dxa"/>
              <w:left w:w="0" w:type="dxa"/>
              <w:bottom w:w="0" w:type="dxa"/>
              <w:right w:w="0" w:type="dxa"/>
            </w:tcMar>
          </w:tcPr>
          <w:p w14:paraId="70A481AD"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720FAD0D"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5E6EB871" w14:textId="77777777" w:rsidR="006C1055" w:rsidRPr="00A2171C" w:rsidRDefault="006C1055" w:rsidP="006C1055">
            <w:pPr>
              <w:pStyle w:val="Standard"/>
              <w:rPr>
                <w:sz w:val="20"/>
                <w:szCs w:val="20"/>
              </w:rPr>
            </w:pPr>
            <w:r w:rsidRPr="00A2171C">
              <w:rPr>
                <w:sz w:val="20"/>
                <w:szCs w:val="20"/>
              </w:rPr>
              <w:t>Other</w:t>
            </w:r>
          </w:p>
        </w:tc>
        <w:tc>
          <w:tcPr>
            <w:tcW w:w="1474" w:type="dxa"/>
            <w:tcMar>
              <w:top w:w="0" w:type="dxa"/>
              <w:left w:w="0" w:type="dxa"/>
              <w:bottom w:w="0" w:type="dxa"/>
              <w:right w:w="0" w:type="dxa"/>
            </w:tcMar>
          </w:tcPr>
          <w:p w14:paraId="58A6B678" w14:textId="77777777" w:rsidR="006C1055" w:rsidRPr="00A2171C" w:rsidRDefault="006C1055" w:rsidP="006C1055">
            <w:pPr>
              <w:pStyle w:val="Standard"/>
              <w:rPr>
                <w:sz w:val="20"/>
                <w:szCs w:val="20"/>
              </w:rPr>
            </w:pPr>
            <w:r w:rsidRPr="00A2171C">
              <w:rPr>
                <w:sz w:val="20"/>
                <w:szCs w:val="20"/>
              </w:rPr>
              <w:t>1</w:t>
            </w:r>
          </w:p>
        </w:tc>
      </w:tr>
      <w:tr w:rsidR="00A2171C" w:rsidRPr="00A2171C" w14:paraId="5F7415A6" w14:textId="77777777" w:rsidTr="00534A83">
        <w:trPr>
          <w:jc w:val="center"/>
        </w:trPr>
        <w:tc>
          <w:tcPr>
            <w:tcW w:w="2493" w:type="dxa"/>
            <w:tcMar>
              <w:top w:w="0" w:type="dxa"/>
              <w:left w:w="0" w:type="dxa"/>
              <w:bottom w:w="0" w:type="dxa"/>
              <w:right w:w="0" w:type="dxa"/>
            </w:tcMar>
          </w:tcPr>
          <w:p w14:paraId="31582258"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1D2A51AD" w14:textId="1E0D6CDF" w:rsidR="006C1055" w:rsidRPr="00A2171C" w:rsidRDefault="003E190F" w:rsidP="006C1055">
            <w:pPr>
              <w:pStyle w:val="Standard"/>
              <w:rPr>
                <w:sz w:val="20"/>
                <w:szCs w:val="20"/>
              </w:rPr>
            </w:pPr>
            <w:r w:rsidRPr="00A2171C">
              <w:rPr>
                <w:sz w:val="20"/>
                <w:szCs w:val="20"/>
              </w:rPr>
              <w:t>Belongs in a cité</w:t>
            </w:r>
          </w:p>
        </w:tc>
        <w:tc>
          <w:tcPr>
            <w:tcW w:w="1719" w:type="dxa"/>
            <w:tcMar>
              <w:top w:w="0" w:type="dxa"/>
              <w:left w:w="0" w:type="dxa"/>
              <w:bottom w:w="0" w:type="dxa"/>
              <w:right w:w="0" w:type="dxa"/>
            </w:tcMar>
          </w:tcPr>
          <w:p w14:paraId="7B8C2D2A" w14:textId="77777777" w:rsidR="006C1055" w:rsidRPr="00A2171C" w:rsidRDefault="006C1055" w:rsidP="006C1055">
            <w:pPr>
              <w:pStyle w:val="Standard"/>
              <w:rPr>
                <w:sz w:val="20"/>
                <w:szCs w:val="20"/>
              </w:rPr>
            </w:pPr>
            <w:r w:rsidRPr="00A2171C">
              <w:rPr>
                <w:sz w:val="20"/>
                <w:szCs w:val="20"/>
              </w:rPr>
              <w:t>In cité</w:t>
            </w:r>
          </w:p>
        </w:tc>
        <w:tc>
          <w:tcPr>
            <w:tcW w:w="1474" w:type="dxa"/>
            <w:tcMar>
              <w:top w:w="0" w:type="dxa"/>
              <w:left w:w="0" w:type="dxa"/>
              <w:bottom w:w="0" w:type="dxa"/>
              <w:right w:w="0" w:type="dxa"/>
            </w:tcMar>
          </w:tcPr>
          <w:p w14:paraId="4BADA3DC" w14:textId="77777777" w:rsidR="006C1055" w:rsidRPr="00A2171C" w:rsidRDefault="006C1055" w:rsidP="006C1055">
            <w:pPr>
              <w:pStyle w:val="Standard"/>
              <w:rPr>
                <w:sz w:val="20"/>
                <w:szCs w:val="20"/>
              </w:rPr>
            </w:pPr>
            <w:r w:rsidRPr="00A2171C">
              <w:rPr>
                <w:sz w:val="20"/>
                <w:szCs w:val="20"/>
              </w:rPr>
              <w:t>49</w:t>
            </w:r>
          </w:p>
        </w:tc>
      </w:tr>
      <w:tr w:rsidR="00A2171C" w:rsidRPr="00A2171C" w14:paraId="0E763985" w14:textId="77777777" w:rsidTr="00534A83">
        <w:trPr>
          <w:jc w:val="center"/>
        </w:trPr>
        <w:tc>
          <w:tcPr>
            <w:tcW w:w="2493" w:type="dxa"/>
            <w:tcMar>
              <w:top w:w="0" w:type="dxa"/>
              <w:left w:w="0" w:type="dxa"/>
              <w:bottom w:w="0" w:type="dxa"/>
              <w:right w:w="0" w:type="dxa"/>
            </w:tcMar>
          </w:tcPr>
          <w:p w14:paraId="036F5C46"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62338A2C"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6E48A248" w14:textId="77777777" w:rsidR="006C1055" w:rsidRPr="00A2171C" w:rsidRDefault="006C1055" w:rsidP="006C1055">
            <w:pPr>
              <w:pStyle w:val="Standard"/>
              <w:rPr>
                <w:sz w:val="20"/>
                <w:szCs w:val="20"/>
              </w:rPr>
            </w:pPr>
            <w:r w:rsidRPr="00A2171C">
              <w:rPr>
                <w:sz w:val="20"/>
                <w:szCs w:val="20"/>
              </w:rPr>
              <w:t>No</w:t>
            </w:r>
          </w:p>
        </w:tc>
        <w:tc>
          <w:tcPr>
            <w:tcW w:w="1474" w:type="dxa"/>
            <w:tcMar>
              <w:top w:w="0" w:type="dxa"/>
              <w:left w:w="0" w:type="dxa"/>
              <w:bottom w:w="0" w:type="dxa"/>
              <w:right w:w="0" w:type="dxa"/>
            </w:tcMar>
          </w:tcPr>
          <w:p w14:paraId="73869E5D" w14:textId="77777777" w:rsidR="006C1055" w:rsidRPr="00A2171C" w:rsidRDefault="006C1055" w:rsidP="006C1055">
            <w:pPr>
              <w:pStyle w:val="Standard"/>
              <w:rPr>
                <w:sz w:val="20"/>
                <w:szCs w:val="20"/>
              </w:rPr>
            </w:pPr>
            <w:r w:rsidRPr="00A2171C">
              <w:rPr>
                <w:sz w:val="20"/>
                <w:szCs w:val="20"/>
              </w:rPr>
              <w:t>394</w:t>
            </w:r>
          </w:p>
        </w:tc>
      </w:tr>
      <w:tr w:rsidR="00A2171C" w:rsidRPr="00A2171C" w14:paraId="76BC24E6" w14:textId="77777777" w:rsidTr="00534A83">
        <w:trPr>
          <w:jc w:val="center"/>
        </w:trPr>
        <w:tc>
          <w:tcPr>
            <w:tcW w:w="2493" w:type="dxa"/>
            <w:tcMar>
              <w:top w:w="0" w:type="dxa"/>
              <w:left w:w="0" w:type="dxa"/>
              <w:bottom w:w="0" w:type="dxa"/>
              <w:right w:w="0" w:type="dxa"/>
            </w:tcMar>
          </w:tcPr>
          <w:p w14:paraId="078F700F"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24CAAFBD" w14:textId="5B43EF7D" w:rsidR="006C1055" w:rsidRPr="00A2171C" w:rsidRDefault="003E190F" w:rsidP="006C1055">
            <w:pPr>
              <w:pStyle w:val="Standard"/>
              <w:rPr>
                <w:sz w:val="20"/>
                <w:szCs w:val="20"/>
              </w:rPr>
            </w:pPr>
            <w:r w:rsidRPr="00A2171C">
              <w:rPr>
                <w:sz w:val="20"/>
                <w:szCs w:val="20"/>
              </w:rPr>
              <w:t>Number of floors</w:t>
            </w:r>
          </w:p>
        </w:tc>
        <w:tc>
          <w:tcPr>
            <w:tcW w:w="1719" w:type="dxa"/>
            <w:tcMar>
              <w:top w:w="0" w:type="dxa"/>
              <w:left w:w="0" w:type="dxa"/>
              <w:bottom w:w="0" w:type="dxa"/>
              <w:right w:w="0" w:type="dxa"/>
            </w:tcMar>
          </w:tcPr>
          <w:p w14:paraId="0EC4B9A8" w14:textId="77777777" w:rsidR="006C1055" w:rsidRPr="00A2171C" w:rsidRDefault="006C1055" w:rsidP="006C1055">
            <w:pPr>
              <w:pStyle w:val="Standard"/>
              <w:rPr>
                <w:sz w:val="20"/>
                <w:szCs w:val="20"/>
              </w:rPr>
            </w:pPr>
            <w:r w:rsidRPr="00A2171C">
              <w:rPr>
                <w:sz w:val="20"/>
                <w:szCs w:val="20"/>
              </w:rPr>
              <w:t>0</w:t>
            </w:r>
          </w:p>
        </w:tc>
        <w:tc>
          <w:tcPr>
            <w:tcW w:w="1474" w:type="dxa"/>
            <w:tcMar>
              <w:top w:w="0" w:type="dxa"/>
              <w:left w:w="0" w:type="dxa"/>
              <w:bottom w:w="0" w:type="dxa"/>
              <w:right w:w="0" w:type="dxa"/>
            </w:tcMar>
          </w:tcPr>
          <w:p w14:paraId="2C132D43" w14:textId="77777777" w:rsidR="006C1055" w:rsidRPr="00A2171C" w:rsidRDefault="006C1055" w:rsidP="006C1055">
            <w:pPr>
              <w:pStyle w:val="Standard"/>
              <w:rPr>
                <w:sz w:val="20"/>
                <w:szCs w:val="20"/>
              </w:rPr>
            </w:pPr>
            <w:r w:rsidRPr="00A2171C">
              <w:rPr>
                <w:sz w:val="20"/>
                <w:szCs w:val="20"/>
              </w:rPr>
              <w:t>1</w:t>
            </w:r>
          </w:p>
        </w:tc>
      </w:tr>
      <w:tr w:rsidR="00A2171C" w:rsidRPr="00A2171C" w14:paraId="2EFE6A50" w14:textId="77777777" w:rsidTr="00534A83">
        <w:trPr>
          <w:jc w:val="center"/>
        </w:trPr>
        <w:tc>
          <w:tcPr>
            <w:tcW w:w="2493" w:type="dxa"/>
            <w:tcMar>
              <w:top w:w="0" w:type="dxa"/>
              <w:left w:w="0" w:type="dxa"/>
              <w:bottom w:w="0" w:type="dxa"/>
              <w:right w:w="0" w:type="dxa"/>
            </w:tcMar>
          </w:tcPr>
          <w:p w14:paraId="2AE08949"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02FF8792"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20009B8C" w14:textId="77777777" w:rsidR="006C1055" w:rsidRPr="00A2171C" w:rsidRDefault="006C1055" w:rsidP="006C1055">
            <w:pPr>
              <w:pStyle w:val="Standard"/>
              <w:rPr>
                <w:sz w:val="20"/>
                <w:szCs w:val="20"/>
              </w:rPr>
            </w:pPr>
            <w:r w:rsidRPr="00A2171C">
              <w:rPr>
                <w:sz w:val="20"/>
                <w:szCs w:val="20"/>
              </w:rPr>
              <w:t>1</w:t>
            </w:r>
          </w:p>
        </w:tc>
        <w:tc>
          <w:tcPr>
            <w:tcW w:w="1474" w:type="dxa"/>
            <w:tcMar>
              <w:top w:w="0" w:type="dxa"/>
              <w:left w:w="0" w:type="dxa"/>
              <w:bottom w:w="0" w:type="dxa"/>
              <w:right w:w="0" w:type="dxa"/>
            </w:tcMar>
          </w:tcPr>
          <w:p w14:paraId="525C037B" w14:textId="77777777" w:rsidR="006C1055" w:rsidRPr="00A2171C" w:rsidRDefault="006C1055" w:rsidP="006C1055">
            <w:pPr>
              <w:pStyle w:val="Standard"/>
              <w:rPr>
                <w:sz w:val="20"/>
                <w:szCs w:val="20"/>
              </w:rPr>
            </w:pPr>
            <w:r w:rsidRPr="00A2171C">
              <w:rPr>
                <w:sz w:val="20"/>
                <w:szCs w:val="20"/>
              </w:rPr>
              <w:t>271</w:t>
            </w:r>
          </w:p>
        </w:tc>
      </w:tr>
      <w:tr w:rsidR="00A2171C" w:rsidRPr="00A2171C" w14:paraId="47E3B859" w14:textId="77777777" w:rsidTr="00534A83">
        <w:trPr>
          <w:jc w:val="center"/>
        </w:trPr>
        <w:tc>
          <w:tcPr>
            <w:tcW w:w="2493" w:type="dxa"/>
            <w:tcMar>
              <w:top w:w="0" w:type="dxa"/>
              <w:left w:w="0" w:type="dxa"/>
              <w:bottom w:w="0" w:type="dxa"/>
              <w:right w:w="0" w:type="dxa"/>
            </w:tcMar>
          </w:tcPr>
          <w:p w14:paraId="714156BA"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72A90B56"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5A24E67D" w14:textId="77777777" w:rsidR="006C1055" w:rsidRPr="00A2171C" w:rsidRDefault="006C1055" w:rsidP="006C1055">
            <w:pPr>
              <w:pStyle w:val="Standard"/>
              <w:rPr>
                <w:sz w:val="20"/>
                <w:szCs w:val="20"/>
              </w:rPr>
            </w:pPr>
            <w:r w:rsidRPr="00A2171C">
              <w:rPr>
                <w:sz w:val="20"/>
                <w:szCs w:val="20"/>
              </w:rPr>
              <w:t>2</w:t>
            </w:r>
          </w:p>
        </w:tc>
        <w:tc>
          <w:tcPr>
            <w:tcW w:w="1474" w:type="dxa"/>
            <w:tcMar>
              <w:top w:w="0" w:type="dxa"/>
              <w:left w:w="0" w:type="dxa"/>
              <w:bottom w:w="0" w:type="dxa"/>
              <w:right w:w="0" w:type="dxa"/>
            </w:tcMar>
          </w:tcPr>
          <w:p w14:paraId="54AB3A2D" w14:textId="77777777" w:rsidR="006C1055" w:rsidRPr="00A2171C" w:rsidRDefault="006C1055" w:rsidP="006C1055">
            <w:pPr>
              <w:pStyle w:val="Standard"/>
              <w:rPr>
                <w:sz w:val="20"/>
                <w:szCs w:val="20"/>
              </w:rPr>
            </w:pPr>
            <w:r w:rsidRPr="00A2171C">
              <w:rPr>
                <w:sz w:val="20"/>
                <w:szCs w:val="20"/>
              </w:rPr>
              <w:t>152</w:t>
            </w:r>
          </w:p>
        </w:tc>
      </w:tr>
      <w:tr w:rsidR="00A2171C" w:rsidRPr="00A2171C" w14:paraId="6C3B28C2" w14:textId="77777777" w:rsidTr="00534A83">
        <w:trPr>
          <w:jc w:val="center"/>
        </w:trPr>
        <w:tc>
          <w:tcPr>
            <w:tcW w:w="2493" w:type="dxa"/>
            <w:tcMar>
              <w:top w:w="0" w:type="dxa"/>
              <w:left w:w="0" w:type="dxa"/>
              <w:bottom w:w="0" w:type="dxa"/>
              <w:right w:w="0" w:type="dxa"/>
            </w:tcMar>
          </w:tcPr>
          <w:p w14:paraId="06240CAC"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3006C9E6"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0F7C44DD" w14:textId="77777777" w:rsidR="006C1055" w:rsidRPr="00A2171C" w:rsidRDefault="006C1055" w:rsidP="006C1055">
            <w:pPr>
              <w:pStyle w:val="Standard"/>
              <w:rPr>
                <w:sz w:val="20"/>
                <w:szCs w:val="20"/>
              </w:rPr>
            </w:pPr>
            <w:r w:rsidRPr="00A2171C">
              <w:rPr>
                <w:sz w:val="20"/>
                <w:szCs w:val="20"/>
              </w:rPr>
              <w:t>3</w:t>
            </w:r>
          </w:p>
        </w:tc>
        <w:tc>
          <w:tcPr>
            <w:tcW w:w="1474" w:type="dxa"/>
            <w:tcMar>
              <w:top w:w="0" w:type="dxa"/>
              <w:left w:w="0" w:type="dxa"/>
              <w:bottom w:w="0" w:type="dxa"/>
              <w:right w:w="0" w:type="dxa"/>
            </w:tcMar>
          </w:tcPr>
          <w:p w14:paraId="2D6A90A1" w14:textId="77777777" w:rsidR="006C1055" w:rsidRPr="00A2171C" w:rsidRDefault="006C1055" w:rsidP="006C1055">
            <w:pPr>
              <w:pStyle w:val="Standard"/>
              <w:rPr>
                <w:sz w:val="20"/>
                <w:szCs w:val="20"/>
              </w:rPr>
            </w:pPr>
            <w:r w:rsidRPr="00A2171C">
              <w:rPr>
                <w:sz w:val="20"/>
                <w:szCs w:val="20"/>
              </w:rPr>
              <w:t>12</w:t>
            </w:r>
          </w:p>
        </w:tc>
      </w:tr>
      <w:tr w:rsidR="00A2171C" w:rsidRPr="00A2171C" w14:paraId="4790FF17" w14:textId="77777777" w:rsidTr="00534A83">
        <w:trPr>
          <w:jc w:val="center"/>
        </w:trPr>
        <w:tc>
          <w:tcPr>
            <w:tcW w:w="2493" w:type="dxa"/>
            <w:tcMar>
              <w:top w:w="0" w:type="dxa"/>
              <w:left w:w="0" w:type="dxa"/>
              <w:bottom w:w="0" w:type="dxa"/>
              <w:right w:w="0" w:type="dxa"/>
            </w:tcMar>
          </w:tcPr>
          <w:p w14:paraId="34978420" w14:textId="77777777" w:rsidR="006C1055" w:rsidRPr="00A2171C" w:rsidRDefault="006C1055" w:rsidP="006C1055">
            <w:pPr>
              <w:pStyle w:val="Standard"/>
              <w:rPr>
                <w:iCs/>
                <w:sz w:val="20"/>
                <w:szCs w:val="20"/>
              </w:rPr>
            </w:pPr>
          </w:p>
        </w:tc>
        <w:tc>
          <w:tcPr>
            <w:tcW w:w="2891" w:type="dxa"/>
            <w:tcMar>
              <w:top w:w="0" w:type="dxa"/>
              <w:left w:w="0" w:type="dxa"/>
              <w:bottom w:w="0" w:type="dxa"/>
              <w:right w:w="0" w:type="dxa"/>
            </w:tcMar>
          </w:tcPr>
          <w:p w14:paraId="33B49DF6" w14:textId="77777777" w:rsidR="006C1055" w:rsidRPr="00A2171C" w:rsidRDefault="006C1055" w:rsidP="006C1055">
            <w:pPr>
              <w:pStyle w:val="Standard"/>
              <w:rPr>
                <w:sz w:val="20"/>
                <w:szCs w:val="20"/>
              </w:rPr>
            </w:pPr>
          </w:p>
        </w:tc>
        <w:tc>
          <w:tcPr>
            <w:tcW w:w="1719" w:type="dxa"/>
            <w:tcMar>
              <w:top w:w="0" w:type="dxa"/>
              <w:left w:w="0" w:type="dxa"/>
              <w:bottom w:w="0" w:type="dxa"/>
              <w:right w:w="0" w:type="dxa"/>
            </w:tcMar>
          </w:tcPr>
          <w:p w14:paraId="331CB425" w14:textId="77777777" w:rsidR="006C1055" w:rsidRPr="00A2171C" w:rsidRDefault="006C1055" w:rsidP="006C1055">
            <w:pPr>
              <w:pStyle w:val="Standard"/>
              <w:rPr>
                <w:sz w:val="20"/>
                <w:szCs w:val="20"/>
              </w:rPr>
            </w:pPr>
            <w:r w:rsidRPr="00A2171C">
              <w:rPr>
                <w:sz w:val="20"/>
                <w:szCs w:val="20"/>
              </w:rPr>
              <w:t>4</w:t>
            </w:r>
          </w:p>
        </w:tc>
        <w:tc>
          <w:tcPr>
            <w:tcW w:w="1474" w:type="dxa"/>
            <w:tcMar>
              <w:top w:w="0" w:type="dxa"/>
              <w:left w:w="0" w:type="dxa"/>
              <w:bottom w:w="0" w:type="dxa"/>
              <w:right w:w="0" w:type="dxa"/>
            </w:tcMar>
          </w:tcPr>
          <w:p w14:paraId="6F37B7BF" w14:textId="77777777" w:rsidR="006C1055" w:rsidRPr="00A2171C" w:rsidRDefault="006C1055" w:rsidP="006C1055">
            <w:pPr>
              <w:pStyle w:val="Standard"/>
              <w:rPr>
                <w:sz w:val="20"/>
                <w:szCs w:val="20"/>
              </w:rPr>
            </w:pPr>
            <w:r w:rsidRPr="00A2171C">
              <w:rPr>
                <w:sz w:val="20"/>
                <w:szCs w:val="20"/>
              </w:rPr>
              <w:t>6</w:t>
            </w:r>
          </w:p>
        </w:tc>
      </w:tr>
      <w:tr w:rsidR="00A2171C" w:rsidRPr="00A2171C" w14:paraId="7B6FEE96" w14:textId="77777777" w:rsidTr="00534A83">
        <w:trPr>
          <w:jc w:val="center"/>
        </w:trPr>
        <w:tc>
          <w:tcPr>
            <w:tcW w:w="2493" w:type="dxa"/>
            <w:tcMar>
              <w:top w:w="0" w:type="dxa"/>
              <w:left w:w="0" w:type="dxa"/>
              <w:bottom w:w="0" w:type="dxa"/>
              <w:right w:w="0" w:type="dxa"/>
            </w:tcMar>
          </w:tcPr>
          <w:p w14:paraId="404CD84E"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5F130E03" w14:textId="560103BA" w:rsidR="003E190F" w:rsidRPr="00A2171C" w:rsidRDefault="003E190F" w:rsidP="003E190F">
            <w:pPr>
              <w:pStyle w:val="Standard"/>
              <w:rPr>
                <w:sz w:val="20"/>
                <w:szCs w:val="20"/>
              </w:rPr>
            </w:pPr>
            <w:r w:rsidRPr="00A2171C">
              <w:rPr>
                <w:sz w:val="20"/>
                <w:szCs w:val="20"/>
              </w:rPr>
              <w:t>Construction materials</w:t>
            </w:r>
          </w:p>
        </w:tc>
        <w:tc>
          <w:tcPr>
            <w:tcW w:w="1719" w:type="dxa"/>
            <w:tcMar>
              <w:top w:w="0" w:type="dxa"/>
              <w:left w:w="0" w:type="dxa"/>
              <w:bottom w:w="0" w:type="dxa"/>
              <w:right w:w="0" w:type="dxa"/>
            </w:tcMar>
          </w:tcPr>
          <w:p w14:paraId="790D7595" w14:textId="77777777" w:rsidR="003E190F" w:rsidRPr="00A2171C" w:rsidRDefault="003E190F" w:rsidP="003E190F">
            <w:pPr>
              <w:pStyle w:val="Standard"/>
              <w:rPr>
                <w:sz w:val="20"/>
                <w:szCs w:val="20"/>
              </w:rPr>
            </w:pPr>
            <w:r w:rsidRPr="00A2171C">
              <w:rPr>
                <w:sz w:val="20"/>
                <w:szCs w:val="20"/>
              </w:rPr>
              <w:t>Adobe</w:t>
            </w:r>
          </w:p>
        </w:tc>
        <w:tc>
          <w:tcPr>
            <w:tcW w:w="1474" w:type="dxa"/>
            <w:tcMar>
              <w:top w:w="0" w:type="dxa"/>
              <w:left w:w="0" w:type="dxa"/>
              <w:bottom w:w="0" w:type="dxa"/>
              <w:right w:w="0" w:type="dxa"/>
            </w:tcMar>
          </w:tcPr>
          <w:p w14:paraId="1464D5EF" w14:textId="77777777" w:rsidR="003E190F" w:rsidRPr="00A2171C" w:rsidRDefault="003E190F" w:rsidP="003E190F">
            <w:pPr>
              <w:pStyle w:val="Standard"/>
              <w:rPr>
                <w:sz w:val="20"/>
                <w:szCs w:val="20"/>
              </w:rPr>
            </w:pPr>
            <w:r w:rsidRPr="00A2171C">
              <w:rPr>
                <w:sz w:val="20"/>
                <w:szCs w:val="20"/>
              </w:rPr>
              <w:t>154</w:t>
            </w:r>
          </w:p>
        </w:tc>
      </w:tr>
      <w:tr w:rsidR="00A2171C" w:rsidRPr="00A2171C" w14:paraId="4FCED218" w14:textId="77777777" w:rsidTr="00534A83">
        <w:trPr>
          <w:jc w:val="center"/>
        </w:trPr>
        <w:tc>
          <w:tcPr>
            <w:tcW w:w="2493" w:type="dxa"/>
            <w:tcMar>
              <w:top w:w="0" w:type="dxa"/>
              <w:left w:w="0" w:type="dxa"/>
              <w:bottom w:w="0" w:type="dxa"/>
              <w:right w:w="0" w:type="dxa"/>
            </w:tcMar>
          </w:tcPr>
          <w:p w14:paraId="1020FC9D"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5C87B9EC"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5DF476FD" w14:textId="77777777" w:rsidR="003E190F" w:rsidRPr="00A2171C" w:rsidRDefault="003E190F" w:rsidP="003E190F">
            <w:pPr>
              <w:pStyle w:val="Standard"/>
              <w:rPr>
                <w:sz w:val="20"/>
                <w:szCs w:val="20"/>
              </w:rPr>
            </w:pPr>
            <w:r w:rsidRPr="00A2171C">
              <w:rPr>
                <w:sz w:val="20"/>
                <w:szCs w:val="20"/>
              </w:rPr>
              <w:t>Brick</w:t>
            </w:r>
          </w:p>
        </w:tc>
        <w:tc>
          <w:tcPr>
            <w:tcW w:w="1474" w:type="dxa"/>
            <w:tcMar>
              <w:top w:w="0" w:type="dxa"/>
              <w:left w:w="0" w:type="dxa"/>
              <w:bottom w:w="0" w:type="dxa"/>
              <w:right w:w="0" w:type="dxa"/>
            </w:tcMar>
          </w:tcPr>
          <w:p w14:paraId="0685A31A" w14:textId="77777777" w:rsidR="003E190F" w:rsidRPr="00A2171C" w:rsidRDefault="003E190F" w:rsidP="003E190F">
            <w:pPr>
              <w:pStyle w:val="Standard"/>
              <w:rPr>
                <w:sz w:val="20"/>
                <w:szCs w:val="20"/>
              </w:rPr>
            </w:pPr>
            <w:r w:rsidRPr="00A2171C">
              <w:rPr>
                <w:sz w:val="20"/>
                <w:szCs w:val="20"/>
              </w:rPr>
              <w:t>289</w:t>
            </w:r>
          </w:p>
        </w:tc>
      </w:tr>
      <w:tr w:rsidR="00A2171C" w:rsidRPr="00A2171C" w14:paraId="128156C7" w14:textId="77777777" w:rsidTr="00534A83">
        <w:trPr>
          <w:jc w:val="center"/>
        </w:trPr>
        <w:tc>
          <w:tcPr>
            <w:tcW w:w="2493" w:type="dxa"/>
            <w:tcMar>
              <w:top w:w="0" w:type="dxa"/>
              <w:left w:w="0" w:type="dxa"/>
              <w:bottom w:w="0" w:type="dxa"/>
              <w:right w:w="0" w:type="dxa"/>
            </w:tcMar>
          </w:tcPr>
          <w:p w14:paraId="4C5EBEA8"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69C507FF"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46D0C117" w14:textId="77777777" w:rsidR="003E190F" w:rsidRPr="00A2171C" w:rsidRDefault="003E190F" w:rsidP="003E190F">
            <w:pPr>
              <w:pStyle w:val="Standard"/>
              <w:rPr>
                <w:sz w:val="20"/>
                <w:szCs w:val="20"/>
              </w:rPr>
            </w:pPr>
            <w:r w:rsidRPr="00A2171C">
              <w:rPr>
                <w:sz w:val="20"/>
                <w:szCs w:val="20"/>
              </w:rPr>
              <w:t>Quincha</w:t>
            </w:r>
          </w:p>
        </w:tc>
        <w:tc>
          <w:tcPr>
            <w:tcW w:w="1474" w:type="dxa"/>
            <w:tcMar>
              <w:top w:w="0" w:type="dxa"/>
              <w:left w:w="0" w:type="dxa"/>
              <w:bottom w:w="0" w:type="dxa"/>
              <w:right w:w="0" w:type="dxa"/>
            </w:tcMar>
          </w:tcPr>
          <w:p w14:paraId="518C6812" w14:textId="77777777" w:rsidR="003E190F" w:rsidRPr="00A2171C" w:rsidRDefault="003E190F" w:rsidP="003E190F">
            <w:pPr>
              <w:pStyle w:val="Standard"/>
              <w:rPr>
                <w:sz w:val="20"/>
                <w:szCs w:val="20"/>
              </w:rPr>
            </w:pPr>
            <w:r w:rsidRPr="00A2171C">
              <w:rPr>
                <w:sz w:val="20"/>
                <w:szCs w:val="20"/>
              </w:rPr>
              <w:t>61</w:t>
            </w:r>
          </w:p>
        </w:tc>
      </w:tr>
      <w:tr w:rsidR="00A2171C" w:rsidRPr="00A2171C" w14:paraId="00C4ABD1" w14:textId="77777777" w:rsidTr="00534A83">
        <w:trPr>
          <w:jc w:val="center"/>
        </w:trPr>
        <w:tc>
          <w:tcPr>
            <w:tcW w:w="2493" w:type="dxa"/>
            <w:tcMar>
              <w:top w:w="0" w:type="dxa"/>
              <w:left w:w="0" w:type="dxa"/>
              <w:bottom w:w="0" w:type="dxa"/>
              <w:right w:w="0" w:type="dxa"/>
            </w:tcMar>
          </w:tcPr>
          <w:p w14:paraId="06EADAC7"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7AD7A688"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3E1CAFFC" w14:textId="77777777" w:rsidR="003E190F" w:rsidRPr="00A2171C" w:rsidRDefault="003E190F" w:rsidP="003E190F">
            <w:pPr>
              <w:pStyle w:val="Standard"/>
              <w:rPr>
                <w:sz w:val="20"/>
                <w:szCs w:val="20"/>
              </w:rPr>
            </w:pPr>
            <w:r w:rsidRPr="00A2171C">
              <w:rPr>
                <w:sz w:val="20"/>
                <w:szCs w:val="20"/>
              </w:rPr>
              <w:t>Wood</w:t>
            </w:r>
          </w:p>
        </w:tc>
        <w:tc>
          <w:tcPr>
            <w:tcW w:w="1474" w:type="dxa"/>
            <w:tcMar>
              <w:top w:w="0" w:type="dxa"/>
              <w:left w:w="0" w:type="dxa"/>
              <w:bottom w:w="0" w:type="dxa"/>
              <w:right w:w="0" w:type="dxa"/>
            </w:tcMar>
          </w:tcPr>
          <w:p w14:paraId="6D9824B2" w14:textId="77777777" w:rsidR="003E190F" w:rsidRPr="00A2171C" w:rsidRDefault="003E190F" w:rsidP="003E190F">
            <w:pPr>
              <w:pStyle w:val="Standard"/>
              <w:rPr>
                <w:sz w:val="20"/>
                <w:szCs w:val="20"/>
              </w:rPr>
            </w:pPr>
            <w:r w:rsidRPr="00A2171C">
              <w:rPr>
                <w:sz w:val="20"/>
                <w:szCs w:val="20"/>
              </w:rPr>
              <w:t>10</w:t>
            </w:r>
          </w:p>
        </w:tc>
      </w:tr>
      <w:tr w:rsidR="00A2171C" w:rsidRPr="00A2171C" w14:paraId="660495E3" w14:textId="77777777" w:rsidTr="00534A83">
        <w:trPr>
          <w:jc w:val="center"/>
        </w:trPr>
        <w:tc>
          <w:tcPr>
            <w:tcW w:w="2493" w:type="dxa"/>
            <w:tcMar>
              <w:top w:w="0" w:type="dxa"/>
              <w:left w:w="0" w:type="dxa"/>
              <w:bottom w:w="0" w:type="dxa"/>
              <w:right w:w="0" w:type="dxa"/>
            </w:tcMar>
          </w:tcPr>
          <w:p w14:paraId="1F7F2468"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6BA47DC6" w14:textId="7536E0A7" w:rsidR="003E190F" w:rsidRPr="00A2171C" w:rsidRDefault="003E190F" w:rsidP="003E190F">
            <w:pPr>
              <w:pStyle w:val="Standard"/>
              <w:rPr>
                <w:sz w:val="20"/>
                <w:szCs w:val="20"/>
              </w:rPr>
            </w:pPr>
            <w:r w:rsidRPr="00A2171C">
              <w:rPr>
                <w:sz w:val="20"/>
                <w:szCs w:val="20"/>
              </w:rPr>
              <w:t>Number of materials per unit</w:t>
            </w:r>
          </w:p>
        </w:tc>
        <w:tc>
          <w:tcPr>
            <w:tcW w:w="1719" w:type="dxa"/>
            <w:tcMar>
              <w:top w:w="0" w:type="dxa"/>
              <w:left w:w="0" w:type="dxa"/>
              <w:bottom w:w="0" w:type="dxa"/>
              <w:right w:w="0" w:type="dxa"/>
            </w:tcMar>
          </w:tcPr>
          <w:p w14:paraId="207A0686" w14:textId="77777777" w:rsidR="003E190F" w:rsidRPr="00A2171C" w:rsidRDefault="003E190F" w:rsidP="003E190F">
            <w:pPr>
              <w:pStyle w:val="Standard"/>
              <w:rPr>
                <w:sz w:val="20"/>
                <w:szCs w:val="20"/>
              </w:rPr>
            </w:pPr>
            <w:r w:rsidRPr="00A2171C">
              <w:rPr>
                <w:sz w:val="20"/>
                <w:szCs w:val="20"/>
              </w:rPr>
              <w:t>1</w:t>
            </w:r>
          </w:p>
        </w:tc>
        <w:tc>
          <w:tcPr>
            <w:tcW w:w="1474" w:type="dxa"/>
            <w:tcMar>
              <w:top w:w="0" w:type="dxa"/>
              <w:left w:w="0" w:type="dxa"/>
              <w:bottom w:w="0" w:type="dxa"/>
              <w:right w:w="0" w:type="dxa"/>
            </w:tcMar>
          </w:tcPr>
          <w:p w14:paraId="0459043F" w14:textId="77777777" w:rsidR="003E190F" w:rsidRPr="00A2171C" w:rsidRDefault="003E190F" w:rsidP="003E190F">
            <w:pPr>
              <w:pStyle w:val="Standard"/>
              <w:rPr>
                <w:sz w:val="20"/>
                <w:szCs w:val="20"/>
              </w:rPr>
            </w:pPr>
            <w:r w:rsidRPr="00A2171C">
              <w:rPr>
                <w:sz w:val="20"/>
                <w:szCs w:val="20"/>
              </w:rPr>
              <w:t>372</w:t>
            </w:r>
          </w:p>
        </w:tc>
      </w:tr>
      <w:tr w:rsidR="00A2171C" w:rsidRPr="00A2171C" w14:paraId="0688AF58" w14:textId="77777777" w:rsidTr="00534A83">
        <w:trPr>
          <w:jc w:val="center"/>
        </w:trPr>
        <w:tc>
          <w:tcPr>
            <w:tcW w:w="2493" w:type="dxa"/>
            <w:tcBorders>
              <w:bottom w:val="single" w:sz="4" w:space="0" w:color="auto"/>
            </w:tcBorders>
            <w:tcMar>
              <w:top w:w="0" w:type="dxa"/>
              <w:left w:w="0" w:type="dxa"/>
              <w:bottom w:w="0" w:type="dxa"/>
              <w:right w:w="0" w:type="dxa"/>
            </w:tcMar>
          </w:tcPr>
          <w:p w14:paraId="58F71DB9" w14:textId="77777777" w:rsidR="003E190F" w:rsidRPr="00A2171C" w:rsidRDefault="003E190F" w:rsidP="003E190F">
            <w:pPr>
              <w:pStyle w:val="Standard"/>
              <w:rPr>
                <w:iCs/>
                <w:sz w:val="20"/>
                <w:szCs w:val="20"/>
              </w:rPr>
            </w:pPr>
          </w:p>
        </w:tc>
        <w:tc>
          <w:tcPr>
            <w:tcW w:w="2891" w:type="dxa"/>
            <w:tcBorders>
              <w:bottom w:val="single" w:sz="4" w:space="0" w:color="auto"/>
            </w:tcBorders>
            <w:tcMar>
              <w:top w:w="0" w:type="dxa"/>
              <w:left w:w="0" w:type="dxa"/>
              <w:bottom w:w="0" w:type="dxa"/>
              <w:right w:w="0" w:type="dxa"/>
            </w:tcMar>
          </w:tcPr>
          <w:p w14:paraId="1B3C3081" w14:textId="77777777" w:rsidR="003E190F" w:rsidRPr="00A2171C" w:rsidRDefault="003E190F" w:rsidP="003E190F">
            <w:pPr>
              <w:pStyle w:val="Standard"/>
              <w:rPr>
                <w:sz w:val="20"/>
                <w:szCs w:val="20"/>
              </w:rPr>
            </w:pPr>
          </w:p>
        </w:tc>
        <w:tc>
          <w:tcPr>
            <w:tcW w:w="1719" w:type="dxa"/>
            <w:tcBorders>
              <w:bottom w:val="single" w:sz="4" w:space="0" w:color="auto"/>
            </w:tcBorders>
            <w:tcMar>
              <w:top w:w="0" w:type="dxa"/>
              <w:left w:w="0" w:type="dxa"/>
              <w:bottom w:w="0" w:type="dxa"/>
              <w:right w:w="0" w:type="dxa"/>
            </w:tcMar>
          </w:tcPr>
          <w:p w14:paraId="6F1D86B9" w14:textId="77777777" w:rsidR="003E190F" w:rsidRPr="00A2171C" w:rsidRDefault="003E190F" w:rsidP="003E190F">
            <w:pPr>
              <w:pStyle w:val="Standard"/>
              <w:rPr>
                <w:sz w:val="20"/>
                <w:szCs w:val="20"/>
              </w:rPr>
            </w:pPr>
            <w:r w:rsidRPr="00A2171C">
              <w:rPr>
                <w:sz w:val="20"/>
                <w:szCs w:val="20"/>
              </w:rPr>
              <w:t>2</w:t>
            </w:r>
          </w:p>
        </w:tc>
        <w:tc>
          <w:tcPr>
            <w:tcW w:w="1474" w:type="dxa"/>
            <w:tcBorders>
              <w:bottom w:val="single" w:sz="4" w:space="0" w:color="auto"/>
            </w:tcBorders>
            <w:tcMar>
              <w:top w:w="0" w:type="dxa"/>
              <w:left w:w="0" w:type="dxa"/>
              <w:bottom w:w="0" w:type="dxa"/>
              <w:right w:w="0" w:type="dxa"/>
            </w:tcMar>
          </w:tcPr>
          <w:p w14:paraId="5AC65A72" w14:textId="77777777" w:rsidR="003E190F" w:rsidRPr="00A2171C" w:rsidRDefault="003E190F" w:rsidP="003E190F">
            <w:pPr>
              <w:pStyle w:val="Standard"/>
              <w:rPr>
                <w:sz w:val="20"/>
                <w:szCs w:val="20"/>
              </w:rPr>
            </w:pPr>
            <w:r w:rsidRPr="00A2171C">
              <w:rPr>
                <w:sz w:val="20"/>
                <w:szCs w:val="20"/>
              </w:rPr>
              <w:t>71</w:t>
            </w:r>
          </w:p>
        </w:tc>
      </w:tr>
      <w:tr w:rsidR="00A2171C" w:rsidRPr="00A2171C" w14:paraId="6A1D1577" w14:textId="77777777" w:rsidTr="00534A83">
        <w:trPr>
          <w:jc w:val="center"/>
        </w:trPr>
        <w:tc>
          <w:tcPr>
            <w:tcW w:w="2493" w:type="dxa"/>
            <w:tcBorders>
              <w:top w:val="single" w:sz="4" w:space="0" w:color="auto"/>
            </w:tcBorders>
            <w:tcMar>
              <w:top w:w="0" w:type="dxa"/>
              <w:left w:w="0" w:type="dxa"/>
              <w:bottom w:w="0" w:type="dxa"/>
              <w:right w:w="0" w:type="dxa"/>
            </w:tcMar>
          </w:tcPr>
          <w:p w14:paraId="5F8E454C" w14:textId="77777777" w:rsidR="003E190F" w:rsidRPr="00A2171C" w:rsidRDefault="003E190F" w:rsidP="003E190F">
            <w:pPr>
              <w:pStyle w:val="Standard"/>
              <w:rPr>
                <w:iCs/>
                <w:sz w:val="20"/>
                <w:szCs w:val="20"/>
              </w:rPr>
            </w:pPr>
          </w:p>
        </w:tc>
        <w:tc>
          <w:tcPr>
            <w:tcW w:w="2891" w:type="dxa"/>
            <w:tcBorders>
              <w:top w:val="single" w:sz="4" w:space="0" w:color="auto"/>
            </w:tcBorders>
            <w:tcMar>
              <w:top w:w="0" w:type="dxa"/>
              <w:left w:w="0" w:type="dxa"/>
              <w:bottom w:w="0" w:type="dxa"/>
              <w:right w:w="0" w:type="dxa"/>
            </w:tcMar>
          </w:tcPr>
          <w:p w14:paraId="70056F90" w14:textId="77777777" w:rsidR="003E190F" w:rsidRPr="00A2171C" w:rsidRDefault="003E190F" w:rsidP="003E190F">
            <w:pPr>
              <w:pStyle w:val="Standard"/>
              <w:rPr>
                <w:sz w:val="20"/>
                <w:szCs w:val="20"/>
              </w:rPr>
            </w:pPr>
          </w:p>
        </w:tc>
        <w:tc>
          <w:tcPr>
            <w:tcW w:w="1719" w:type="dxa"/>
            <w:tcBorders>
              <w:top w:val="single" w:sz="4" w:space="0" w:color="auto"/>
            </w:tcBorders>
            <w:tcMar>
              <w:top w:w="0" w:type="dxa"/>
              <w:left w:w="0" w:type="dxa"/>
              <w:bottom w:w="0" w:type="dxa"/>
              <w:right w:w="0" w:type="dxa"/>
            </w:tcMar>
          </w:tcPr>
          <w:p w14:paraId="1B95EA4A" w14:textId="77777777" w:rsidR="003E190F" w:rsidRPr="00A2171C" w:rsidRDefault="003E190F" w:rsidP="003E190F">
            <w:pPr>
              <w:pStyle w:val="Standard"/>
              <w:rPr>
                <w:sz w:val="20"/>
                <w:szCs w:val="20"/>
              </w:rPr>
            </w:pPr>
          </w:p>
        </w:tc>
        <w:tc>
          <w:tcPr>
            <w:tcW w:w="1474" w:type="dxa"/>
            <w:tcBorders>
              <w:top w:val="single" w:sz="4" w:space="0" w:color="auto"/>
            </w:tcBorders>
            <w:tcMar>
              <w:top w:w="0" w:type="dxa"/>
              <w:left w:w="0" w:type="dxa"/>
              <w:bottom w:w="0" w:type="dxa"/>
              <w:right w:w="0" w:type="dxa"/>
            </w:tcMar>
          </w:tcPr>
          <w:p w14:paraId="6149DFD7" w14:textId="77777777" w:rsidR="003E190F" w:rsidRPr="00A2171C" w:rsidRDefault="003E190F" w:rsidP="003E190F">
            <w:pPr>
              <w:pStyle w:val="Standard"/>
              <w:rPr>
                <w:sz w:val="20"/>
                <w:szCs w:val="20"/>
              </w:rPr>
            </w:pPr>
          </w:p>
        </w:tc>
      </w:tr>
      <w:tr w:rsidR="00A2171C" w:rsidRPr="00A2171C" w14:paraId="4834B9D5" w14:textId="77777777" w:rsidTr="00534A83">
        <w:trPr>
          <w:jc w:val="center"/>
        </w:trPr>
        <w:tc>
          <w:tcPr>
            <w:tcW w:w="2493" w:type="dxa"/>
            <w:tcMar>
              <w:top w:w="0" w:type="dxa"/>
              <w:left w:w="0" w:type="dxa"/>
              <w:bottom w:w="0" w:type="dxa"/>
              <w:right w:w="0" w:type="dxa"/>
            </w:tcMar>
          </w:tcPr>
          <w:p w14:paraId="43069C64" w14:textId="090E850D" w:rsidR="003E190F" w:rsidRPr="00A2171C" w:rsidRDefault="003E190F" w:rsidP="003E190F">
            <w:pPr>
              <w:pStyle w:val="Standard"/>
              <w:rPr>
                <w:iCs/>
                <w:sz w:val="20"/>
                <w:szCs w:val="20"/>
              </w:rPr>
            </w:pPr>
            <w:r w:rsidRPr="00A2171C">
              <w:rPr>
                <w:iCs/>
                <w:sz w:val="20"/>
                <w:szCs w:val="20"/>
              </w:rPr>
              <w:t>Unit occupancy and crowding</w:t>
            </w:r>
          </w:p>
        </w:tc>
        <w:tc>
          <w:tcPr>
            <w:tcW w:w="2891" w:type="dxa"/>
            <w:tcMar>
              <w:top w:w="0" w:type="dxa"/>
              <w:left w:w="0" w:type="dxa"/>
              <w:bottom w:w="0" w:type="dxa"/>
              <w:right w:w="0" w:type="dxa"/>
            </w:tcMar>
          </w:tcPr>
          <w:p w14:paraId="6FAA8C5B" w14:textId="1D18CD7A" w:rsidR="003E190F" w:rsidRPr="00A2171C" w:rsidRDefault="003E190F" w:rsidP="003E190F">
            <w:pPr>
              <w:pStyle w:val="Standard"/>
              <w:rPr>
                <w:sz w:val="20"/>
                <w:szCs w:val="20"/>
              </w:rPr>
            </w:pPr>
            <w:r w:rsidRPr="00A2171C">
              <w:rPr>
                <w:sz w:val="20"/>
                <w:szCs w:val="20"/>
              </w:rPr>
              <w:t>Typical occupancy per unit</w:t>
            </w:r>
          </w:p>
        </w:tc>
        <w:tc>
          <w:tcPr>
            <w:tcW w:w="1719" w:type="dxa"/>
            <w:tcMar>
              <w:top w:w="0" w:type="dxa"/>
              <w:left w:w="0" w:type="dxa"/>
              <w:bottom w:w="0" w:type="dxa"/>
              <w:right w:w="0" w:type="dxa"/>
            </w:tcMar>
          </w:tcPr>
          <w:p w14:paraId="7CD76BB4" w14:textId="77777777" w:rsidR="003E190F" w:rsidRPr="00A2171C" w:rsidRDefault="003E190F" w:rsidP="003E190F">
            <w:pPr>
              <w:pStyle w:val="Standard"/>
              <w:rPr>
                <w:sz w:val="20"/>
                <w:szCs w:val="20"/>
              </w:rPr>
            </w:pPr>
            <w:r w:rsidRPr="00A2171C">
              <w:rPr>
                <w:sz w:val="20"/>
                <w:szCs w:val="20"/>
              </w:rPr>
              <w:t>0</w:t>
            </w:r>
          </w:p>
        </w:tc>
        <w:tc>
          <w:tcPr>
            <w:tcW w:w="1474" w:type="dxa"/>
            <w:tcMar>
              <w:top w:w="0" w:type="dxa"/>
              <w:left w:w="0" w:type="dxa"/>
              <w:bottom w:w="0" w:type="dxa"/>
              <w:right w:w="0" w:type="dxa"/>
            </w:tcMar>
          </w:tcPr>
          <w:p w14:paraId="6F4BC0EA" w14:textId="77777777" w:rsidR="003E190F" w:rsidRPr="00A2171C" w:rsidRDefault="003E190F" w:rsidP="003E190F">
            <w:pPr>
              <w:pStyle w:val="Standard"/>
              <w:rPr>
                <w:sz w:val="20"/>
                <w:szCs w:val="20"/>
              </w:rPr>
            </w:pPr>
            <w:r w:rsidRPr="00A2171C">
              <w:rPr>
                <w:sz w:val="20"/>
                <w:szCs w:val="20"/>
              </w:rPr>
              <w:t>43</w:t>
            </w:r>
          </w:p>
        </w:tc>
      </w:tr>
      <w:tr w:rsidR="00A2171C" w:rsidRPr="00A2171C" w14:paraId="3298988F" w14:textId="77777777" w:rsidTr="00534A83">
        <w:trPr>
          <w:jc w:val="center"/>
        </w:trPr>
        <w:tc>
          <w:tcPr>
            <w:tcW w:w="2493" w:type="dxa"/>
            <w:tcMar>
              <w:top w:w="0" w:type="dxa"/>
              <w:left w:w="0" w:type="dxa"/>
              <w:bottom w:w="0" w:type="dxa"/>
              <w:right w:w="0" w:type="dxa"/>
            </w:tcMar>
          </w:tcPr>
          <w:p w14:paraId="29C9FEB7"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453D8042"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636E2C48" w14:textId="77777777" w:rsidR="003E190F" w:rsidRPr="00A2171C" w:rsidRDefault="003E190F" w:rsidP="003E190F">
            <w:pPr>
              <w:pStyle w:val="Standard"/>
              <w:rPr>
                <w:sz w:val="20"/>
                <w:szCs w:val="20"/>
              </w:rPr>
            </w:pPr>
            <w:r w:rsidRPr="00A2171C">
              <w:rPr>
                <w:sz w:val="20"/>
                <w:szCs w:val="20"/>
              </w:rPr>
              <w:t>1-5</w:t>
            </w:r>
          </w:p>
        </w:tc>
        <w:tc>
          <w:tcPr>
            <w:tcW w:w="1474" w:type="dxa"/>
            <w:tcMar>
              <w:top w:w="0" w:type="dxa"/>
              <w:left w:w="0" w:type="dxa"/>
              <w:bottom w:w="0" w:type="dxa"/>
              <w:right w:w="0" w:type="dxa"/>
            </w:tcMar>
          </w:tcPr>
          <w:p w14:paraId="14A5AADD" w14:textId="77777777" w:rsidR="003E190F" w:rsidRPr="00A2171C" w:rsidRDefault="003E190F" w:rsidP="003E190F">
            <w:pPr>
              <w:pStyle w:val="Standard"/>
              <w:rPr>
                <w:sz w:val="20"/>
                <w:szCs w:val="20"/>
              </w:rPr>
            </w:pPr>
            <w:r w:rsidRPr="00A2171C">
              <w:rPr>
                <w:sz w:val="20"/>
                <w:szCs w:val="20"/>
              </w:rPr>
              <w:t>92</w:t>
            </w:r>
          </w:p>
        </w:tc>
      </w:tr>
      <w:tr w:rsidR="00A2171C" w:rsidRPr="00A2171C" w14:paraId="4C3AAE8B" w14:textId="77777777" w:rsidTr="00534A83">
        <w:trPr>
          <w:jc w:val="center"/>
        </w:trPr>
        <w:tc>
          <w:tcPr>
            <w:tcW w:w="2493" w:type="dxa"/>
            <w:tcMar>
              <w:top w:w="0" w:type="dxa"/>
              <w:left w:w="0" w:type="dxa"/>
              <w:bottom w:w="0" w:type="dxa"/>
              <w:right w:w="0" w:type="dxa"/>
            </w:tcMar>
          </w:tcPr>
          <w:p w14:paraId="2321693D"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53CF00FB"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47658363" w14:textId="77777777" w:rsidR="003E190F" w:rsidRPr="00A2171C" w:rsidRDefault="003E190F" w:rsidP="003E190F">
            <w:pPr>
              <w:pStyle w:val="Standard"/>
              <w:rPr>
                <w:sz w:val="20"/>
                <w:szCs w:val="20"/>
              </w:rPr>
            </w:pPr>
            <w:r w:rsidRPr="00A2171C">
              <w:rPr>
                <w:sz w:val="20"/>
                <w:szCs w:val="20"/>
              </w:rPr>
              <w:t>6-10</w:t>
            </w:r>
          </w:p>
        </w:tc>
        <w:tc>
          <w:tcPr>
            <w:tcW w:w="1474" w:type="dxa"/>
            <w:tcMar>
              <w:top w:w="0" w:type="dxa"/>
              <w:left w:w="0" w:type="dxa"/>
              <w:bottom w:w="0" w:type="dxa"/>
              <w:right w:w="0" w:type="dxa"/>
            </w:tcMar>
          </w:tcPr>
          <w:p w14:paraId="1C6E3D84" w14:textId="77777777" w:rsidR="003E190F" w:rsidRPr="00A2171C" w:rsidRDefault="003E190F" w:rsidP="003E190F">
            <w:pPr>
              <w:pStyle w:val="Standard"/>
              <w:rPr>
                <w:sz w:val="20"/>
                <w:szCs w:val="20"/>
              </w:rPr>
            </w:pPr>
            <w:r w:rsidRPr="00A2171C">
              <w:rPr>
                <w:sz w:val="20"/>
                <w:szCs w:val="20"/>
              </w:rPr>
              <w:t>98</w:t>
            </w:r>
          </w:p>
        </w:tc>
      </w:tr>
      <w:tr w:rsidR="00A2171C" w:rsidRPr="00A2171C" w14:paraId="628AB781" w14:textId="77777777" w:rsidTr="00534A83">
        <w:trPr>
          <w:jc w:val="center"/>
        </w:trPr>
        <w:tc>
          <w:tcPr>
            <w:tcW w:w="2493" w:type="dxa"/>
            <w:tcMar>
              <w:top w:w="0" w:type="dxa"/>
              <w:left w:w="0" w:type="dxa"/>
              <w:bottom w:w="0" w:type="dxa"/>
              <w:right w:w="0" w:type="dxa"/>
            </w:tcMar>
          </w:tcPr>
          <w:p w14:paraId="0246F02E"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7678B47A"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0FB0AD21" w14:textId="77777777" w:rsidR="003E190F" w:rsidRPr="00A2171C" w:rsidRDefault="003E190F" w:rsidP="003E190F">
            <w:pPr>
              <w:pStyle w:val="Standard"/>
              <w:rPr>
                <w:sz w:val="20"/>
                <w:szCs w:val="20"/>
              </w:rPr>
            </w:pPr>
            <w:r w:rsidRPr="00A2171C">
              <w:rPr>
                <w:sz w:val="20"/>
                <w:szCs w:val="20"/>
              </w:rPr>
              <w:t>11-20</w:t>
            </w:r>
          </w:p>
        </w:tc>
        <w:tc>
          <w:tcPr>
            <w:tcW w:w="1474" w:type="dxa"/>
            <w:tcMar>
              <w:top w:w="0" w:type="dxa"/>
              <w:left w:w="0" w:type="dxa"/>
              <w:bottom w:w="0" w:type="dxa"/>
              <w:right w:w="0" w:type="dxa"/>
            </w:tcMar>
          </w:tcPr>
          <w:p w14:paraId="07EE7853" w14:textId="77777777" w:rsidR="003E190F" w:rsidRPr="00A2171C" w:rsidRDefault="003E190F" w:rsidP="003E190F">
            <w:pPr>
              <w:pStyle w:val="Standard"/>
              <w:rPr>
                <w:sz w:val="20"/>
                <w:szCs w:val="20"/>
              </w:rPr>
            </w:pPr>
            <w:r w:rsidRPr="00A2171C">
              <w:rPr>
                <w:sz w:val="20"/>
                <w:szCs w:val="20"/>
              </w:rPr>
              <w:t>71</w:t>
            </w:r>
          </w:p>
        </w:tc>
      </w:tr>
      <w:tr w:rsidR="00A2171C" w:rsidRPr="00A2171C" w14:paraId="309858FC" w14:textId="77777777" w:rsidTr="00534A83">
        <w:trPr>
          <w:jc w:val="center"/>
        </w:trPr>
        <w:tc>
          <w:tcPr>
            <w:tcW w:w="2493" w:type="dxa"/>
            <w:tcMar>
              <w:top w:w="0" w:type="dxa"/>
              <w:left w:w="0" w:type="dxa"/>
              <w:bottom w:w="0" w:type="dxa"/>
              <w:right w:w="0" w:type="dxa"/>
            </w:tcMar>
          </w:tcPr>
          <w:p w14:paraId="7EAEC845"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1245FB4D"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21C672BF" w14:textId="77777777" w:rsidR="003E190F" w:rsidRPr="00A2171C" w:rsidRDefault="003E190F" w:rsidP="003E190F">
            <w:pPr>
              <w:pStyle w:val="Standard"/>
              <w:rPr>
                <w:sz w:val="20"/>
                <w:szCs w:val="20"/>
              </w:rPr>
            </w:pPr>
            <w:r w:rsidRPr="00A2171C">
              <w:rPr>
                <w:sz w:val="20"/>
                <w:szCs w:val="20"/>
              </w:rPr>
              <w:t>21-40</w:t>
            </w:r>
          </w:p>
        </w:tc>
        <w:tc>
          <w:tcPr>
            <w:tcW w:w="1474" w:type="dxa"/>
            <w:tcMar>
              <w:top w:w="0" w:type="dxa"/>
              <w:left w:w="0" w:type="dxa"/>
              <w:bottom w:w="0" w:type="dxa"/>
              <w:right w:w="0" w:type="dxa"/>
            </w:tcMar>
          </w:tcPr>
          <w:p w14:paraId="552CBE96" w14:textId="77777777" w:rsidR="003E190F" w:rsidRPr="00A2171C" w:rsidRDefault="003E190F" w:rsidP="003E190F">
            <w:pPr>
              <w:pStyle w:val="Standard"/>
              <w:rPr>
                <w:sz w:val="20"/>
                <w:szCs w:val="20"/>
              </w:rPr>
            </w:pPr>
            <w:r w:rsidRPr="00A2171C">
              <w:rPr>
                <w:sz w:val="20"/>
                <w:szCs w:val="20"/>
              </w:rPr>
              <w:t>34</w:t>
            </w:r>
          </w:p>
        </w:tc>
      </w:tr>
      <w:tr w:rsidR="00A2171C" w:rsidRPr="00A2171C" w14:paraId="20534D62" w14:textId="77777777" w:rsidTr="00534A83">
        <w:trPr>
          <w:jc w:val="center"/>
        </w:trPr>
        <w:tc>
          <w:tcPr>
            <w:tcW w:w="2493" w:type="dxa"/>
            <w:tcMar>
              <w:top w:w="0" w:type="dxa"/>
              <w:left w:w="0" w:type="dxa"/>
              <w:bottom w:w="0" w:type="dxa"/>
              <w:right w:w="0" w:type="dxa"/>
            </w:tcMar>
          </w:tcPr>
          <w:p w14:paraId="5F9A82E1"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459BC895"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046AC39D" w14:textId="77777777" w:rsidR="003E190F" w:rsidRPr="00A2171C" w:rsidRDefault="003E190F" w:rsidP="003E190F">
            <w:pPr>
              <w:pStyle w:val="Standard"/>
              <w:rPr>
                <w:sz w:val="20"/>
                <w:szCs w:val="20"/>
              </w:rPr>
            </w:pPr>
            <w:r w:rsidRPr="00A2171C">
              <w:rPr>
                <w:sz w:val="20"/>
                <w:szCs w:val="20"/>
              </w:rPr>
              <w:t>41-60</w:t>
            </w:r>
          </w:p>
        </w:tc>
        <w:tc>
          <w:tcPr>
            <w:tcW w:w="1474" w:type="dxa"/>
            <w:tcMar>
              <w:top w:w="0" w:type="dxa"/>
              <w:left w:w="0" w:type="dxa"/>
              <w:bottom w:w="0" w:type="dxa"/>
              <w:right w:w="0" w:type="dxa"/>
            </w:tcMar>
          </w:tcPr>
          <w:p w14:paraId="0EDF1C74" w14:textId="77777777" w:rsidR="003E190F" w:rsidRPr="00A2171C" w:rsidRDefault="003E190F" w:rsidP="003E190F">
            <w:pPr>
              <w:pStyle w:val="Standard"/>
              <w:rPr>
                <w:sz w:val="20"/>
                <w:szCs w:val="20"/>
              </w:rPr>
            </w:pPr>
            <w:r w:rsidRPr="00A2171C">
              <w:rPr>
                <w:sz w:val="20"/>
                <w:szCs w:val="20"/>
              </w:rPr>
              <w:t>6</w:t>
            </w:r>
          </w:p>
        </w:tc>
      </w:tr>
      <w:tr w:rsidR="00A2171C" w:rsidRPr="00A2171C" w14:paraId="0CBAC498" w14:textId="77777777" w:rsidTr="00534A83">
        <w:trPr>
          <w:jc w:val="center"/>
        </w:trPr>
        <w:tc>
          <w:tcPr>
            <w:tcW w:w="2493" w:type="dxa"/>
            <w:tcMar>
              <w:top w:w="0" w:type="dxa"/>
              <w:left w:w="0" w:type="dxa"/>
              <w:bottom w:w="0" w:type="dxa"/>
              <w:right w:w="0" w:type="dxa"/>
            </w:tcMar>
          </w:tcPr>
          <w:p w14:paraId="36CC67C4"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5AB5A8C3"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06182386" w14:textId="77777777" w:rsidR="003E190F" w:rsidRPr="00A2171C" w:rsidRDefault="003E190F" w:rsidP="003E190F">
            <w:pPr>
              <w:pStyle w:val="Standard"/>
              <w:rPr>
                <w:sz w:val="20"/>
                <w:szCs w:val="20"/>
              </w:rPr>
            </w:pPr>
            <w:r w:rsidRPr="00A2171C">
              <w:rPr>
                <w:sz w:val="20"/>
                <w:szCs w:val="20"/>
              </w:rPr>
              <w:t>Variable</w:t>
            </w:r>
          </w:p>
        </w:tc>
        <w:tc>
          <w:tcPr>
            <w:tcW w:w="1474" w:type="dxa"/>
            <w:tcMar>
              <w:top w:w="0" w:type="dxa"/>
              <w:left w:w="0" w:type="dxa"/>
              <w:bottom w:w="0" w:type="dxa"/>
              <w:right w:w="0" w:type="dxa"/>
            </w:tcMar>
          </w:tcPr>
          <w:p w14:paraId="6717879F" w14:textId="77777777" w:rsidR="003E190F" w:rsidRPr="00A2171C" w:rsidRDefault="003E190F" w:rsidP="003E190F">
            <w:pPr>
              <w:pStyle w:val="Standard"/>
              <w:rPr>
                <w:sz w:val="20"/>
                <w:szCs w:val="20"/>
              </w:rPr>
            </w:pPr>
            <w:r w:rsidRPr="00A2171C">
              <w:rPr>
                <w:sz w:val="20"/>
                <w:szCs w:val="20"/>
              </w:rPr>
              <w:t>87</w:t>
            </w:r>
          </w:p>
        </w:tc>
      </w:tr>
      <w:tr w:rsidR="00A2171C" w:rsidRPr="00A2171C" w14:paraId="4F0A7DE8" w14:textId="77777777" w:rsidTr="00534A83">
        <w:trPr>
          <w:jc w:val="center"/>
        </w:trPr>
        <w:tc>
          <w:tcPr>
            <w:tcW w:w="2493" w:type="dxa"/>
            <w:tcMar>
              <w:top w:w="0" w:type="dxa"/>
              <w:left w:w="0" w:type="dxa"/>
              <w:bottom w:w="0" w:type="dxa"/>
              <w:right w:w="0" w:type="dxa"/>
            </w:tcMar>
          </w:tcPr>
          <w:p w14:paraId="30529834"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6BA5C31A" w14:textId="7F131E5F" w:rsidR="003E190F" w:rsidRPr="00A2171C" w:rsidRDefault="003E190F" w:rsidP="003E190F">
            <w:pPr>
              <w:pStyle w:val="Standard"/>
              <w:rPr>
                <w:sz w:val="20"/>
                <w:szCs w:val="20"/>
              </w:rPr>
            </w:pPr>
            <w:r w:rsidRPr="00A2171C">
              <w:rPr>
                <w:sz w:val="20"/>
                <w:szCs w:val="20"/>
              </w:rPr>
              <w:t>The unit is overcrowded</w:t>
            </w:r>
          </w:p>
        </w:tc>
        <w:tc>
          <w:tcPr>
            <w:tcW w:w="1719" w:type="dxa"/>
            <w:tcMar>
              <w:top w:w="0" w:type="dxa"/>
              <w:left w:w="0" w:type="dxa"/>
              <w:bottom w:w="0" w:type="dxa"/>
              <w:right w:w="0" w:type="dxa"/>
            </w:tcMar>
          </w:tcPr>
          <w:p w14:paraId="513AAFD6" w14:textId="77777777" w:rsidR="003E190F" w:rsidRPr="00A2171C" w:rsidRDefault="003E190F" w:rsidP="003E190F">
            <w:pPr>
              <w:pStyle w:val="Standard"/>
              <w:rPr>
                <w:sz w:val="20"/>
                <w:szCs w:val="20"/>
              </w:rPr>
            </w:pPr>
            <w:r w:rsidRPr="00A2171C">
              <w:rPr>
                <w:sz w:val="20"/>
                <w:szCs w:val="20"/>
              </w:rPr>
              <w:t>Yes</w:t>
            </w:r>
          </w:p>
        </w:tc>
        <w:tc>
          <w:tcPr>
            <w:tcW w:w="1474" w:type="dxa"/>
            <w:tcMar>
              <w:top w:w="0" w:type="dxa"/>
              <w:left w:w="0" w:type="dxa"/>
              <w:bottom w:w="0" w:type="dxa"/>
              <w:right w:w="0" w:type="dxa"/>
            </w:tcMar>
          </w:tcPr>
          <w:p w14:paraId="53787417" w14:textId="77777777" w:rsidR="003E190F" w:rsidRPr="00A2171C" w:rsidRDefault="003E190F" w:rsidP="003E190F">
            <w:pPr>
              <w:pStyle w:val="Standard"/>
              <w:rPr>
                <w:sz w:val="20"/>
                <w:szCs w:val="20"/>
              </w:rPr>
            </w:pPr>
            <w:r w:rsidRPr="00A2171C">
              <w:rPr>
                <w:sz w:val="20"/>
                <w:szCs w:val="20"/>
              </w:rPr>
              <w:t>108</w:t>
            </w:r>
          </w:p>
        </w:tc>
      </w:tr>
      <w:tr w:rsidR="00A2171C" w:rsidRPr="00A2171C" w14:paraId="0015CF83" w14:textId="77777777" w:rsidTr="00534A83">
        <w:trPr>
          <w:jc w:val="center"/>
        </w:trPr>
        <w:tc>
          <w:tcPr>
            <w:tcW w:w="2493" w:type="dxa"/>
            <w:tcMar>
              <w:top w:w="0" w:type="dxa"/>
              <w:left w:w="0" w:type="dxa"/>
              <w:bottom w:w="0" w:type="dxa"/>
              <w:right w:w="0" w:type="dxa"/>
            </w:tcMar>
          </w:tcPr>
          <w:p w14:paraId="7CCFF964"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519F6C6F" w14:textId="78C36D4A" w:rsidR="003E190F" w:rsidRPr="00A2171C" w:rsidRDefault="003E190F" w:rsidP="003E190F">
            <w:pPr>
              <w:pStyle w:val="Standard"/>
              <w:rPr>
                <w:sz w:val="20"/>
                <w:szCs w:val="20"/>
              </w:rPr>
            </w:pPr>
            <w:r w:rsidRPr="00A2171C">
              <w:rPr>
                <w:sz w:val="20"/>
                <w:szCs w:val="20"/>
              </w:rPr>
              <w:t>Occupants with low mobility</w:t>
            </w:r>
          </w:p>
        </w:tc>
        <w:tc>
          <w:tcPr>
            <w:tcW w:w="1719" w:type="dxa"/>
            <w:tcMar>
              <w:top w:w="0" w:type="dxa"/>
              <w:left w:w="0" w:type="dxa"/>
              <w:bottom w:w="0" w:type="dxa"/>
              <w:right w:w="0" w:type="dxa"/>
            </w:tcMar>
          </w:tcPr>
          <w:p w14:paraId="6C0FC8F2" w14:textId="77777777" w:rsidR="003E190F" w:rsidRPr="00A2171C" w:rsidRDefault="003E190F" w:rsidP="003E190F">
            <w:pPr>
              <w:pStyle w:val="Standard"/>
              <w:rPr>
                <w:sz w:val="20"/>
                <w:szCs w:val="20"/>
              </w:rPr>
            </w:pPr>
            <w:r w:rsidRPr="00A2171C">
              <w:rPr>
                <w:sz w:val="20"/>
                <w:szCs w:val="20"/>
              </w:rPr>
              <w:t>Yes</w:t>
            </w:r>
          </w:p>
        </w:tc>
        <w:tc>
          <w:tcPr>
            <w:tcW w:w="1474" w:type="dxa"/>
            <w:tcMar>
              <w:top w:w="0" w:type="dxa"/>
              <w:left w:w="0" w:type="dxa"/>
              <w:bottom w:w="0" w:type="dxa"/>
              <w:right w:w="0" w:type="dxa"/>
            </w:tcMar>
          </w:tcPr>
          <w:p w14:paraId="349CD7F6" w14:textId="77777777" w:rsidR="003E190F" w:rsidRPr="00A2171C" w:rsidRDefault="003E190F" w:rsidP="003E190F">
            <w:pPr>
              <w:pStyle w:val="Standard"/>
              <w:rPr>
                <w:sz w:val="20"/>
                <w:szCs w:val="20"/>
              </w:rPr>
            </w:pPr>
            <w:r w:rsidRPr="00A2171C">
              <w:rPr>
                <w:sz w:val="20"/>
                <w:szCs w:val="20"/>
              </w:rPr>
              <w:t>38</w:t>
            </w:r>
          </w:p>
        </w:tc>
      </w:tr>
      <w:tr w:rsidR="00A2171C" w:rsidRPr="00A2171C" w14:paraId="04A25B8B" w14:textId="77777777" w:rsidTr="00534A83">
        <w:trPr>
          <w:jc w:val="center"/>
        </w:trPr>
        <w:tc>
          <w:tcPr>
            <w:tcW w:w="2493" w:type="dxa"/>
            <w:tcBorders>
              <w:bottom w:val="single" w:sz="2" w:space="0" w:color="000000"/>
            </w:tcBorders>
            <w:tcMar>
              <w:top w:w="0" w:type="dxa"/>
              <w:left w:w="0" w:type="dxa"/>
              <w:bottom w:w="0" w:type="dxa"/>
              <w:right w:w="0" w:type="dxa"/>
            </w:tcMar>
          </w:tcPr>
          <w:p w14:paraId="5FC69194" w14:textId="77777777" w:rsidR="003E190F" w:rsidRPr="00A2171C" w:rsidRDefault="003E190F" w:rsidP="003E190F">
            <w:pPr>
              <w:pStyle w:val="Standard"/>
              <w:rPr>
                <w:iCs/>
                <w:sz w:val="20"/>
                <w:szCs w:val="20"/>
              </w:rPr>
            </w:pPr>
          </w:p>
        </w:tc>
        <w:tc>
          <w:tcPr>
            <w:tcW w:w="2891" w:type="dxa"/>
            <w:tcBorders>
              <w:bottom w:val="single" w:sz="2" w:space="0" w:color="000000"/>
            </w:tcBorders>
            <w:tcMar>
              <w:top w:w="0" w:type="dxa"/>
              <w:left w:w="0" w:type="dxa"/>
              <w:bottom w:w="0" w:type="dxa"/>
              <w:right w:w="0" w:type="dxa"/>
            </w:tcMar>
          </w:tcPr>
          <w:p w14:paraId="5FCBD56C" w14:textId="77777777" w:rsidR="003E190F" w:rsidRPr="00A2171C" w:rsidRDefault="003E190F" w:rsidP="003E190F">
            <w:pPr>
              <w:pStyle w:val="Standard"/>
              <w:rPr>
                <w:sz w:val="20"/>
                <w:szCs w:val="20"/>
              </w:rPr>
            </w:pPr>
          </w:p>
        </w:tc>
        <w:tc>
          <w:tcPr>
            <w:tcW w:w="1719" w:type="dxa"/>
            <w:tcBorders>
              <w:bottom w:val="single" w:sz="2" w:space="0" w:color="000000"/>
            </w:tcBorders>
            <w:tcMar>
              <w:top w:w="0" w:type="dxa"/>
              <w:left w:w="0" w:type="dxa"/>
              <w:bottom w:w="0" w:type="dxa"/>
              <w:right w:w="0" w:type="dxa"/>
            </w:tcMar>
          </w:tcPr>
          <w:p w14:paraId="29C784F9" w14:textId="77777777" w:rsidR="003E190F" w:rsidRPr="00A2171C" w:rsidRDefault="003E190F" w:rsidP="003E190F">
            <w:pPr>
              <w:pStyle w:val="Standard"/>
              <w:rPr>
                <w:sz w:val="20"/>
                <w:szCs w:val="20"/>
              </w:rPr>
            </w:pPr>
            <w:r w:rsidRPr="00A2171C">
              <w:rPr>
                <w:sz w:val="20"/>
                <w:szCs w:val="20"/>
              </w:rPr>
              <w:t>Maybe</w:t>
            </w:r>
          </w:p>
        </w:tc>
        <w:tc>
          <w:tcPr>
            <w:tcW w:w="1474" w:type="dxa"/>
            <w:tcBorders>
              <w:bottom w:val="single" w:sz="2" w:space="0" w:color="000000"/>
            </w:tcBorders>
            <w:tcMar>
              <w:top w:w="0" w:type="dxa"/>
              <w:left w:w="0" w:type="dxa"/>
              <w:bottom w:w="0" w:type="dxa"/>
              <w:right w:w="0" w:type="dxa"/>
            </w:tcMar>
          </w:tcPr>
          <w:p w14:paraId="66451E25" w14:textId="77777777" w:rsidR="003E190F" w:rsidRPr="00A2171C" w:rsidRDefault="003E190F" w:rsidP="003E190F">
            <w:pPr>
              <w:pStyle w:val="Standard"/>
              <w:rPr>
                <w:sz w:val="20"/>
                <w:szCs w:val="20"/>
              </w:rPr>
            </w:pPr>
            <w:r w:rsidRPr="00A2171C">
              <w:rPr>
                <w:sz w:val="20"/>
                <w:szCs w:val="20"/>
              </w:rPr>
              <w:t>19</w:t>
            </w:r>
          </w:p>
        </w:tc>
      </w:tr>
      <w:tr w:rsidR="00A2171C" w:rsidRPr="00A2171C" w14:paraId="5DB4D563" w14:textId="77777777" w:rsidTr="00534A83">
        <w:trPr>
          <w:jc w:val="center"/>
        </w:trPr>
        <w:tc>
          <w:tcPr>
            <w:tcW w:w="2493" w:type="dxa"/>
            <w:tcMar>
              <w:top w:w="0" w:type="dxa"/>
              <w:left w:w="0" w:type="dxa"/>
              <w:bottom w:w="0" w:type="dxa"/>
              <w:right w:w="0" w:type="dxa"/>
            </w:tcMar>
          </w:tcPr>
          <w:p w14:paraId="601662EA"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55DD8E49"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2FA87A36" w14:textId="77777777" w:rsidR="003E190F" w:rsidRPr="00A2171C" w:rsidRDefault="003E190F" w:rsidP="003E190F">
            <w:pPr>
              <w:pStyle w:val="Standard"/>
              <w:rPr>
                <w:sz w:val="20"/>
                <w:szCs w:val="20"/>
              </w:rPr>
            </w:pPr>
          </w:p>
        </w:tc>
        <w:tc>
          <w:tcPr>
            <w:tcW w:w="1474" w:type="dxa"/>
            <w:tcMar>
              <w:top w:w="0" w:type="dxa"/>
              <w:left w:w="0" w:type="dxa"/>
              <w:bottom w:w="0" w:type="dxa"/>
              <w:right w:w="0" w:type="dxa"/>
            </w:tcMar>
          </w:tcPr>
          <w:p w14:paraId="6D652E79" w14:textId="77777777" w:rsidR="003E190F" w:rsidRPr="00A2171C" w:rsidRDefault="003E190F" w:rsidP="003E190F">
            <w:pPr>
              <w:pStyle w:val="Standard"/>
              <w:rPr>
                <w:sz w:val="20"/>
                <w:szCs w:val="20"/>
              </w:rPr>
            </w:pPr>
          </w:p>
        </w:tc>
      </w:tr>
      <w:tr w:rsidR="00A2171C" w:rsidRPr="00A2171C" w14:paraId="3E284668" w14:textId="77777777" w:rsidTr="00534A83">
        <w:trPr>
          <w:jc w:val="center"/>
        </w:trPr>
        <w:tc>
          <w:tcPr>
            <w:tcW w:w="2493" w:type="dxa"/>
            <w:tcMar>
              <w:top w:w="0" w:type="dxa"/>
              <w:left w:w="0" w:type="dxa"/>
              <w:bottom w:w="0" w:type="dxa"/>
              <w:right w:w="0" w:type="dxa"/>
            </w:tcMar>
          </w:tcPr>
          <w:p w14:paraId="51B1BAC1" w14:textId="5D6AA599" w:rsidR="003E190F" w:rsidRPr="00A2171C" w:rsidRDefault="003E190F" w:rsidP="003E190F">
            <w:pPr>
              <w:pStyle w:val="Standard"/>
              <w:rPr>
                <w:iCs/>
                <w:sz w:val="20"/>
                <w:szCs w:val="20"/>
              </w:rPr>
            </w:pPr>
            <w:r w:rsidRPr="00A2171C">
              <w:rPr>
                <w:iCs/>
                <w:sz w:val="20"/>
                <w:szCs w:val="20"/>
              </w:rPr>
              <w:t>Use or destination of each unit</w:t>
            </w:r>
          </w:p>
        </w:tc>
        <w:tc>
          <w:tcPr>
            <w:tcW w:w="2891" w:type="dxa"/>
            <w:tcMar>
              <w:top w:w="0" w:type="dxa"/>
              <w:left w:w="0" w:type="dxa"/>
              <w:bottom w:w="0" w:type="dxa"/>
              <w:right w:w="0" w:type="dxa"/>
            </w:tcMar>
          </w:tcPr>
          <w:p w14:paraId="2A565914" w14:textId="57FA652C" w:rsidR="003E190F" w:rsidRPr="00A2171C" w:rsidRDefault="003E190F" w:rsidP="003E190F">
            <w:pPr>
              <w:pStyle w:val="Standard"/>
              <w:rPr>
                <w:sz w:val="20"/>
                <w:szCs w:val="20"/>
              </w:rPr>
            </w:pPr>
            <w:r w:rsidRPr="00A2171C">
              <w:rPr>
                <w:sz w:val="20"/>
                <w:szCs w:val="20"/>
              </w:rPr>
              <w:t>Typical use</w:t>
            </w:r>
          </w:p>
        </w:tc>
        <w:tc>
          <w:tcPr>
            <w:tcW w:w="1719" w:type="dxa"/>
            <w:tcMar>
              <w:top w:w="0" w:type="dxa"/>
              <w:left w:w="0" w:type="dxa"/>
              <w:bottom w:w="0" w:type="dxa"/>
              <w:right w:w="0" w:type="dxa"/>
            </w:tcMar>
          </w:tcPr>
          <w:p w14:paraId="4DA41B5F" w14:textId="77777777" w:rsidR="003E190F" w:rsidRPr="00A2171C" w:rsidRDefault="003E190F" w:rsidP="003E190F">
            <w:pPr>
              <w:pStyle w:val="Standard"/>
              <w:rPr>
                <w:sz w:val="20"/>
                <w:szCs w:val="20"/>
              </w:rPr>
            </w:pPr>
            <w:r w:rsidRPr="00A2171C">
              <w:rPr>
                <w:sz w:val="20"/>
                <w:szCs w:val="20"/>
              </w:rPr>
              <w:t>Residential</w:t>
            </w:r>
          </w:p>
        </w:tc>
        <w:tc>
          <w:tcPr>
            <w:tcW w:w="1474" w:type="dxa"/>
            <w:tcMar>
              <w:top w:w="0" w:type="dxa"/>
              <w:left w:w="0" w:type="dxa"/>
              <w:bottom w:w="0" w:type="dxa"/>
              <w:right w:w="0" w:type="dxa"/>
            </w:tcMar>
          </w:tcPr>
          <w:p w14:paraId="2BBAF3D0" w14:textId="77777777" w:rsidR="003E190F" w:rsidRPr="00A2171C" w:rsidRDefault="003E190F" w:rsidP="003E190F">
            <w:pPr>
              <w:pStyle w:val="Standard"/>
              <w:rPr>
                <w:sz w:val="20"/>
                <w:szCs w:val="20"/>
              </w:rPr>
            </w:pPr>
            <w:r w:rsidRPr="00A2171C">
              <w:rPr>
                <w:sz w:val="20"/>
                <w:szCs w:val="20"/>
              </w:rPr>
              <w:t>319</w:t>
            </w:r>
          </w:p>
        </w:tc>
      </w:tr>
      <w:tr w:rsidR="00A2171C" w:rsidRPr="00A2171C" w14:paraId="75D36BD8" w14:textId="77777777" w:rsidTr="00534A83">
        <w:trPr>
          <w:jc w:val="center"/>
        </w:trPr>
        <w:tc>
          <w:tcPr>
            <w:tcW w:w="2493" w:type="dxa"/>
            <w:tcMar>
              <w:top w:w="0" w:type="dxa"/>
              <w:left w:w="0" w:type="dxa"/>
              <w:bottom w:w="0" w:type="dxa"/>
              <w:right w:w="0" w:type="dxa"/>
            </w:tcMar>
          </w:tcPr>
          <w:p w14:paraId="2A21E770"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71B87D7D"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4DB32164" w14:textId="77777777" w:rsidR="003E190F" w:rsidRPr="00A2171C" w:rsidRDefault="003E190F" w:rsidP="003E190F">
            <w:pPr>
              <w:pStyle w:val="Standard"/>
              <w:rPr>
                <w:sz w:val="20"/>
                <w:szCs w:val="20"/>
              </w:rPr>
            </w:pPr>
            <w:r w:rsidRPr="00A2171C">
              <w:rPr>
                <w:sz w:val="20"/>
                <w:szCs w:val="20"/>
              </w:rPr>
              <w:t>Food and drink</w:t>
            </w:r>
          </w:p>
        </w:tc>
        <w:tc>
          <w:tcPr>
            <w:tcW w:w="1474" w:type="dxa"/>
            <w:tcMar>
              <w:top w:w="0" w:type="dxa"/>
              <w:left w:w="0" w:type="dxa"/>
              <w:bottom w:w="0" w:type="dxa"/>
              <w:right w:w="0" w:type="dxa"/>
            </w:tcMar>
          </w:tcPr>
          <w:p w14:paraId="6C14D244" w14:textId="77777777" w:rsidR="003E190F" w:rsidRPr="00A2171C" w:rsidRDefault="003E190F" w:rsidP="003E190F">
            <w:pPr>
              <w:pStyle w:val="Standard"/>
              <w:rPr>
                <w:sz w:val="20"/>
                <w:szCs w:val="20"/>
              </w:rPr>
            </w:pPr>
            <w:r w:rsidRPr="00A2171C">
              <w:rPr>
                <w:sz w:val="20"/>
                <w:szCs w:val="20"/>
              </w:rPr>
              <w:t>28</w:t>
            </w:r>
          </w:p>
        </w:tc>
      </w:tr>
      <w:tr w:rsidR="00A2171C" w:rsidRPr="00A2171C" w14:paraId="6A5A9488" w14:textId="77777777" w:rsidTr="00534A83">
        <w:trPr>
          <w:jc w:val="center"/>
        </w:trPr>
        <w:tc>
          <w:tcPr>
            <w:tcW w:w="2493" w:type="dxa"/>
            <w:tcMar>
              <w:top w:w="0" w:type="dxa"/>
              <w:left w:w="0" w:type="dxa"/>
              <w:bottom w:w="0" w:type="dxa"/>
              <w:right w:w="0" w:type="dxa"/>
            </w:tcMar>
          </w:tcPr>
          <w:p w14:paraId="4ADD2219"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2071F0D3"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4E309D07" w14:textId="77777777" w:rsidR="003E190F" w:rsidRPr="00A2171C" w:rsidRDefault="003E190F" w:rsidP="003E190F">
            <w:pPr>
              <w:pStyle w:val="Standard"/>
              <w:rPr>
                <w:sz w:val="20"/>
                <w:szCs w:val="20"/>
              </w:rPr>
            </w:pPr>
            <w:r w:rsidRPr="00A2171C">
              <w:rPr>
                <w:sz w:val="20"/>
                <w:szCs w:val="20"/>
              </w:rPr>
              <w:t>Mart</w:t>
            </w:r>
          </w:p>
        </w:tc>
        <w:tc>
          <w:tcPr>
            <w:tcW w:w="1474" w:type="dxa"/>
            <w:tcMar>
              <w:top w:w="0" w:type="dxa"/>
              <w:left w:w="0" w:type="dxa"/>
              <w:bottom w:w="0" w:type="dxa"/>
              <w:right w:w="0" w:type="dxa"/>
            </w:tcMar>
          </w:tcPr>
          <w:p w14:paraId="3A04EF3C" w14:textId="77777777" w:rsidR="003E190F" w:rsidRPr="00A2171C" w:rsidRDefault="003E190F" w:rsidP="003E190F">
            <w:pPr>
              <w:pStyle w:val="Standard"/>
              <w:rPr>
                <w:sz w:val="20"/>
                <w:szCs w:val="20"/>
              </w:rPr>
            </w:pPr>
            <w:r w:rsidRPr="00A2171C">
              <w:rPr>
                <w:sz w:val="20"/>
                <w:szCs w:val="20"/>
              </w:rPr>
              <w:t>24</w:t>
            </w:r>
          </w:p>
        </w:tc>
      </w:tr>
      <w:tr w:rsidR="00A2171C" w:rsidRPr="00A2171C" w14:paraId="588E8881" w14:textId="77777777" w:rsidTr="00534A83">
        <w:trPr>
          <w:jc w:val="center"/>
        </w:trPr>
        <w:tc>
          <w:tcPr>
            <w:tcW w:w="2493" w:type="dxa"/>
            <w:tcMar>
              <w:top w:w="0" w:type="dxa"/>
              <w:left w:w="0" w:type="dxa"/>
              <w:bottom w:w="0" w:type="dxa"/>
              <w:right w:w="0" w:type="dxa"/>
            </w:tcMar>
          </w:tcPr>
          <w:p w14:paraId="3001070A"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3277D81C"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3AAA7CF8" w14:textId="77777777" w:rsidR="003E190F" w:rsidRPr="00A2171C" w:rsidRDefault="003E190F" w:rsidP="003E190F">
            <w:pPr>
              <w:pStyle w:val="Standard"/>
              <w:rPr>
                <w:sz w:val="20"/>
                <w:szCs w:val="20"/>
              </w:rPr>
            </w:pPr>
            <w:r w:rsidRPr="00A2171C">
              <w:rPr>
                <w:sz w:val="20"/>
                <w:szCs w:val="20"/>
              </w:rPr>
              <w:t>Office</w:t>
            </w:r>
          </w:p>
        </w:tc>
        <w:tc>
          <w:tcPr>
            <w:tcW w:w="1474" w:type="dxa"/>
            <w:tcMar>
              <w:top w:w="0" w:type="dxa"/>
              <w:left w:w="0" w:type="dxa"/>
              <w:bottom w:w="0" w:type="dxa"/>
              <w:right w:w="0" w:type="dxa"/>
            </w:tcMar>
          </w:tcPr>
          <w:p w14:paraId="398904EB" w14:textId="77777777" w:rsidR="003E190F" w:rsidRPr="00A2171C" w:rsidRDefault="003E190F" w:rsidP="003E190F">
            <w:pPr>
              <w:pStyle w:val="Standard"/>
              <w:rPr>
                <w:sz w:val="20"/>
                <w:szCs w:val="20"/>
              </w:rPr>
            </w:pPr>
            <w:r w:rsidRPr="00A2171C">
              <w:rPr>
                <w:sz w:val="20"/>
                <w:szCs w:val="20"/>
              </w:rPr>
              <w:t>14</w:t>
            </w:r>
          </w:p>
        </w:tc>
      </w:tr>
      <w:tr w:rsidR="00A2171C" w:rsidRPr="00A2171C" w14:paraId="23B1B9A5" w14:textId="77777777" w:rsidTr="00534A83">
        <w:trPr>
          <w:jc w:val="center"/>
        </w:trPr>
        <w:tc>
          <w:tcPr>
            <w:tcW w:w="2493" w:type="dxa"/>
            <w:tcMar>
              <w:top w:w="0" w:type="dxa"/>
              <w:left w:w="0" w:type="dxa"/>
              <w:bottom w:w="0" w:type="dxa"/>
              <w:right w:w="0" w:type="dxa"/>
            </w:tcMar>
          </w:tcPr>
          <w:p w14:paraId="6F17B499"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7B783575"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4DA7CEA7" w14:textId="77777777" w:rsidR="003E190F" w:rsidRPr="00A2171C" w:rsidRDefault="003E190F" w:rsidP="003E190F">
            <w:pPr>
              <w:pStyle w:val="Standard"/>
              <w:rPr>
                <w:sz w:val="20"/>
                <w:szCs w:val="20"/>
              </w:rPr>
            </w:pPr>
            <w:r w:rsidRPr="00A2171C">
              <w:rPr>
                <w:sz w:val="20"/>
                <w:szCs w:val="20"/>
              </w:rPr>
              <w:t>Warehouse</w:t>
            </w:r>
          </w:p>
        </w:tc>
        <w:tc>
          <w:tcPr>
            <w:tcW w:w="1474" w:type="dxa"/>
            <w:tcMar>
              <w:top w:w="0" w:type="dxa"/>
              <w:left w:w="0" w:type="dxa"/>
              <w:bottom w:w="0" w:type="dxa"/>
              <w:right w:w="0" w:type="dxa"/>
            </w:tcMar>
          </w:tcPr>
          <w:p w14:paraId="39AFADF7" w14:textId="77777777" w:rsidR="003E190F" w:rsidRPr="00A2171C" w:rsidRDefault="003E190F" w:rsidP="003E190F">
            <w:pPr>
              <w:pStyle w:val="Standard"/>
              <w:rPr>
                <w:sz w:val="20"/>
                <w:szCs w:val="20"/>
              </w:rPr>
            </w:pPr>
            <w:r w:rsidRPr="00A2171C">
              <w:rPr>
                <w:sz w:val="20"/>
                <w:szCs w:val="20"/>
              </w:rPr>
              <w:t>9</w:t>
            </w:r>
          </w:p>
        </w:tc>
      </w:tr>
      <w:tr w:rsidR="00A2171C" w:rsidRPr="00A2171C" w14:paraId="091EBD1E" w14:textId="77777777" w:rsidTr="00534A83">
        <w:trPr>
          <w:jc w:val="center"/>
        </w:trPr>
        <w:tc>
          <w:tcPr>
            <w:tcW w:w="2493" w:type="dxa"/>
            <w:tcMar>
              <w:top w:w="0" w:type="dxa"/>
              <w:left w:w="0" w:type="dxa"/>
              <w:bottom w:w="0" w:type="dxa"/>
              <w:right w:w="0" w:type="dxa"/>
            </w:tcMar>
          </w:tcPr>
          <w:p w14:paraId="742BAB68" w14:textId="77777777" w:rsidR="003E190F" w:rsidRPr="00A2171C" w:rsidRDefault="003E190F" w:rsidP="003E190F">
            <w:pPr>
              <w:pStyle w:val="Standard"/>
              <w:rPr>
                <w:iCs/>
                <w:sz w:val="20"/>
                <w:szCs w:val="20"/>
              </w:rPr>
            </w:pPr>
          </w:p>
        </w:tc>
        <w:tc>
          <w:tcPr>
            <w:tcW w:w="2891" w:type="dxa"/>
            <w:tcMar>
              <w:top w:w="0" w:type="dxa"/>
              <w:left w:w="0" w:type="dxa"/>
              <w:bottom w:w="0" w:type="dxa"/>
              <w:right w:w="0" w:type="dxa"/>
            </w:tcMar>
          </w:tcPr>
          <w:p w14:paraId="4A5BA506"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38D6B4EA" w14:textId="77777777" w:rsidR="003E190F" w:rsidRPr="00A2171C" w:rsidRDefault="003E190F" w:rsidP="003E190F">
            <w:pPr>
              <w:pStyle w:val="Standard"/>
              <w:rPr>
                <w:sz w:val="20"/>
                <w:szCs w:val="20"/>
              </w:rPr>
            </w:pPr>
            <w:r w:rsidRPr="00A2171C">
              <w:rPr>
                <w:sz w:val="20"/>
                <w:szCs w:val="20"/>
              </w:rPr>
              <w:t>Workshop</w:t>
            </w:r>
          </w:p>
        </w:tc>
        <w:tc>
          <w:tcPr>
            <w:tcW w:w="1474" w:type="dxa"/>
            <w:tcMar>
              <w:top w:w="0" w:type="dxa"/>
              <w:left w:w="0" w:type="dxa"/>
              <w:bottom w:w="0" w:type="dxa"/>
              <w:right w:w="0" w:type="dxa"/>
            </w:tcMar>
          </w:tcPr>
          <w:p w14:paraId="1FE757C4" w14:textId="77777777" w:rsidR="003E190F" w:rsidRPr="00A2171C" w:rsidRDefault="003E190F" w:rsidP="003E190F">
            <w:pPr>
              <w:pStyle w:val="Standard"/>
              <w:rPr>
                <w:sz w:val="20"/>
                <w:szCs w:val="20"/>
              </w:rPr>
            </w:pPr>
            <w:r w:rsidRPr="00A2171C">
              <w:rPr>
                <w:sz w:val="20"/>
                <w:szCs w:val="20"/>
              </w:rPr>
              <w:t>8</w:t>
            </w:r>
          </w:p>
        </w:tc>
      </w:tr>
      <w:tr w:rsidR="00A2171C" w:rsidRPr="00A2171C" w14:paraId="4122C7DC" w14:textId="77777777" w:rsidTr="00534A83">
        <w:trPr>
          <w:jc w:val="center"/>
        </w:trPr>
        <w:tc>
          <w:tcPr>
            <w:tcW w:w="2493" w:type="dxa"/>
            <w:tcMar>
              <w:top w:w="0" w:type="dxa"/>
              <w:left w:w="0" w:type="dxa"/>
              <w:bottom w:w="0" w:type="dxa"/>
              <w:right w:w="0" w:type="dxa"/>
            </w:tcMar>
          </w:tcPr>
          <w:p w14:paraId="7B49E33D"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5C9F95F7"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714919D7" w14:textId="77777777" w:rsidR="003E190F" w:rsidRPr="00A2171C" w:rsidRDefault="003E190F" w:rsidP="003E190F">
            <w:pPr>
              <w:pStyle w:val="Standard"/>
              <w:rPr>
                <w:sz w:val="20"/>
                <w:szCs w:val="20"/>
              </w:rPr>
            </w:pPr>
            <w:r w:rsidRPr="00A2171C">
              <w:rPr>
                <w:sz w:val="20"/>
                <w:szCs w:val="20"/>
              </w:rPr>
              <w:t>Stylist</w:t>
            </w:r>
          </w:p>
        </w:tc>
        <w:tc>
          <w:tcPr>
            <w:tcW w:w="1474" w:type="dxa"/>
            <w:tcMar>
              <w:top w:w="0" w:type="dxa"/>
              <w:left w:w="0" w:type="dxa"/>
              <w:bottom w:w="0" w:type="dxa"/>
              <w:right w:w="0" w:type="dxa"/>
            </w:tcMar>
          </w:tcPr>
          <w:p w14:paraId="1C7149A4" w14:textId="77777777" w:rsidR="003E190F" w:rsidRPr="00A2171C" w:rsidRDefault="003E190F" w:rsidP="003E190F">
            <w:pPr>
              <w:pStyle w:val="Standard"/>
              <w:rPr>
                <w:sz w:val="20"/>
                <w:szCs w:val="20"/>
              </w:rPr>
            </w:pPr>
            <w:r w:rsidRPr="00A2171C">
              <w:rPr>
                <w:sz w:val="20"/>
                <w:szCs w:val="20"/>
              </w:rPr>
              <w:t>6</w:t>
            </w:r>
          </w:p>
        </w:tc>
      </w:tr>
      <w:tr w:rsidR="00A2171C" w:rsidRPr="00A2171C" w14:paraId="0FD8ED19" w14:textId="77777777" w:rsidTr="00534A83">
        <w:trPr>
          <w:jc w:val="center"/>
        </w:trPr>
        <w:tc>
          <w:tcPr>
            <w:tcW w:w="2493" w:type="dxa"/>
            <w:tcMar>
              <w:top w:w="0" w:type="dxa"/>
              <w:left w:w="0" w:type="dxa"/>
              <w:bottom w:w="0" w:type="dxa"/>
              <w:right w:w="0" w:type="dxa"/>
            </w:tcMar>
          </w:tcPr>
          <w:p w14:paraId="6E5A0DFF"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0FD7EFFE"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6A1E9C97" w14:textId="77777777" w:rsidR="003E190F" w:rsidRPr="00A2171C" w:rsidRDefault="003E190F" w:rsidP="003E190F">
            <w:pPr>
              <w:pStyle w:val="Standard"/>
              <w:rPr>
                <w:sz w:val="20"/>
                <w:szCs w:val="20"/>
              </w:rPr>
            </w:pPr>
            <w:r w:rsidRPr="00A2171C">
              <w:rPr>
                <w:sz w:val="20"/>
                <w:szCs w:val="20"/>
              </w:rPr>
              <w:t>Lodging</w:t>
            </w:r>
          </w:p>
        </w:tc>
        <w:tc>
          <w:tcPr>
            <w:tcW w:w="1474" w:type="dxa"/>
            <w:tcMar>
              <w:top w:w="0" w:type="dxa"/>
              <w:left w:w="0" w:type="dxa"/>
              <w:bottom w:w="0" w:type="dxa"/>
              <w:right w:w="0" w:type="dxa"/>
            </w:tcMar>
          </w:tcPr>
          <w:p w14:paraId="336A4B56" w14:textId="77777777" w:rsidR="003E190F" w:rsidRPr="00A2171C" w:rsidRDefault="003E190F" w:rsidP="003E190F">
            <w:pPr>
              <w:pStyle w:val="Standard"/>
              <w:rPr>
                <w:sz w:val="20"/>
                <w:szCs w:val="20"/>
              </w:rPr>
            </w:pPr>
            <w:r w:rsidRPr="00A2171C">
              <w:rPr>
                <w:sz w:val="20"/>
                <w:szCs w:val="20"/>
              </w:rPr>
              <w:t>5</w:t>
            </w:r>
          </w:p>
        </w:tc>
      </w:tr>
      <w:tr w:rsidR="00A2171C" w:rsidRPr="00A2171C" w14:paraId="7DBE7B28" w14:textId="77777777" w:rsidTr="00534A83">
        <w:trPr>
          <w:jc w:val="center"/>
        </w:trPr>
        <w:tc>
          <w:tcPr>
            <w:tcW w:w="2493" w:type="dxa"/>
            <w:tcMar>
              <w:top w:w="0" w:type="dxa"/>
              <w:left w:w="0" w:type="dxa"/>
              <w:bottom w:w="0" w:type="dxa"/>
              <w:right w:w="0" w:type="dxa"/>
            </w:tcMar>
          </w:tcPr>
          <w:p w14:paraId="100C9D2B"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4EF6403B"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580AE775" w14:textId="77777777" w:rsidR="003E190F" w:rsidRPr="00A2171C" w:rsidRDefault="003E190F" w:rsidP="003E190F">
            <w:pPr>
              <w:pStyle w:val="Standard"/>
              <w:rPr>
                <w:sz w:val="20"/>
                <w:szCs w:val="20"/>
              </w:rPr>
            </w:pPr>
            <w:r w:rsidRPr="00A2171C">
              <w:rPr>
                <w:sz w:val="20"/>
                <w:szCs w:val="20"/>
              </w:rPr>
              <w:t>Education</w:t>
            </w:r>
          </w:p>
        </w:tc>
        <w:tc>
          <w:tcPr>
            <w:tcW w:w="1474" w:type="dxa"/>
            <w:tcMar>
              <w:top w:w="0" w:type="dxa"/>
              <w:left w:w="0" w:type="dxa"/>
              <w:bottom w:w="0" w:type="dxa"/>
              <w:right w:w="0" w:type="dxa"/>
            </w:tcMar>
          </w:tcPr>
          <w:p w14:paraId="355E4D0B" w14:textId="77777777" w:rsidR="003E190F" w:rsidRPr="00A2171C" w:rsidRDefault="003E190F" w:rsidP="003E190F">
            <w:pPr>
              <w:pStyle w:val="Standard"/>
              <w:rPr>
                <w:sz w:val="20"/>
                <w:szCs w:val="20"/>
              </w:rPr>
            </w:pPr>
            <w:r w:rsidRPr="00A2171C">
              <w:rPr>
                <w:sz w:val="20"/>
                <w:szCs w:val="20"/>
              </w:rPr>
              <w:t>4</w:t>
            </w:r>
          </w:p>
        </w:tc>
      </w:tr>
      <w:tr w:rsidR="00A2171C" w:rsidRPr="00A2171C" w14:paraId="6691656C" w14:textId="77777777" w:rsidTr="00534A83">
        <w:trPr>
          <w:jc w:val="center"/>
        </w:trPr>
        <w:tc>
          <w:tcPr>
            <w:tcW w:w="2493" w:type="dxa"/>
            <w:tcMar>
              <w:top w:w="0" w:type="dxa"/>
              <w:left w:w="0" w:type="dxa"/>
              <w:bottom w:w="0" w:type="dxa"/>
              <w:right w:w="0" w:type="dxa"/>
            </w:tcMar>
          </w:tcPr>
          <w:p w14:paraId="0F879769"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5FC83D95"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1FEF5DF0" w14:textId="77777777" w:rsidR="003E190F" w:rsidRPr="00A2171C" w:rsidRDefault="003E190F" w:rsidP="003E190F">
            <w:pPr>
              <w:pStyle w:val="Standard"/>
              <w:rPr>
                <w:sz w:val="20"/>
                <w:szCs w:val="20"/>
              </w:rPr>
            </w:pPr>
            <w:r w:rsidRPr="00A2171C">
              <w:rPr>
                <w:sz w:val="20"/>
                <w:szCs w:val="20"/>
              </w:rPr>
              <w:t>Mechanic</w:t>
            </w:r>
          </w:p>
        </w:tc>
        <w:tc>
          <w:tcPr>
            <w:tcW w:w="1474" w:type="dxa"/>
            <w:tcMar>
              <w:top w:w="0" w:type="dxa"/>
              <w:left w:w="0" w:type="dxa"/>
              <w:bottom w:w="0" w:type="dxa"/>
              <w:right w:w="0" w:type="dxa"/>
            </w:tcMar>
          </w:tcPr>
          <w:p w14:paraId="3CF38DBD" w14:textId="77777777" w:rsidR="003E190F" w:rsidRPr="00A2171C" w:rsidRDefault="003E190F" w:rsidP="003E190F">
            <w:pPr>
              <w:pStyle w:val="Standard"/>
              <w:rPr>
                <w:sz w:val="20"/>
                <w:szCs w:val="20"/>
              </w:rPr>
            </w:pPr>
            <w:r w:rsidRPr="00A2171C">
              <w:rPr>
                <w:sz w:val="20"/>
                <w:szCs w:val="20"/>
              </w:rPr>
              <w:t>4</w:t>
            </w:r>
          </w:p>
        </w:tc>
      </w:tr>
      <w:tr w:rsidR="00A2171C" w:rsidRPr="00A2171C" w14:paraId="4D1AC09A" w14:textId="77777777" w:rsidTr="00534A83">
        <w:trPr>
          <w:jc w:val="center"/>
        </w:trPr>
        <w:tc>
          <w:tcPr>
            <w:tcW w:w="2493" w:type="dxa"/>
            <w:tcMar>
              <w:top w:w="0" w:type="dxa"/>
              <w:left w:w="0" w:type="dxa"/>
              <w:bottom w:w="0" w:type="dxa"/>
              <w:right w:w="0" w:type="dxa"/>
            </w:tcMar>
          </w:tcPr>
          <w:p w14:paraId="72ECD14C"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0226547D"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1383E6E7" w14:textId="77777777" w:rsidR="003E190F" w:rsidRPr="00A2171C" w:rsidRDefault="003E190F" w:rsidP="003E190F">
            <w:pPr>
              <w:pStyle w:val="Standard"/>
              <w:rPr>
                <w:sz w:val="20"/>
                <w:szCs w:val="20"/>
              </w:rPr>
            </w:pPr>
            <w:r w:rsidRPr="00A2171C">
              <w:rPr>
                <w:sz w:val="20"/>
                <w:szCs w:val="20"/>
              </w:rPr>
              <w:t>Organization</w:t>
            </w:r>
          </w:p>
        </w:tc>
        <w:tc>
          <w:tcPr>
            <w:tcW w:w="1474" w:type="dxa"/>
            <w:tcMar>
              <w:top w:w="0" w:type="dxa"/>
              <w:left w:w="0" w:type="dxa"/>
              <w:bottom w:w="0" w:type="dxa"/>
              <w:right w:w="0" w:type="dxa"/>
            </w:tcMar>
          </w:tcPr>
          <w:p w14:paraId="463DD4D5" w14:textId="77777777" w:rsidR="003E190F" w:rsidRPr="00A2171C" w:rsidRDefault="003E190F" w:rsidP="003E190F">
            <w:pPr>
              <w:pStyle w:val="Standard"/>
              <w:rPr>
                <w:sz w:val="20"/>
                <w:szCs w:val="20"/>
              </w:rPr>
            </w:pPr>
            <w:r w:rsidRPr="00A2171C">
              <w:rPr>
                <w:sz w:val="20"/>
                <w:szCs w:val="20"/>
              </w:rPr>
              <w:t>4</w:t>
            </w:r>
          </w:p>
        </w:tc>
      </w:tr>
      <w:tr w:rsidR="00A2171C" w:rsidRPr="00A2171C" w14:paraId="610D4F9B" w14:textId="77777777" w:rsidTr="00534A83">
        <w:trPr>
          <w:jc w:val="center"/>
        </w:trPr>
        <w:tc>
          <w:tcPr>
            <w:tcW w:w="2493" w:type="dxa"/>
            <w:tcMar>
              <w:top w:w="0" w:type="dxa"/>
              <w:left w:w="0" w:type="dxa"/>
              <w:bottom w:w="0" w:type="dxa"/>
              <w:right w:w="0" w:type="dxa"/>
            </w:tcMar>
          </w:tcPr>
          <w:p w14:paraId="165BA9E4"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5591506A"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42C6E260" w14:textId="77777777" w:rsidR="003E190F" w:rsidRPr="00A2171C" w:rsidRDefault="003E190F" w:rsidP="003E190F">
            <w:pPr>
              <w:pStyle w:val="Standard"/>
              <w:rPr>
                <w:sz w:val="20"/>
                <w:szCs w:val="20"/>
              </w:rPr>
            </w:pPr>
            <w:r w:rsidRPr="00A2171C">
              <w:rPr>
                <w:sz w:val="20"/>
                <w:szCs w:val="20"/>
              </w:rPr>
              <w:t>Health</w:t>
            </w:r>
          </w:p>
        </w:tc>
        <w:tc>
          <w:tcPr>
            <w:tcW w:w="1474" w:type="dxa"/>
            <w:tcMar>
              <w:top w:w="0" w:type="dxa"/>
              <w:left w:w="0" w:type="dxa"/>
              <w:bottom w:w="0" w:type="dxa"/>
              <w:right w:w="0" w:type="dxa"/>
            </w:tcMar>
          </w:tcPr>
          <w:p w14:paraId="62E75DFB" w14:textId="77777777" w:rsidR="003E190F" w:rsidRPr="00A2171C" w:rsidRDefault="003E190F" w:rsidP="003E190F">
            <w:pPr>
              <w:pStyle w:val="Standard"/>
              <w:rPr>
                <w:sz w:val="20"/>
                <w:szCs w:val="20"/>
              </w:rPr>
            </w:pPr>
            <w:r w:rsidRPr="00A2171C">
              <w:rPr>
                <w:sz w:val="20"/>
                <w:szCs w:val="20"/>
              </w:rPr>
              <w:t>3</w:t>
            </w:r>
          </w:p>
        </w:tc>
      </w:tr>
      <w:tr w:rsidR="00A2171C" w:rsidRPr="00A2171C" w14:paraId="4ECEFF19" w14:textId="77777777" w:rsidTr="00534A83">
        <w:trPr>
          <w:jc w:val="center"/>
        </w:trPr>
        <w:tc>
          <w:tcPr>
            <w:tcW w:w="2493" w:type="dxa"/>
            <w:tcMar>
              <w:top w:w="0" w:type="dxa"/>
              <w:left w:w="0" w:type="dxa"/>
              <w:bottom w:w="0" w:type="dxa"/>
              <w:right w:w="0" w:type="dxa"/>
            </w:tcMar>
          </w:tcPr>
          <w:p w14:paraId="56B3DCF3"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4D3048D8"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506755E4" w14:textId="77777777" w:rsidR="003E190F" w:rsidRPr="00A2171C" w:rsidRDefault="003E190F" w:rsidP="003E190F">
            <w:pPr>
              <w:pStyle w:val="Standard"/>
              <w:rPr>
                <w:sz w:val="20"/>
                <w:szCs w:val="20"/>
              </w:rPr>
            </w:pPr>
            <w:r w:rsidRPr="00A2171C">
              <w:rPr>
                <w:sz w:val="20"/>
                <w:szCs w:val="20"/>
              </w:rPr>
              <w:t>Music and dance</w:t>
            </w:r>
          </w:p>
        </w:tc>
        <w:tc>
          <w:tcPr>
            <w:tcW w:w="1474" w:type="dxa"/>
            <w:tcMar>
              <w:top w:w="0" w:type="dxa"/>
              <w:left w:w="0" w:type="dxa"/>
              <w:bottom w:w="0" w:type="dxa"/>
              <w:right w:w="0" w:type="dxa"/>
            </w:tcMar>
          </w:tcPr>
          <w:p w14:paraId="2756FA59" w14:textId="77777777" w:rsidR="003E190F" w:rsidRPr="00A2171C" w:rsidRDefault="003E190F" w:rsidP="003E190F">
            <w:pPr>
              <w:pStyle w:val="Standard"/>
              <w:rPr>
                <w:sz w:val="20"/>
                <w:szCs w:val="20"/>
              </w:rPr>
            </w:pPr>
            <w:r w:rsidRPr="00A2171C">
              <w:rPr>
                <w:sz w:val="20"/>
                <w:szCs w:val="20"/>
              </w:rPr>
              <w:t>3</w:t>
            </w:r>
          </w:p>
        </w:tc>
      </w:tr>
      <w:tr w:rsidR="00A2171C" w:rsidRPr="00A2171C" w14:paraId="662090B9" w14:textId="77777777" w:rsidTr="00534A83">
        <w:trPr>
          <w:jc w:val="center"/>
        </w:trPr>
        <w:tc>
          <w:tcPr>
            <w:tcW w:w="2493" w:type="dxa"/>
            <w:tcMar>
              <w:top w:w="0" w:type="dxa"/>
              <w:left w:w="0" w:type="dxa"/>
              <w:bottom w:w="0" w:type="dxa"/>
              <w:right w:w="0" w:type="dxa"/>
            </w:tcMar>
          </w:tcPr>
          <w:p w14:paraId="761D48F5"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5C84C7E7"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6CF5CE25" w14:textId="77777777" w:rsidR="003E190F" w:rsidRPr="00A2171C" w:rsidRDefault="003E190F" w:rsidP="003E190F">
            <w:pPr>
              <w:pStyle w:val="Standard"/>
              <w:rPr>
                <w:sz w:val="20"/>
                <w:szCs w:val="20"/>
              </w:rPr>
            </w:pPr>
            <w:r w:rsidRPr="00A2171C">
              <w:rPr>
                <w:sz w:val="20"/>
                <w:szCs w:val="20"/>
              </w:rPr>
              <w:t>Parking</w:t>
            </w:r>
          </w:p>
        </w:tc>
        <w:tc>
          <w:tcPr>
            <w:tcW w:w="1474" w:type="dxa"/>
            <w:tcMar>
              <w:top w:w="0" w:type="dxa"/>
              <w:left w:w="0" w:type="dxa"/>
              <w:bottom w:w="0" w:type="dxa"/>
              <w:right w:w="0" w:type="dxa"/>
            </w:tcMar>
          </w:tcPr>
          <w:p w14:paraId="2CF24A7E" w14:textId="77777777" w:rsidR="003E190F" w:rsidRPr="00A2171C" w:rsidRDefault="003E190F" w:rsidP="003E190F">
            <w:pPr>
              <w:pStyle w:val="Standard"/>
              <w:rPr>
                <w:sz w:val="20"/>
                <w:szCs w:val="20"/>
              </w:rPr>
            </w:pPr>
            <w:r w:rsidRPr="00A2171C">
              <w:rPr>
                <w:sz w:val="20"/>
                <w:szCs w:val="20"/>
              </w:rPr>
              <w:t>3</w:t>
            </w:r>
          </w:p>
        </w:tc>
      </w:tr>
      <w:tr w:rsidR="00A2171C" w:rsidRPr="00A2171C" w14:paraId="364E3772" w14:textId="77777777" w:rsidTr="00534A83">
        <w:trPr>
          <w:jc w:val="center"/>
        </w:trPr>
        <w:tc>
          <w:tcPr>
            <w:tcW w:w="2493" w:type="dxa"/>
            <w:tcMar>
              <w:top w:w="0" w:type="dxa"/>
              <w:left w:w="0" w:type="dxa"/>
              <w:bottom w:w="0" w:type="dxa"/>
              <w:right w:w="0" w:type="dxa"/>
            </w:tcMar>
          </w:tcPr>
          <w:p w14:paraId="0A5CF7F4"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2BA110F3"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5D1414CA" w14:textId="77777777" w:rsidR="003E190F" w:rsidRPr="00A2171C" w:rsidRDefault="003E190F" w:rsidP="003E190F">
            <w:pPr>
              <w:pStyle w:val="Standard"/>
              <w:rPr>
                <w:sz w:val="20"/>
                <w:szCs w:val="20"/>
              </w:rPr>
            </w:pPr>
            <w:r w:rsidRPr="00A2171C">
              <w:rPr>
                <w:sz w:val="20"/>
                <w:szCs w:val="20"/>
              </w:rPr>
              <w:t>Other</w:t>
            </w:r>
          </w:p>
        </w:tc>
        <w:tc>
          <w:tcPr>
            <w:tcW w:w="1474" w:type="dxa"/>
            <w:tcMar>
              <w:top w:w="0" w:type="dxa"/>
              <w:left w:w="0" w:type="dxa"/>
              <w:bottom w:w="0" w:type="dxa"/>
              <w:right w:w="0" w:type="dxa"/>
            </w:tcMar>
          </w:tcPr>
          <w:p w14:paraId="666E7368" w14:textId="77777777" w:rsidR="003E190F" w:rsidRPr="00A2171C" w:rsidRDefault="003E190F" w:rsidP="003E190F">
            <w:pPr>
              <w:pStyle w:val="Standard"/>
              <w:rPr>
                <w:sz w:val="20"/>
                <w:szCs w:val="20"/>
              </w:rPr>
            </w:pPr>
            <w:r w:rsidRPr="00A2171C">
              <w:rPr>
                <w:sz w:val="20"/>
                <w:szCs w:val="20"/>
              </w:rPr>
              <w:t>6</w:t>
            </w:r>
          </w:p>
        </w:tc>
      </w:tr>
      <w:tr w:rsidR="00A2171C" w:rsidRPr="00A2171C" w14:paraId="273331DD" w14:textId="77777777" w:rsidTr="00534A83">
        <w:trPr>
          <w:jc w:val="center"/>
        </w:trPr>
        <w:tc>
          <w:tcPr>
            <w:tcW w:w="2493" w:type="dxa"/>
            <w:tcMar>
              <w:top w:w="0" w:type="dxa"/>
              <w:left w:w="0" w:type="dxa"/>
              <w:bottom w:w="0" w:type="dxa"/>
              <w:right w:w="0" w:type="dxa"/>
            </w:tcMar>
          </w:tcPr>
          <w:p w14:paraId="6456CF78"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7162279A" w14:textId="2B13B864" w:rsidR="003E190F" w:rsidRPr="00A2171C" w:rsidRDefault="003E190F" w:rsidP="003E190F">
            <w:pPr>
              <w:pStyle w:val="Standard"/>
              <w:rPr>
                <w:sz w:val="20"/>
                <w:szCs w:val="20"/>
              </w:rPr>
            </w:pPr>
            <w:r w:rsidRPr="00A2171C">
              <w:rPr>
                <w:sz w:val="20"/>
                <w:szCs w:val="20"/>
              </w:rPr>
              <w:t>Number of uses per unit</w:t>
            </w:r>
          </w:p>
        </w:tc>
        <w:tc>
          <w:tcPr>
            <w:tcW w:w="1719" w:type="dxa"/>
            <w:tcMar>
              <w:top w:w="0" w:type="dxa"/>
              <w:left w:w="0" w:type="dxa"/>
              <w:bottom w:w="0" w:type="dxa"/>
              <w:right w:w="0" w:type="dxa"/>
            </w:tcMar>
          </w:tcPr>
          <w:p w14:paraId="5D962632" w14:textId="77777777" w:rsidR="003E190F" w:rsidRPr="00A2171C" w:rsidRDefault="003E190F" w:rsidP="003E190F">
            <w:pPr>
              <w:pStyle w:val="Standard"/>
              <w:rPr>
                <w:sz w:val="20"/>
                <w:szCs w:val="20"/>
              </w:rPr>
            </w:pPr>
            <w:r w:rsidRPr="00A2171C">
              <w:rPr>
                <w:sz w:val="20"/>
                <w:szCs w:val="20"/>
              </w:rPr>
              <w:t>0</w:t>
            </w:r>
          </w:p>
        </w:tc>
        <w:tc>
          <w:tcPr>
            <w:tcW w:w="1474" w:type="dxa"/>
            <w:tcMar>
              <w:top w:w="0" w:type="dxa"/>
              <w:left w:w="0" w:type="dxa"/>
              <w:bottom w:w="0" w:type="dxa"/>
              <w:right w:w="0" w:type="dxa"/>
            </w:tcMar>
          </w:tcPr>
          <w:p w14:paraId="644431B1" w14:textId="77777777" w:rsidR="003E190F" w:rsidRPr="00A2171C" w:rsidRDefault="003E190F" w:rsidP="003E190F">
            <w:pPr>
              <w:pStyle w:val="Standard"/>
              <w:rPr>
                <w:sz w:val="20"/>
                <w:szCs w:val="20"/>
              </w:rPr>
            </w:pPr>
            <w:r w:rsidRPr="00A2171C">
              <w:rPr>
                <w:sz w:val="20"/>
                <w:szCs w:val="20"/>
              </w:rPr>
              <w:t>41</w:t>
            </w:r>
          </w:p>
        </w:tc>
      </w:tr>
      <w:tr w:rsidR="00A2171C" w:rsidRPr="00A2171C" w14:paraId="6085A670" w14:textId="77777777" w:rsidTr="00534A83">
        <w:trPr>
          <w:jc w:val="center"/>
        </w:trPr>
        <w:tc>
          <w:tcPr>
            <w:tcW w:w="2493" w:type="dxa"/>
            <w:tcMar>
              <w:top w:w="0" w:type="dxa"/>
              <w:left w:w="0" w:type="dxa"/>
              <w:bottom w:w="0" w:type="dxa"/>
              <w:right w:w="0" w:type="dxa"/>
            </w:tcMar>
          </w:tcPr>
          <w:p w14:paraId="720CA79A"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6A86A140"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49E4FA14" w14:textId="77777777" w:rsidR="003E190F" w:rsidRPr="00A2171C" w:rsidRDefault="003E190F" w:rsidP="003E190F">
            <w:pPr>
              <w:pStyle w:val="Standard"/>
              <w:rPr>
                <w:sz w:val="20"/>
                <w:szCs w:val="20"/>
              </w:rPr>
            </w:pPr>
            <w:r w:rsidRPr="00A2171C">
              <w:rPr>
                <w:sz w:val="20"/>
                <w:szCs w:val="20"/>
              </w:rPr>
              <w:t>1</w:t>
            </w:r>
          </w:p>
        </w:tc>
        <w:tc>
          <w:tcPr>
            <w:tcW w:w="1474" w:type="dxa"/>
            <w:tcMar>
              <w:top w:w="0" w:type="dxa"/>
              <w:left w:w="0" w:type="dxa"/>
              <w:bottom w:w="0" w:type="dxa"/>
              <w:right w:w="0" w:type="dxa"/>
            </w:tcMar>
          </w:tcPr>
          <w:p w14:paraId="705AA555" w14:textId="77777777" w:rsidR="003E190F" w:rsidRPr="00A2171C" w:rsidRDefault="003E190F" w:rsidP="003E190F">
            <w:pPr>
              <w:pStyle w:val="Standard"/>
              <w:rPr>
                <w:sz w:val="20"/>
                <w:szCs w:val="20"/>
              </w:rPr>
            </w:pPr>
            <w:r w:rsidRPr="00A2171C">
              <w:rPr>
                <w:sz w:val="20"/>
                <w:szCs w:val="20"/>
              </w:rPr>
              <w:t>355</w:t>
            </w:r>
          </w:p>
        </w:tc>
      </w:tr>
      <w:tr w:rsidR="00A2171C" w:rsidRPr="00A2171C" w14:paraId="3D9031A8" w14:textId="77777777" w:rsidTr="00534A83">
        <w:trPr>
          <w:jc w:val="center"/>
        </w:trPr>
        <w:tc>
          <w:tcPr>
            <w:tcW w:w="2493" w:type="dxa"/>
            <w:tcMar>
              <w:top w:w="0" w:type="dxa"/>
              <w:left w:w="0" w:type="dxa"/>
              <w:bottom w:w="0" w:type="dxa"/>
              <w:right w:w="0" w:type="dxa"/>
            </w:tcMar>
          </w:tcPr>
          <w:p w14:paraId="024EFA92"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2AEF6B63"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3DF77F39" w14:textId="77777777" w:rsidR="003E190F" w:rsidRPr="00A2171C" w:rsidRDefault="003E190F" w:rsidP="003E190F">
            <w:pPr>
              <w:pStyle w:val="Standard"/>
              <w:rPr>
                <w:sz w:val="20"/>
                <w:szCs w:val="20"/>
              </w:rPr>
            </w:pPr>
            <w:r w:rsidRPr="00A2171C">
              <w:rPr>
                <w:sz w:val="20"/>
                <w:szCs w:val="20"/>
              </w:rPr>
              <w:t>2</w:t>
            </w:r>
          </w:p>
        </w:tc>
        <w:tc>
          <w:tcPr>
            <w:tcW w:w="1474" w:type="dxa"/>
            <w:tcMar>
              <w:top w:w="0" w:type="dxa"/>
              <w:left w:w="0" w:type="dxa"/>
              <w:bottom w:w="0" w:type="dxa"/>
              <w:right w:w="0" w:type="dxa"/>
            </w:tcMar>
          </w:tcPr>
          <w:p w14:paraId="5AD87869" w14:textId="77777777" w:rsidR="003E190F" w:rsidRPr="00A2171C" w:rsidRDefault="003E190F" w:rsidP="003E190F">
            <w:pPr>
              <w:pStyle w:val="Standard"/>
              <w:rPr>
                <w:sz w:val="20"/>
                <w:szCs w:val="20"/>
              </w:rPr>
            </w:pPr>
            <w:r w:rsidRPr="00A2171C">
              <w:rPr>
                <w:sz w:val="20"/>
                <w:szCs w:val="20"/>
              </w:rPr>
              <w:t>33</w:t>
            </w:r>
          </w:p>
        </w:tc>
      </w:tr>
      <w:tr w:rsidR="00A2171C" w:rsidRPr="00A2171C" w14:paraId="56794596" w14:textId="77777777" w:rsidTr="00534A83">
        <w:trPr>
          <w:jc w:val="center"/>
        </w:trPr>
        <w:tc>
          <w:tcPr>
            <w:tcW w:w="2493" w:type="dxa"/>
            <w:tcMar>
              <w:top w:w="0" w:type="dxa"/>
              <w:left w:w="0" w:type="dxa"/>
              <w:bottom w:w="0" w:type="dxa"/>
              <w:right w:w="0" w:type="dxa"/>
            </w:tcMar>
          </w:tcPr>
          <w:p w14:paraId="5FCDC7E1" w14:textId="77777777" w:rsidR="003E190F" w:rsidRPr="00A2171C" w:rsidRDefault="003E190F" w:rsidP="003E190F">
            <w:pPr>
              <w:pStyle w:val="Standard"/>
              <w:rPr>
                <w:sz w:val="20"/>
                <w:szCs w:val="20"/>
              </w:rPr>
            </w:pPr>
          </w:p>
        </w:tc>
        <w:tc>
          <w:tcPr>
            <w:tcW w:w="2891" w:type="dxa"/>
            <w:tcMar>
              <w:top w:w="0" w:type="dxa"/>
              <w:left w:w="0" w:type="dxa"/>
              <w:bottom w:w="0" w:type="dxa"/>
              <w:right w:w="0" w:type="dxa"/>
            </w:tcMar>
          </w:tcPr>
          <w:p w14:paraId="7479F85F" w14:textId="77777777" w:rsidR="003E190F" w:rsidRPr="00A2171C" w:rsidRDefault="003E190F" w:rsidP="003E190F">
            <w:pPr>
              <w:pStyle w:val="Standard"/>
              <w:rPr>
                <w:sz w:val="20"/>
                <w:szCs w:val="20"/>
              </w:rPr>
            </w:pPr>
          </w:p>
        </w:tc>
        <w:tc>
          <w:tcPr>
            <w:tcW w:w="1719" w:type="dxa"/>
            <w:tcMar>
              <w:top w:w="0" w:type="dxa"/>
              <w:left w:w="0" w:type="dxa"/>
              <w:bottom w:w="0" w:type="dxa"/>
              <w:right w:w="0" w:type="dxa"/>
            </w:tcMar>
          </w:tcPr>
          <w:p w14:paraId="063A5B76" w14:textId="77777777" w:rsidR="003E190F" w:rsidRPr="00A2171C" w:rsidRDefault="003E190F" w:rsidP="003E190F">
            <w:pPr>
              <w:pStyle w:val="Standard"/>
              <w:rPr>
                <w:sz w:val="20"/>
                <w:szCs w:val="20"/>
              </w:rPr>
            </w:pPr>
            <w:r w:rsidRPr="00A2171C">
              <w:rPr>
                <w:sz w:val="20"/>
                <w:szCs w:val="20"/>
              </w:rPr>
              <w:t>3</w:t>
            </w:r>
          </w:p>
        </w:tc>
        <w:tc>
          <w:tcPr>
            <w:tcW w:w="1474" w:type="dxa"/>
            <w:tcMar>
              <w:top w:w="0" w:type="dxa"/>
              <w:left w:w="0" w:type="dxa"/>
              <w:bottom w:w="0" w:type="dxa"/>
              <w:right w:w="0" w:type="dxa"/>
            </w:tcMar>
          </w:tcPr>
          <w:p w14:paraId="07D37697" w14:textId="77777777" w:rsidR="003E190F" w:rsidRPr="00A2171C" w:rsidRDefault="003E190F" w:rsidP="003E190F">
            <w:pPr>
              <w:pStyle w:val="Standard"/>
              <w:rPr>
                <w:sz w:val="20"/>
                <w:szCs w:val="20"/>
              </w:rPr>
            </w:pPr>
            <w:r w:rsidRPr="00A2171C">
              <w:rPr>
                <w:sz w:val="20"/>
                <w:szCs w:val="20"/>
              </w:rPr>
              <w:t>5</w:t>
            </w:r>
          </w:p>
        </w:tc>
      </w:tr>
      <w:tr w:rsidR="003E190F" w:rsidRPr="00A2171C" w14:paraId="65F524A6" w14:textId="77777777" w:rsidTr="00534A83">
        <w:trPr>
          <w:jc w:val="center"/>
        </w:trPr>
        <w:tc>
          <w:tcPr>
            <w:tcW w:w="2493" w:type="dxa"/>
            <w:tcBorders>
              <w:bottom w:val="single" w:sz="2" w:space="0" w:color="000000"/>
            </w:tcBorders>
            <w:tcMar>
              <w:top w:w="29" w:type="dxa"/>
              <w:left w:w="0" w:type="dxa"/>
              <w:bottom w:w="0" w:type="dxa"/>
              <w:right w:w="0" w:type="dxa"/>
            </w:tcMar>
          </w:tcPr>
          <w:p w14:paraId="056F7751" w14:textId="77777777" w:rsidR="003E190F" w:rsidRPr="00A2171C" w:rsidRDefault="003E190F" w:rsidP="003E190F">
            <w:pPr>
              <w:pStyle w:val="Standard"/>
              <w:rPr>
                <w:sz w:val="20"/>
                <w:szCs w:val="20"/>
              </w:rPr>
            </w:pPr>
          </w:p>
        </w:tc>
        <w:tc>
          <w:tcPr>
            <w:tcW w:w="2891" w:type="dxa"/>
            <w:tcBorders>
              <w:bottom w:val="single" w:sz="2" w:space="0" w:color="000000"/>
            </w:tcBorders>
            <w:tcMar>
              <w:top w:w="29" w:type="dxa"/>
              <w:left w:w="0" w:type="dxa"/>
              <w:bottom w:w="0" w:type="dxa"/>
              <w:right w:w="0" w:type="dxa"/>
            </w:tcMar>
          </w:tcPr>
          <w:p w14:paraId="20412084" w14:textId="77777777" w:rsidR="003E190F" w:rsidRPr="00A2171C" w:rsidRDefault="003E190F" w:rsidP="003E190F">
            <w:pPr>
              <w:pStyle w:val="Standard"/>
              <w:rPr>
                <w:sz w:val="20"/>
                <w:szCs w:val="20"/>
              </w:rPr>
            </w:pPr>
          </w:p>
        </w:tc>
        <w:tc>
          <w:tcPr>
            <w:tcW w:w="1719" w:type="dxa"/>
            <w:tcBorders>
              <w:bottom w:val="single" w:sz="2" w:space="0" w:color="000000"/>
            </w:tcBorders>
            <w:tcMar>
              <w:top w:w="29" w:type="dxa"/>
              <w:left w:w="0" w:type="dxa"/>
              <w:bottom w:w="0" w:type="dxa"/>
              <w:right w:w="0" w:type="dxa"/>
            </w:tcMar>
          </w:tcPr>
          <w:p w14:paraId="7D89235E" w14:textId="77777777" w:rsidR="003E190F" w:rsidRPr="00A2171C" w:rsidRDefault="003E190F" w:rsidP="003E190F">
            <w:pPr>
              <w:pStyle w:val="Standard"/>
              <w:rPr>
                <w:sz w:val="20"/>
                <w:szCs w:val="20"/>
              </w:rPr>
            </w:pPr>
            <w:r w:rsidRPr="00A2171C">
              <w:rPr>
                <w:sz w:val="20"/>
                <w:szCs w:val="20"/>
              </w:rPr>
              <w:t>4</w:t>
            </w:r>
          </w:p>
        </w:tc>
        <w:tc>
          <w:tcPr>
            <w:tcW w:w="1474" w:type="dxa"/>
            <w:tcBorders>
              <w:bottom w:val="single" w:sz="2" w:space="0" w:color="000000"/>
            </w:tcBorders>
            <w:tcMar>
              <w:top w:w="29" w:type="dxa"/>
              <w:left w:w="0" w:type="dxa"/>
              <w:bottom w:w="0" w:type="dxa"/>
              <w:right w:w="0" w:type="dxa"/>
            </w:tcMar>
          </w:tcPr>
          <w:p w14:paraId="111ECEED" w14:textId="77777777" w:rsidR="003E190F" w:rsidRPr="00A2171C" w:rsidRDefault="003E190F" w:rsidP="003E190F">
            <w:pPr>
              <w:pStyle w:val="Standard"/>
              <w:rPr>
                <w:sz w:val="20"/>
                <w:szCs w:val="20"/>
              </w:rPr>
            </w:pPr>
            <w:r w:rsidRPr="00A2171C">
              <w:rPr>
                <w:sz w:val="20"/>
                <w:szCs w:val="20"/>
              </w:rPr>
              <w:t>1</w:t>
            </w:r>
          </w:p>
        </w:tc>
      </w:tr>
    </w:tbl>
    <w:p w14:paraId="6291735A" w14:textId="77777777" w:rsidR="004E6BD0" w:rsidRPr="00A2171C" w:rsidRDefault="004E6BD0" w:rsidP="004E6BD0"/>
    <w:sectPr w:rsidR="004E6BD0" w:rsidRPr="00A2171C" w:rsidSect="00C2000E">
      <w:headerReference w:type="default" r:id="rId34"/>
      <w:pgSz w:w="12240" w:h="15840"/>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9871D" w14:textId="77777777" w:rsidR="00ED7E44" w:rsidRDefault="00ED7E44" w:rsidP="00BA2612">
      <w:pPr>
        <w:spacing w:after="0" w:line="240" w:lineRule="auto"/>
      </w:pPr>
      <w:r>
        <w:separator/>
      </w:r>
    </w:p>
  </w:endnote>
  <w:endnote w:type="continuationSeparator" w:id="0">
    <w:p w14:paraId="1F1AD7DC" w14:textId="77777777" w:rsidR="00ED7E44" w:rsidRDefault="00ED7E44" w:rsidP="00BA2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Libre Baskerville">
    <w:panose1 w:val="02000000000000000000"/>
    <w:charset w:val="00"/>
    <w:family w:val="auto"/>
    <w:pitch w:val="variable"/>
    <w:sig w:usb0="A00000BF" w:usb1="50000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A4EC9" w14:textId="77777777" w:rsidR="00ED7E44" w:rsidRDefault="00ED7E44" w:rsidP="00BA2612">
      <w:pPr>
        <w:spacing w:after="0" w:line="240" w:lineRule="auto"/>
      </w:pPr>
      <w:r>
        <w:separator/>
      </w:r>
    </w:p>
  </w:footnote>
  <w:footnote w:type="continuationSeparator" w:id="0">
    <w:p w14:paraId="5C385ED1" w14:textId="77777777" w:rsidR="00ED7E44" w:rsidRDefault="00ED7E44" w:rsidP="00BA2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142989"/>
      <w:docPartObj>
        <w:docPartGallery w:val="Page Numbers (Top of Page)"/>
        <w:docPartUnique/>
      </w:docPartObj>
    </w:sdtPr>
    <w:sdtContent>
      <w:p w14:paraId="606D112E" w14:textId="4DFB607E" w:rsidR="0003285A" w:rsidRDefault="0003285A">
        <w:pPr>
          <w:pStyle w:val="Header"/>
          <w:jc w:val="center"/>
        </w:pPr>
        <w:r>
          <w:fldChar w:fldCharType="begin"/>
        </w:r>
        <w:r>
          <w:instrText>PAGE   \* MERGEFORMAT</w:instrText>
        </w:r>
        <w:r>
          <w:fldChar w:fldCharType="separate"/>
        </w:r>
        <w:r>
          <w:rPr>
            <w:lang w:val="es-ES"/>
          </w:rPr>
          <w:t>2</w:t>
        </w:r>
        <w:r>
          <w:fldChar w:fldCharType="end"/>
        </w:r>
      </w:p>
    </w:sdtContent>
  </w:sdt>
  <w:p w14:paraId="141A76B4" w14:textId="77777777" w:rsidR="0003285A" w:rsidRDefault="00032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E5A"/>
    <w:multiLevelType w:val="hybridMultilevel"/>
    <w:tmpl w:val="28FC945E"/>
    <w:lvl w:ilvl="0" w:tplc="755A621C">
      <w:numFmt w:val="bullet"/>
      <w:lvlText w:val="-"/>
      <w:lvlJc w:val="left"/>
      <w:pPr>
        <w:ind w:left="720" w:hanging="360"/>
      </w:pPr>
      <w:rPr>
        <w:rFonts w:ascii="Times New Roman" w:eastAsia="Times New Roman" w:hAnsi="Times New Roman"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9081DC9"/>
    <w:multiLevelType w:val="hybridMultilevel"/>
    <w:tmpl w:val="DC543C2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984902"/>
    <w:multiLevelType w:val="hybridMultilevel"/>
    <w:tmpl w:val="D390CF4A"/>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3" w15:restartNumberingAfterBreak="0">
    <w:nsid w:val="0A6A362E"/>
    <w:multiLevelType w:val="hybridMultilevel"/>
    <w:tmpl w:val="8CC4C19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357D5D"/>
    <w:multiLevelType w:val="hybridMultilevel"/>
    <w:tmpl w:val="4B94FB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D0F369E"/>
    <w:multiLevelType w:val="multilevel"/>
    <w:tmpl w:val="FDC4E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F337FC"/>
    <w:multiLevelType w:val="hybridMultilevel"/>
    <w:tmpl w:val="DBC014D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528572A"/>
    <w:multiLevelType w:val="hybridMultilevel"/>
    <w:tmpl w:val="38F6B1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B681C25"/>
    <w:multiLevelType w:val="hybridMultilevel"/>
    <w:tmpl w:val="94506374"/>
    <w:lvl w:ilvl="0" w:tplc="C322A5E6">
      <w:start w:val="1"/>
      <w:numFmt w:val="decimal"/>
      <w:lvlText w:val="%1."/>
      <w:lvlJc w:val="left"/>
      <w:pPr>
        <w:ind w:left="720" w:hanging="360"/>
      </w:pPr>
      <w:rPr>
        <w:b/>
        <w:bCs/>
        <w:color w:val="00B0F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02E36C7"/>
    <w:multiLevelType w:val="hybridMultilevel"/>
    <w:tmpl w:val="5792DF4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20EA5DA9"/>
    <w:multiLevelType w:val="multilevel"/>
    <w:tmpl w:val="DEB4498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9C7551"/>
    <w:multiLevelType w:val="hybridMultilevel"/>
    <w:tmpl w:val="E0E0B2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3AE067E"/>
    <w:multiLevelType w:val="multilevel"/>
    <w:tmpl w:val="69F43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0C4249"/>
    <w:multiLevelType w:val="hybridMultilevel"/>
    <w:tmpl w:val="E9BEE498"/>
    <w:lvl w:ilvl="0" w:tplc="34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E12E6B"/>
    <w:multiLevelType w:val="multilevel"/>
    <w:tmpl w:val="3314FA60"/>
    <w:lvl w:ilvl="0">
      <w:start w:val="1"/>
      <w:numFmt w:val="decimal"/>
      <w:lvlText w:val="2.%1"/>
      <w:lvlJc w:val="left"/>
      <w:pPr>
        <w:ind w:left="720" w:hanging="360"/>
      </w:pPr>
      <w:rPr>
        <w:rFonts w:hint="default"/>
        <w:b/>
        <w:color w:val="00B05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05368F"/>
    <w:multiLevelType w:val="multilevel"/>
    <w:tmpl w:val="A74C8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5924F5"/>
    <w:multiLevelType w:val="hybridMultilevel"/>
    <w:tmpl w:val="F208B6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9CC11C2"/>
    <w:multiLevelType w:val="hybridMultilevel"/>
    <w:tmpl w:val="1658A886"/>
    <w:lvl w:ilvl="0" w:tplc="340A0001">
      <w:start w:val="1"/>
      <w:numFmt w:val="bullet"/>
      <w:lvlText w:val=""/>
      <w:lvlJc w:val="left"/>
      <w:pPr>
        <w:ind w:left="786" w:hanging="360"/>
      </w:pPr>
      <w:rPr>
        <w:rFonts w:ascii="Symbol" w:hAnsi="Symbol" w:hint="default"/>
        <w:b/>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409C72F1"/>
    <w:multiLevelType w:val="hybridMultilevel"/>
    <w:tmpl w:val="B10A3D9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414F2B57"/>
    <w:multiLevelType w:val="hybridMultilevel"/>
    <w:tmpl w:val="553A02E2"/>
    <w:lvl w:ilvl="0" w:tplc="F710DDD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4AE1B04"/>
    <w:multiLevelType w:val="hybridMultilevel"/>
    <w:tmpl w:val="57BE6B8C"/>
    <w:lvl w:ilvl="0" w:tplc="340A0005">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1" w15:restartNumberingAfterBreak="0">
    <w:nsid w:val="4A961EB3"/>
    <w:multiLevelType w:val="multilevel"/>
    <w:tmpl w:val="E500C66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2" w15:restartNumberingAfterBreak="0">
    <w:nsid w:val="50E82027"/>
    <w:multiLevelType w:val="hybridMultilevel"/>
    <w:tmpl w:val="2F86B346"/>
    <w:lvl w:ilvl="0" w:tplc="3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1184979"/>
    <w:multiLevelType w:val="multilevel"/>
    <w:tmpl w:val="9DE840DE"/>
    <w:lvl w:ilvl="0">
      <w:start w:val="1"/>
      <w:numFmt w:val="decimal"/>
      <w:lvlText w:val="%1."/>
      <w:lvlJc w:val="left"/>
      <w:pPr>
        <w:ind w:left="720" w:hanging="360"/>
      </w:pPr>
      <w:rPr>
        <w:rFonts w:hint="default"/>
        <w:b/>
        <w:bCs/>
        <w:lang w:val="en-US"/>
      </w:rPr>
    </w:lvl>
    <w:lvl w:ilvl="1">
      <w:start w:val="1"/>
      <w:numFmt w:val="decimal"/>
      <w:isLgl/>
      <w:lvlText w:val="%1.%2"/>
      <w:lvlJc w:val="left"/>
      <w:pPr>
        <w:ind w:left="720" w:hanging="360"/>
      </w:pPr>
      <w:rPr>
        <w:rFont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2F65DFE"/>
    <w:multiLevelType w:val="multilevel"/>
    <w:tmpl w:val="251E48A4"/>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23441D"/>
    <w:multiLevelType w:val="hybridMultilevel"/>
    <w:tmpl w:val="B02AB3E0"/>
    <w:lvl w:ilvl="0" w:tplc="755A621C">
      <w:numFmt w:val="bullet"/>
      <w:lvlText w:val="-"/>
      <w:lvlJc w:val="left"/>
      <w:pPr>
        <w:ind w:left="720" w:hanging="360"/>
      </w:pPr>
      <w:rPr>
        <w:rFonts w:ascii="Times New Roman" w:eastAsia="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E9D48F4"/>
    <w:multiLevelType w:val="hybridMultilevel"/>
    <w:tmpl w:val="14A426E4"/>
    <w:lvl w:ilvl="0" w:tplc="340A0001">
      <w:start w:val="1"/>
      <w:numFmt w:val="bullet"/>
      <w:lvlText w:val=""/>
      <w:lvlJc w:val="left"/>
      <w:pPr>
        <w:ind w:left="1777" w:hanging="360"/>
      </w:pPr>
      <w:rPr>
        <w:rFonts w:ascii="Symbol" w:hAnsi="Symbol" w:hint="default"/>
      </w:rPr>
    </w:lvl>
    <w:lvl w:ilvl="1" w:tplc="340A0003" w:tentative="1">
      <w:start w:val="1"/>
      <w:numFmt w:val="bullet"/>
      <w:lvlText w:val="o"/>
      <w:lvlJc w:val="left"/>
      <w:pPr>
        <w:ind w:left="2497" w:hanging="360"/>
      </w:pPr>
      <w:rPr>
        <w:rFonts w:ascii="Courier New" w:hAnsi="Courier New" w:cs="Courier New" w:hint="default"/>
      </w:rPr>
    </w:lvl>
    <w:lvl w:ilvl="2" w:tplc="340A0005" w:tentative="1">
      <w:start w:val="1"/>
      <w:numFmt w:val="bullet"/>
      <w:lvlText w:val=""/>
      <w:lvlJc w:val="left"/>
      <w:pPr>
        <w:ind w:left="3217" w:hanging="360"/>
      </w:pPr>
      <w:rPr>
        <w:rFonts w:ascii="Wingdings" w:hAnsi="Wingdings" w:hint="default"/>
      </w:rPr>
    </w:lvl>
    <w:lvl w:ilvl="3" w:tplc="340A0001" w:tentative="1">
      <w:start w:val="1"/>
      <w:numFmt w:val="bullet"/>
      <w:lvlText w:val=""/>
      <w:lvlJc w:val="left"/>
      <w:pPr>
        <w:ind w:left="3937" w:hanging="360"/>
      </w:pPr>
      <w:rPr>
        <w:rFonts w:ascii="Symbol" w:hAnsi="Symbol" w:hint="default"/>
      </w:rPr>
    </w:lvl>
    <w:lvl w:ilvl="4" w:tplc="340A0003" w:tentative="1">
      <w:start w:val="1"/>
      <w:numFmt w:val="bullet"/>
      <w:lvlText w:val="o"/>
      <w:lvlJc w:val="left"/>
      <w:pPr>
        <w:ind w:left="4657" w:hanging="360"/>
      </w:pPr>
      <w:rPr>
        <w:rFonts w:ascii="Courier New" w:hAnsi="Courier New" w:cs="Courier New" w:hint="default"/>
      </w:rPr>
    </w:lvl>
    <w:lvl w:ilvl="5" w:tplc="340A0005" w:tentative="1">
      <w:start w:val="1"/>
      <w:numFmt w:val="bullet"/>
      <w:lvlText w:val=""/>
      <w:lvlJc w:val="left"/>
      <w:pPr>
        <w:ind w:left="5377" w:hanging="360"/>
      </w:pPr>
      <w:rPr>
        <w:rFonts w:ascii="Wingdings" w:hAnsi="Wingdings" w:hint="default"/>
      </w:rPr>
    </w:lvl>
    <w:lvl w:ilvl="6" w:tplc="340A0001" w:tentative="1">
      <w:start w:val="1"/>
      <w:numFmt w:val="bullet"/>
      <w:lvlText w:val=""/>
      <w:lvlJc w:val="left"/>
      <w:pPr>
        <w:ind w:left="6097" w:hanging="360"/>
      </w:pPr>
      <w:rPr>
        <w:rFonts w:ascii="Symbol" w:hAnsi="Symbol" w:hint="default"/>
      </w:rPr>
    </w:lvl>
    <w:lvl w:ilvl="7" w:tplc="340A0003" w:tentative="1">
      <w:start w:val="1"/>
      <w:numFmt w:val="bullet"/>
      <w:lvlText w:val="o"/>
      <w:lvlJc w:val="left"/>
      <w:pPr>
        <w:ind w:left="6817" w:hanging="360"/>
      </w:pPr>
      <w:rPr>
        <w:rFonts w:ascii="Courier New" w:hAnsi="Courier New" w:cs="Courier New" w:hint="default"/>
      </w:rPr>
    </w:lvl>
    <w:lvl w:ilvl="8" w:tplc="340A0005" w:tentative="1">
      <w:start w:val="1"/>
      <w:numFmt w:val="bullet"/>
      <w:lvlText w:val=""/>
      <w:lvlJc w:val="left"/>
      <w:pPr>
        <w:ind w:left="7537" w:hanging="360"/>
      </w:pPr>
      <w:rPr>
        <w:rFonts w:ascii="Wingdings" w:hAnsi="Wingdings" w:hint="default"/>
      </w:rPr>
    </w:lvl>
  </w:abstractNum>
  <w:abstractNum w:abstractNumId="27" w15:restartNumberingAfterBreak="0">
    <w:nsid w:val="762F4CF5"/>
    <w:multiLevelType w:val="hybridMultilevel"/>
    <w:tmpl w:val="3538248A"/>
    <w:lvl w:ilvl="0" w:tplc="7DBE808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D5B520A"/>
    <w:multiLevelType w:val="multilevel"/>
    <w:tmpl w:val="6EFEA814"/>
    <w:lvl w:ilvl="0">
      <w:start w:val="1"/>
      <w:numFmt w:val="lowerLetter"/>
      <w:lvlText w:val="%1)"/>
      <w:lvlJc w:val="left"/>
      <w:pPr>
        <w:ind w:left="1146" w:hanging="360"/>
      </w:pPr>
      <w:rPr>
        <w:b/>
        <w:bCs/>
        <w:color w:val="00B050"/>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424760551">
    <w:abstractNumId w:val="23"/>
  </w:num>
  <w:num w:numId="2" w16cid:durableId="1819494062">
    <w:abstractNumId w:val="15"/>
  </w:num>
  <w:num w:numId="3" w16cid:durableId="338511803">
    <w:abstractNumId w:val="10"/>
  </w:num>
  <w:num w:numId="4" w16cid:durableId="157163132">
    <w:abstractNumId w:val="12"/>
  </w:num>
  <w:num w:numId="5" w16cid:durableId="940991172">
    <w:abstractNumId w:val="21"/>
  </w:num>
  <w:num w:numId="6" w16cid:durableId="992636007">
    <w:abstractNumId w:val="5"/>
  </w:num>
  <w:num w:numId="7" w16cid:durableId="1139298234">
    <w:abstractNumId w:val="24"/>
  </w:num>
  <w:num w:numId="8" w16cid:durableId="1192449565">
    <w:abstractNumId w:val="7"/>
  </w:num>
  <w:num w:numId="9" w16cid:durableId="1364984334">
    <w:abstractNumId w:val="9"/>
  </w:num>
  <w:num w:numId="10" w16cid:durableId="76639030">
    <w:abstractNumId w:val="1"/>
  </w:num>
  <w:num w:numId="11" w16cid:durableId="992028794">
    <w:abstractNumId w:val="3"/>
  </w:num>
  <w:num w:numId="12" w16cid:durableId="96339642">
    <w:abstractNumId w:val="18"/>
  </w:num>
  <w:num w:numId="13" w16cid:durableId="1268268374">
    <w:abstractNumId w:val="16"/>
  </w:num>
  <w:num w:numId="14" w16cid:durableId="265700892">
    <w:abstractNumId w:val="8"/>
  </w:num>
  <w:num w:numId="15" w16cid:durableId="978652925">
    <w:abstractNumId w:val="6"/>
  </w:num>
  <w:num w:numId="16" w16cid:durableId="1657149486">
    <w:abstractNumId w:val="19"/>
  </w:num>
  <w:num w:numId="17" w16cid:durableId="2055814321">
    <w:abstractNumId w:val="22"/>
  </w:num>
  <w:num w:numId="18" w16cid:durableId="437602234">
    <w:abstractNumId w:val="20"/>
  </w:num>
  <w:num w:numId="19" w16cid:durableId="1413703671">
    <w:abstractNumId w:val="2"/>
  </w:num>
  <w:num w:numId="20" w16cid:durableId="336927613">
    <w:abstractNumId w:val="4"/>
  </w:num>
  <w:num w:numId="21" w16cid:durableId="243494578">
    <w:abstractNumId w:val="27"/>
  </w:num>
  <w:num w:numId="22" w16cid:durableId="215507169">
    <w:abstractNumId w:val="25"/>
  </w:num>
  <w:num w:numId="23" w16cid:durableId="961155633">
    <w:abstractNumId w:val="0"/>
  </w:num>
  <w:num w:numId="24" w16cid:durableId="513881147">
    <w:abstractNumId w:val="13"/>
  </w:num>
  <w:num w:numId="25" w16cid:durableId="1504972498">
    <w:abstractNumId w:val="17"/>
  </w:num>
  <w:num w:numId="26" w16cid:durableId="2059814736">
    <w:abstractNumId w:val="26"/>
  </w:num>
  <w:num w:numId="27" w16cid:durableId="769470344">
    <w:abstractNumId w:val="28"/>
  </w:num>
  <w:num w:numId="28" w16cid:durableId="38628874">
    <w:abstractNumId w:val="14"/>
  </w:num>
  <w:num w:numId="29" w16cid:durableId="2238746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867"/>
    <w:rsid w:val="00030529"/>
    <w:rsid w:val="0003285A"/>
    <w:rsid w:val="0003318E"/>
    <w:rsid w:val="00067407"/>
    <w:rsid w:val="000765C4"/>
    <w:rsid w:val="000772EE"/>
    <w:rsid w:val="000808BC"/>
    <w:rsid w:val="000A0DF1"/>
    <w:rsid w:val="000A0E4F"/>
    <w:rsid w:val="000B4A57"/>
    <w:rsid w:val="000E1AEF"/>
    <w:rsid w:val="001042E1"/>
    <w:rsid w:val="0010594D"/>
    <w:rsid w:val="00136076"/>
    <w:rsid w:val="00150362"/>
    <w:rsid w:val="00153A1B"/>
    <w:rsid w:val="0015439E"/>
    <w:rsid w:val="001574CF"/>
    <w:rsid w:val="00175E0B"/>
    <w:rsid w:val="001833B9"/>
    <w:rsid w:val="00185D28"/>
    <w:rsid w:val="00190B21"/>
    <w:rsid w:val="0019372F"/>
    <w:rsid w:val="00196DE0"/>
    <w:rsid w:val="001B7D96"/>
    <w:rsid w:val="001B7FDB"/>
    <w:rsid w:val="001C015B"/>
    <w:rsid w:val="001C78EC"/>
    <w:rsid w:val="001D48E0"/>
    <w:rsid w:val="00206EA7"/>
    <w:rsid w:val="00215544"/>
    <w:rsid w:val="00216927"/>
    <w:rsid w:val="002176CE"/>
    <w:rsid w:val="00217FF5"/>
    <w:rsid w:val="00225830"/>
    <w:rsid w:val="00227B34"/>
    <w:rsid w:val="00246C94"/>
    <w:rsid w:val="00251633"/>
    <w:rsid w:val="00252872"/>
    <w:rsid w:val="002624C9"/>
    <w:rsid w:val="00262F7F"/>
    <w:rsid w:val="00275415"/>
    <w:rsid w:val="002776ED"/>
    <w:rsid w:val="00280315"/>
    <w:rsid w:val="002929AF"/>
    <w:rsid w:val="00295E5D"/>
    <w:rsid w:val="002964B2"/>
    <w:rsid w:val="002A77A8"/>
    <w:rsid w:val="002D218E"/>
    <w:rsid w:val="002E36FB"/>
    <w:rsid w:val="002E6659"/>
    <w:rsid w:val="00303B79"/>
    <w:rsid w:val="0030464D"/>
    <w:rsid w:val="003145A8"/>
    <w:rsid w:val="0031617B"/>
    <w:rsid w:val="00342380"/>
    <w:rsid w:val="00357E4E"/>
    <w:rsid w:val="003857F4"/>
    <w:rsid w:val="00386874"/>
    <w:rsid w:val="003B024E"/>
    <w:rsid w:val="003B0748"/>
    <w:rsid w:val="003C25E5"/>
    <w:rsid w:val="003C61F0"/>
    <w:rsid w:val="003D1839"/>
    <w:rsid w:val="003D2A45"/>
    <w:rsid w:val="003E190F"/>
    <w:rsid w:val="003E1E24"/>
    <w:rsid w:val="0040298E"/>
    <w:rsid w:val="004150D8"/>
    <w:rsid w:val="00417907"/>
    <w:rsid w:val="00436C61"/>
    <w:rsid w:val="0045199A"/>
    <w:rsid w:val="004729FD"/>
    <w:rsid w:val="00474918"/>
    <w:rsid w:val="0048105D"/>
    <w:rsid w:val="00486F09"/>
    <w:rsid w:val="004925BF"/>
    <w:rsid w:val="004C6FC5"/>
    <w:rsid w:val="004E6BD0"/>
    <w:rsid w:val="004F0C57"/>
    <w:rsid w:val="005002A0"/>
    <w:rsid w:val="00513772"/>
    <w:rsid w:val="00516126"/>
    <w:rsid w:val="005177E4"/>
    <w:rsid w:val="00522DFF"/>
    <w:rsid w:val="00524662"/>
    <w:rsid w:val="00527DF8"/>
    <w:rsid w:val="00534A83"/>
    <w:rsid w:val="005446E0"/>
    <w:rsid w:val="00563B1C"/>
    <w:rsid w:val="005643EF"/>
    <w:rsid w:val="00582404"/>
    <w:rsid w:val="0058761A"/>
    <w:rsid w:val="00597136"/>
    <w:rsid w:val="005A4C96"/>
    <w:rsid w:val="005A7155"/>
    <w:rsid w:val="005A7BE8"/>
    <w:rsid w:val="005B76A6"/>
    <w:rsid w:val="005C1ABE"/>
    <w:rsid w:val="005C3A4B"/>
    <w:rsid w:val="005D020A"/>
    <w:rsid w:val="005D38CE"/>
    <w:rsid w:val="005D5EAE"/>
    <w:rsid w:val="005E2176"/>
    <w:rsid w:val="005E273C"/>
    <w:rsid w:val="005E7451"/>
    <w:rsid w:val="00600DF4"/>
    <w:rsid w:val="00606A6A"/>
    <w:rsid w:val="00620951"/>
    <w:rsid w:val="0066074D"/>
    <w:rsid w:val="006611D5"/>
    <w:rsid w:val="00685767"/>
    <w:rsid w:val="00690E8A"/>
    <w:rsid w:val="006913AA"/>
    <w:rsid w:val="006B6E19"/>
    <w:rsid w:val="006C1055"/>
    <w:rsid w:val="006E2ECD"/>
    <w:rsid w:val="006E628A"/>
    <w:rsid w:val="006F404F"/>
    <w:rsid w:val="00706E22"/>
    <w:rsid w:val="00714E8F"/>
    <w:rsid w:val="00715323"/>
    <w:rsid w:val="0071628B"/>
    <w:rsid w:val="0073364B"/>
    <w:rsid w:val="007347A1"/>
    <w:rsid w:val="00735C2F"/>
    <w:rsid w:val="00735C52"/>
    <w:rsid w:val="0074001B"/>
    <w:rsid w:val="0077391B"/>
    <w:rsid w:val="00783583"/>
    <w:rsid w:val="00787F30"/>
    <w:rsid w:val="007970C9"/>
    <w:rsid w:val="007B0DCD"/>
    <w:rsid w:val="007C2A7C"/>
    <w:rsid w:val="007C50D7"/>
    <w:rsid w:val="007C641F"/>
    <w:rsid w:val="007E0806"/>
    <w:rsid w:val="007E160A"/>
    <w:rsid w:val="007E5A49"/>
    <w:rsid w:val="007F342C"/>
    <w:rsid w:val="007F482D"/>
    <w:rsid w:val="00810583"/>
    <w:rsid w:val="0081165C"/>
    <w:rsid w:val="008118D1"/>
    <w:rsid w:val="00827D70"/>
    <w:rsid w:val="00832BF8"/>
    <w:rsid w:val="00833B0B"/>
    <w:rsid w:val="00833B81"/>
    <w:rsid w:val="008426C6"/>
    <w:rsid w:val="00854038"/>
    <w:rsid w:val="0085626F"/>
    <w:rsid w:val="008600AE"/>
    <w:rsid w:val="00864DEF"/>
    <w:rsid w:val="0087538E"/>
    <w:rsid w:val="00877A9E"/>
    <w:rsid w:val="00884984"/>
    <w:rsid w:val="008A4C5F"/>
    <w:rsid w:val="008B504F"/>
    <w:rsid w:val="008F20B4"/>
    <w:rsid w:val="008F3F7B"/>
    <w:rsid w:val="00917073"/>
    <w:rsid w:val="0092080E"/>
    <w:rsid w:val="0092250D"/>
    <w:rsid w:val="0093046F"/>
    <w:rsid w:val="00947D04"/>
    <w:rsid w:val="0095507A"/>
    <w:rsid w:val="00983061"/>
    <w:rsid w:val="0099065B"/>
    <w:rsid w:val="009A6C1B"/>
    <w:rsid w:val="009E7744"/>
    <w:rsid w:val="00A07947"/>
    <w:rsid w:val="00A21560"/>
    <w:rsid w:val="00A2171C"/>
    <w:rsid w:val="00A41223"/>
    <w:rsid w:val="00A4182A"/>
    <w:rsid w:val="00A41839"/>
    <w:rsid w:val="00A418D2"/>
    <w:rsid w:val="00A433A3"/>
    <w:rsid w:val="00A46867"/>
    <w:rsid w:val="00A678D0"/>
    <w:rsid w:val="00A85F43"/>
    <w:rsid w:val="00AB3422"/>
    <w:rsid w:val="00AC376A"/>
    <w:rsid w:val="00AC5E9F"/>
    <w:rsid w:val="00AD0257"/>
    <w:rsid w:val="00AE392E"/>
    <w:rsid w:val="00AF035F"/>
    <w:rsid w:val="00AF0FF8"/>
    <w:rsid w:val="00AF1D91"/>
    <w:rsid w:val="00B03A80"/>
    <w:rsid w:val="00B2643A"/>
    <w:rsid w:val="00B37AA7"/>
    <w:rsid w:val="00B41C83"/>
    <w:rsid w:val="00B675A0"/>
    <w:rsid w:val="00B87724"/>
    <w:rsid w:val="00B93391"/>
    <w:rsid w:val="00BA2612"/>
    <w:rsid w:val="00BA2915"/>
    <w:rsid w:val="00BA2A01"/>
    <w:rsid w:val="00BA359E"/>
    <w:rsid w:val="00BB36A6"/>
    <w:rsid w:val="00BD1060"/>
    <w:rsid w:val="00BD2217"/>
    <w:rsid w:val="00C01B4A"/>
    <w:rsid w:val="00C2000E"/>
    <w:rsid w:val="00C20049"/>
    <w:rsid w:val="00C226E2"/>
    <w:rsid w:val="00C23381"/>
    <w:rsid w:val="00C27E6B"/>
    <w:rsid w:val="00C31C32"/>
    <w:rsid w:val="00C36D81"/>
    <w:rsid w:val="00C4229E"/>
    <w:rsid w:val="00C5785C"/>
    <w:rsid w:val="00C72A24"/>
    <w:rsid w:val="00C74E25"/>
    <w:rsid w:val="00C802B8"/>
    <w:rsid w:val="00C859A3"/>
    <w:rsid w:val="00C908B0"/>
    <w:rsid w:val="00CA18C8"/>
    <w:rsid w:val="00CA4922"/>
    <w:rsid w:val="00CA4EF7"/>
    <w:rsid w:val="00CA7B1D"/>
    <w:rsid w:val="00CC5FDE"/>
    <w:rsid w:val="00CC6577"/>
    <w:rsid w:val="00CD14E9"/>
    <w:rsid w:val="00CD7D74"/>
    <w:rsid w:val="00CF4A4D"/>
    <w:rsid w:val="00D231D2"/>
    <w:rsid w:val="00D36779"/>
    <w:rsid w:val="00D40AA6"/>
    <w:rsid w:val="00D65DBD"/>
    <w:rsid w:val="00D72FE8"/>
    <w:rsid w:val="00D735E8"/>
    <w:rsid w:val="00D736D6"/>
    <w:rsid w:val="00D92328"/>
    <w:rsid w:val="00D97A16"/>
    <w:rsid w:val="00DA1589"/>
    <w:rsid w:val="00DA552A"/>
    <w:rsid w:val="00DB3AB3"/>
    <w:rsid w:val="00DB581B"/>
    <w:rsid w:val="00DD064B"/>
    <w:rsid w:val="00DD1213"/>
    <w:rsid w:val="00DF17A2"/>
    <w:rsid w:val="00E0282F"/>
    <w:rsid w:val="00E1552E"/>
    <w:rsid w:val="00E314AC"/>
    <w:rsid w:val="00E415F4"/>
    <w:rsid w:val="00E56956"/>
    <w:rsid w:val="00E57AA6"/>
    <w:rsid w:val="00E775B3"/>
    <w:rsid w:val="00E922C2"/>
    <w:rsid w:val="00EA1E7F"/>
    <w:rsid w:val="00EA368D"/>
    <w:rsid w:val="00EA5882"/>
    <w:rsid w:val="00EC1FCC"/>
    <w:rsid w:val="00EC45AA"/>
    <w:rsid w:val="00ED10F3"/>
    <w:rsid w:val="00ED7E44"/>
    <w:rsid w:val="00EE1B4C"/>
    <w:rsid w:val="00F00F42"/>
    <w:rsid w:val="00F0148A"/>
    <w:rsid w:val="00F10BA7"/>
    <w:rsid w:val="00F141E3"/>
    <w:rsid w:val="00F25DA4"/>
    <w:rsid w:val="00F34CAA"/>
    <w:rsid w:val="00F375A4"/>
    <w:rsid w:val="00F43021"/>
    <w:rsid w:val="00F539B6"/>
    <w:rsid w:val="00F55F6B"/>
    <w:rsid w:val="00F76C61"/>
    <w:rsid w:val="00F8499A"/>
    <w:rsid w:val="00F91B5D"/>
    <w:rsid w:val="00FB600E"/>
    <w:rsid w:val="00FE0A15"/>
    <w:rsid w:val="00FF1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547AE"/>
  <w15:chartTrackingRefBased/>
  <w15:docId w15:val="{50F3AEFF-D989-4707-BC78-C0A861D8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867"/>
    <w:pPr>
      <w:spacing w:line="360" w:lineRule="auto"/>
      <w:jc w:val="both"/>
    </w:pPr>
    <w:rPr>
      <w:rFonts w:ascii="Times New Roman" w:hAnsi="Times New Roman"/>
      <w:sz w:val="20"/>
      <w:lang w:val="es-CL"/>
    </w:rPr>
  </w:style>
  <w:style w:type="paragraph" w:styleId="Heading1">
    <w:name w:val="heading 1"/>
    <w:basedOn w:val="Normal"/>
    <w:next w:val="Normal"/>
    <w:link w:val="Heading1Char"/>
    <w:uiPriority w:val="9"/>
    <w:qFormat/>
    <w:rsid w:val="00A46867"/>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A46867"/>
    <w:pPr>
      <w:keepNext/>
      <w:keepLines/>
      <w:spacing w:before="40" w:after="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A46867"/>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46867"/>
    <w:pPr>
      <w:keepNext/>
      <w:keepLines/>
      <w:spacing w:before="40" w:after="0" w:line="259" w:lineRule="auto"/>
      <w:jc w:val="left"/>
      <w:outlineLvl w:val="3"/>
    </w:pPr>
    <w:rPr>
      <w:rFonts w:asciiTheme="majorHAnsi" w:eastAsiaTheme="majorEastAsia" w:hAnsiTheme="majorHAnsi" w:cstheme="majorBidi"/>
      <w:i/>
      <w:iCs/>
      <w:color w:val="2F5496" w:themeColor="accent1" w:themeShade="BF"/>
      <w:lang w:val="en-US" w:eastAsia="es-C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867"/>
    <w:rPr>
      <w:rFonts w:ascii="Times New Roman" w:eastAsiaTheme="majorEastAsia" w:hAnsi="Times New Roman" w:cstheme="majorBidi"/>
      <w:b/>
      <w:sz w:val="24"/>
      <w:szCs w:val="32"/>
      <w:lang w:val="es-CL"/>
    </w:rPr>
  </w:style>
  <w:style w:type="character" w:customStyle="1" w:styleId="Heading2Char">
    <w:name w:val="Heading 2 Char"/>
    <w:basedOn w:val="DefaultParagraphFont"/>
    <w:link w:val="Heading2"/>
    <w:uiPriority w:val="9"/>
    <w:rsid w:val="00A46867"/>
    <w:rPr>
      <w:rFonts w:ascii="Times New Roman" w:eastAsiaTheme="majorEastAsia" w:hAnsi="Times New Roman" w:cstheme="majorBidi"/>
      <w:b/>
      <w:color w:val="2F5496" w:themeColor="accent1" w:themeShade="BF"/>
      <w:sz w:val="20"/>
      <w:szCs w:val="26"/>
      <w:lang w:val="es-CL"/>
    </w:rPr>
  </w:style>
  <w:style w:type="character" w:customStyle="1" w:styleId="Heading3Char">
    <w:name w:val="Heading 3 Char"/>
    <w:basedOn w:val="DefaultParagraphFont"/>
    <w:link w:val="Heading3"/>
    <w:uiPriority w:val="9"/>
    <w:rsid w:val="00A46867"/>
    <w:rPr>
      <w:rFonts w:ascii="Times New Roman" w:eastAsiaTheme="majorEastAsia" w:hAnsi="Times New Roman" w:cstheme="majorBidi"/>
      <w:b/>
      <w:sz w:val="20"/>
      <w:szCs w:val="24"/>
      <w:lang w:val="es-CL"/>
    </w:rPr>
  </w:style>
  <w:style w:type="character" w:customStyle="1" w:styleId="Heading4Char">
    <w:name w:val="Heading 4 Char"/>
    <w:basedOn w:val="DefaultParagraphFont"/>
    <w:link w:val="Heading4"/>
    <w:uiPriority w:val="9"/>
    <w:rsid w:val="00A46867"/>
    <w:rPr>
      <w:rFonts w:asciiTheme="majorHAnsi" w:eastAsiaTheme="majorEastAsia" w:hAnsiTheme="majorHAnsi" w:cstheme="majorBidi"/>
      <w:i/>
      <w:iCs/>
      <w:color w:val="2F5496" w:themeColor="accent1" w:themeShade="BF"/>
      <w:sz w:val="20"/>
      <w:lang w:eastAsia="es-CL"/>
    </w:rPr>
  </w:style>
  <w:style w:type="table" w:styleId="TableGrid">
    <w:name w:val="Table Grid"/>
    <w:basedOn w:val="TableNormal"/>
    <w:uiPriority w:val="39"/>
    <w:rsid w:val="00A4686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6867"/>
    <w:pPr>
      <w:spacing w:after="200" w:line="240" w:lineRule="auto"/>
    </w:pPr>
    <w:rPr>
      <w:i/>
      <w:iCs/>
      <w:color w:val="44546A" w:themeColor="text2"/>
      <w:sz w:val="18"/>
      <w:szCs w:val="18"/>
    </w:rPr>
  </w:style>
  <w:style w:type="paragraph" w:styleId="ListParagraph">
    <w:name w:val="List Paragraph"/>
    <w:basedOn w:val="Normal"/>
    <w:uiPriority w:val="34"/>
    <w:qFormat/>
    <w:rsid w:val="00A46867"/>
    <w:pPr>
      <w:ind w:left="720"/>
      <w:contextualSpacing/>
    </w:pPr>
  </w:style>
  <w:style w:type="character" w:styleId="CommentReference">
    <w:name w:val="annotation reference"/>
    <w:basedOn w:val="DefaultParagraphFont"/>
    <w:uiPriority w:val="99"/>
    <w:semiHidden/>
    <w:unhideWhenUsed/>
    <w:rsid w:val="00A46867"/>
    <w:rPr>
      <w:sz w:val="16"/>
      <w:szCs w:val="16"/>
    </w:rPr>
  </w:style>
  <w:style w:type="paragraph" w:styleId="CommentText">
    <w:name w:val="annotation text"/>
    <w:basedOn w:val="Normal"/>
    <w:link w:val="CommentTextChar"/>
    <w:uiPriority w:val="99"/>
    <w:unhideWhenUsed/>
    <w:rsid w:val="00A46867"/>
    <w:pPr>
      <w:spacing w:after="0" w:line="240" w:lineRule="auto"/>
    </w:pPr>
    <w:rPr>
      <w:rFonts w:eastAsia="Times New Roman" w:cs="Times New Roman"/>
      <w:szCs w:val="20"/>
      <w:lang w:val="en-US" w:eastAsia="es-CL"/>
    </w:rPr>
  </w:style>
  <w:style w:type="character" w:customStyle="1" w:styleId="CommentTextChar">
    <w:name w:val="Comment Text Char"/>
    <w:basedOn w:val="DefaultParagraphFont"/>
    <w:link w:val="CommentText"/>
    <w:uiPriority w:val="99"/>
    <w:rsid w:val="00A46867"/>
    <w:rPr>
      <w:rFonts w:ascii="Times New Roman" w:eastAsia="Times New Roman" w:hAnsi="Times New Roman" w:cs="Times New Roman"/>
      <w:sz w:val="20"/>
      <w:szCs w:val="20"/>
      <w:lang w:eastAsia="es-CL"/>
    </w:rPr>
  </w:style>
  <w:style w:type="paragraph" w:styleId="CommentSubject">
    <w:name w:val="annotation subject"/>
    <w:basedOn w:val="CommentText"/>
    <w:next w:val="CommentText"/>
    <w:link w:val="CommentSubjectChar"/>
    <w:uiPriority w:val="99"/>
    <w:semiHidden/>
    <w:unhideWhenUsed/>
    <w:rsid w:val="00A46867"/>
    <w:pPr>
      <w:spacing w:after="160"/>
    </w:pPr>
    <w:rPr>
      <w:rFonts w:eastAsiaTheme="minorHAnsi" w:cstheme="minorBidi"/>
      <w:b/>
      <w:bCs/>
      <w:lang w:val="es-CL" w:eastAsia="en-US"/>
    </w:rPr>
  </w:style>
  <w:style w:type="character" w:customStyle="1" w:styleId="CommentSubjectChar">
    <w:name w:val="Comment Subject Char"/>
    <w:basedOn w:val="CommentTextChar"/>
    <w:link w:val="CommentSubject"/>
    <w:uiPriority w:val="99"/>
    <w:semiHidden/>
    <w:rsid w:val="00A46867"/>
    <w:rPr>
      <w:rFonts w:ascii="Times New Roman" w:eastAsia="Times New Roman" w:hAnsi="Times New Roman" w:cs="Times New Roman"/>
      <w:b/>
      <w:bCs/>
      <w:sz w:val="20"/>
      <w:szCs w:val="20"/>
      <w:lang w:val="es-CL" w:eastAsia="es-CL"/>
    </w:rPr>
  </w:style>
  <w:style w:type="paragraph" w:styleId="Header">
    <w:name w:val="header"/>
    <w:basedOn w:val="Normal"/>
    <w:link w:val="HeaderChar"/>
    <w:uiPriority w:val="99"/>
    <w:unhideWhenUsed/>
    <w:rsid w:val="00A46867"/>
    <w:pPr>
      <w:tabs>
        <w:tab w:val="center" w:pos="4419"/>
        <w:tab w:val="right" w:pos="8838"/>
      </w:tabs>
      <w:spacing w:after="0" w:line="240" w:lineRule="auto"/>
    </w:pPr>
  </w:style>
  <w:style w:type="character" w:customStyle="1" w:styleId="HeaderChar">
    <w:name w:val="Header Char"/>
    <w:basedOn w:val="DefaultParagraphFont"/>
    <w:link w:val="Header"/>
    <w:uiPriority w:val="99"/>
    <w:rsid w:val="00A46867"/>
    <w:rPr>
      <w:rFonts w:ascii="Times New Roman" w:hAnsi="Times New Roman"/>
      <w:sz w:val="20"/>
      <w:lang w:val="es-CL"/>
    </w:rPr>
  </w:style>
  <w:style w:type="paragraph" w:styleId="Footer">
    <w:name w:val="footer"/>
    <w:basedOn w:val="Normal"/>
    <w:link w:val="FooterChar"/>
    <w:uiPriority w:val="99"/>
    <w:unhideWhenUsed/>
    <w:rsid w:val="00A46867"/>
    <w:pPr>
      <w:tabs>
        <w:tab w:val="center" w:pos="4419"/>
        <w:tab w:val="right" w:pos="8838"/>
      </w:tabs>
      <w:spacing w:after="0" w:line="240" w:lineRule="auto"/>
    </w:pPr>
  </w:style>
  <w:style w:type="character" w:customStyle="1" w:styleId="FooterChar">
    <w:name w:val="Footer Char"/>
    <w:basedOn w:val="DefaultParagraphFont"/>
    <w:link w:val="Footer"/>
    <w:uiPriority w:val="99"/>
    <w:rsid w:val="00A46867"/>
    <w:rPr>
      <w:rFonts w:ascii="Times New Roman" w:hAnsi="Times New Roman"/>
      <w:sz w:val="20"/>
      <w:lang w:val="es-CL"/>
    </w:rPr>
  </w:style>
  <w:style w:type="paragraph" w:styleId="NormalWeb">
    <w:name w:val="Normal (Web)"/>
    <w:basedOn w:val="Normal"/>
    <w:uiPriority w:val="99"/>
    <w:unhideWhenUsed/>
    <w:rsid w:val="00A46867"/>
    <w:pPr>
      <w:spacing w:before="100" w:beforeAutospacing="1" w:after="100" w:afterAutospacing="1" w:line="240" w:lineRule="auto"/>
      <w:jc w:val="left"/>
    </w:pPr>
    <w:rPr>
      <w:rFonts w:eastAsia="Times New Roman" w:cs="Times New Roman"/>
      <w:sz w:val="24"/>
      <w:szCs w:val="24"/>
      <w:lang w:eastAsia="es-CL"/>
    </w:rPr>
  </w:style>
  <w:style w:type="character" w:styleId="Emphasis">
    <w:name w:val="Emphasis"/>
    <w:basedOn w:val="DefaultParagraphFont"/>
    <w:uiPriority w:val="20"/>
    <w:qFormat/>
    <w:rsid w:val="00A46867"/>
    <w:rPr>
      <w:i/>
      <w:iCs/>
    </w:rPr>
  </w:style>
  <w:style w:type="character" w:styleId="Hyperlink">
    <w:name w:val="Hyperlink"/>
    <w:basedOn w:val="DefaultParagraphFont"/>
    <w:uiPriority w:val="99"/>
    <w:unhideWhenUsed/>
    <w:rsid w:val="00A46867"/>
    <w:rPr>
      <w:color w:val="0000FF"/>
      <w:u w:val="single"/>
    </w:rPr>
  </w:style>
  <w:style w:type="character" w:customStyle="1" w:styleId="jlqj4b">
    <w:name w:val="jlqj4b"/>
    <w:basedOn w:val="DefaultParagraphFont"/>
    <w:rsid w:val="00A46867"/>
  </w:style>
  <w:style w:type="character" w:customStyle="1" w:styleId="viiyi">
    <w:name w:val="viiyi"/>
    <w:basedOn w:val="DefaultParagraphFont"/>
    <w:rsid w:val="00A46867"/>
  </w:style>
  <w:style w:type="paragraph" w:customStyle="1" w:styleId="Abstract">
    <w:name w:val="Abstract"/>
    <w:basedOn w:val="Normal"/>
    <w:next w:val="Normal"/>
    <w:qFormat/>
    <w:rsid w:val="00A46867"/>
    <w:pPr>
      <w:spacing w:before="360" w:after="300"/>
      <w:ind w:left="720" w:right="567"/>
      <w:jc w:val="left"/>
    </w:pPr>
    <w:rPr>
      <w:rFonts w:eastAsia="Times New Roman" w:cs="Times New Roman"/>
      <w:sz w:val="22"/>
      <w:szCs w:val="24"/>
      <w:lang w:val="en-GB" w:eastAsia="en-GB"/>
    </w:rPr>
  </w:style>
  <w:style w:type="character" w:customStyle="1" w:styleId="q4iawc">
    <w:name w:val="q4iawc"/>
    <w:basedOn w:val="DefaultParagraphFont"/>
    <w:rsid w:val="00A46867"/>
  </w:style>
  <w:style w:type="paragraph" w:customStyle="1" w:styleId="Default">
    <w:name w:val="Default"/>
    <w:rsid w:val="00A46867"/>
    <w:pPr>
      <w:autoSpaceDE w:val="0"/>
      <w:autoSpaceDN w:val="0"/>
      <w:adjustRightInd w:val="0"/>
      <w:spacing w:after="0" w:line="240" w:lineRule="auto"/>
    </w:pPr>
    <w:rPr>
      <w:rFonts w:ascii="Myriad Pro" w:hAnsi="Myriad Pro" w:cs="Myriad Pro"/>
      <w:color w:val="000000"/>
      <w:sz w:val="24"/>
      <w:szCs w:val="24"/>
      <w:lang w:val="es-CL"/>
    </w:rPr>
  </w:style>
  <w:style w:type="character" w:customStyle="1" w:styleId="hgkelc">
    <w:name w:val="hgkelc"/>
    <w:basedOn w:val="DefaultParagraphFont"/>
    <w:rsid w:val="00A46867"/>
  </w:style>
  <w:style w:type="character" w:customStyle="1" w:styleId="kx21rb">
    <w:name w:val="kx21rb"/>
    <w:basedOn w:val="DefaultParagraphFont"/>
    <w:rsid w:val="00A46867"/>
  </w:style>
  <w:style w:type="paragraph" w:styleId="BalloonText">
    <w:name w:val="Balloon Text"/>
    <w:basedOn w:val="Normal"/>
    <w:link w:val="BalloonTextChar"/>
    <w:uiPriority w:val="99"/>
    <w:semiHidden/>
    <w:unhideWhenUsed/>
    <w:rsid w:val="00A468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867"/>
    <w:rPr>
      <w:rFonts w:ascii="Segoe UI" w:hAnsi="Segoe UI" w:cs="Segoe UI"/>
      <w:sz w:val="18"/>
      <w:szCs w:val="18"/>
      <w:lang w:val="es-CL"/>
    </w:rPr>
  </w:style>
  <w:style w:type="paragraph" w:styleId="Revision">
    <w:name w:val="Revision"/>
    <w:hidden/>
    <w:uiPriority w:val="99"/>
    <w:semiHidden/>
    <w:rsid w:val="00A46867"/>
    <w:pPr>
      <w:spacing w:after="0" w:line="240" w:lineRule="auto"/>
    </w:pPr>
    <w:rPr>
      <w:rFonts w:ascii="Times New Roman" w:hAnsi="Times New Roman"/>
      <w:sz w:val="20"/>
      <w:lang w:val="es-CL"/>
    </w:rPr>
  </w:style>
  <w:style w:type="character" w:styleId="PlaceholderText">
    <w:name w:val="Placeholder Text"/>
    <w:basedOn w:val="DefaultParagraphFont"/>
    <w:uiPriority w:val="99"/>
    <w:semiHidden/>
    <w:rsid w:val="00A46867"/>
    <w:rPr>
      <w:color w:val="808080"/>
    </w:rPr>
  </w:style>
  <w:style w:type="character" w:styleId="HTMLCite">
    <w:name w:val="HTML Cite"/>
    <w:basedOn w:val="DefaultParagraphFont"/>
    <w:uiPriority w:val="99"/>
    <w:semiHidden/>
    <w:unhideWhenUsed/>
    <w:rsid w:val="00D231D2"/>
    <w:rPr>
      <w:i/>
      <w:iCs/>
    </w:rPr>
  </w:style>
  <w:style w:type="character" w:customStyle="1" w:styleId="rynqvb">
    <w:name w:val="rynqvb"/>
    <w:basedOn w:val="DefaultParagraphFont"/>
    <w:rsid w:val="00D231D2"/>
  </w:style>
  <w:style w:type="character" w:styleId="LineNumber">
    <w:name w:val="line number"/>
    <w:basedOn w:val="DefaultParagraphFont"/>
    <w:uiPriority w:val="99"/>
    <w:semiHidden/>
    <w:unhideWhenUsed/>
    <w:rsid w:val="00C2000E"/>
  </w:style>
  <w:style w:type="paragraph" w:customStyle="1" w:styleId="Standard">
    <w:name w:val="Standard"/>
    <w:rsid w:val="001574CF"/>
    <w:pPr>
      <w:suppressAutoHyphens/>
      <w:autoSpaceDN w:val="0"/>
      <w:spacing w:after="0" w:line="240" w:lineRule="auto"/>
    </w:pPr>
    <w:rPr>
      <w:rFonts w:ascii="Times New Roman" w:eastAsia="Times New Roman" w:hAnsi="Times New Roman" w:cs="Times New Roman"/>
      <w:kern w:val="3"/>
      <w:sz w:val="24"/>
      <w:szCs w:val="24"/>
      <w:lang w:eastAsia="zh-CN" w:bidi="hi-IN"/>
    </w:rPr>
  </w:style>
  <w:style w:type="paragraph" w:customStyle="1" w:styleId="TableContents">
    <w:name w:val="Table Contents"/>
    <w:basedOn w:val="Standard"/>
    <w:rsid w:val="001574CF"/>
    <w:pPr>
      <w:suppressLineNumbers/>
    </w:pPr>
  </w:style>
  <w:style w:type="paragraph" w:styleId="TableofFigures">
    <w:name w:val="table of figures"/>
    <w:basedOn w:val="Normal"/>
    <w:next w:val="Normal"/>
    <w:uiPriority w:val="99"/>
    <w:semiHidden/>
    <w:unhideWhenUsed/>
    <w:rsid w:val="00AC5E9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5385">
      <w:bodyDiv w:val="1"/>
      <w:marLeft w:val="0"/>
      <w:marRight w:val="0"/>
      <w:marTop w:val="0"/>
      <w:marBottom w:val="0"/>
      <w:divBdr>
        <w:top w:val="none" w:sz="0" w:space="0" w:color="auto"/>
        <w:left w:val="none" w:sz="0" w:space="0" w:color="auto"/>
        <w:bottom w:val="none" w:sz="0" w:space="0" w:color="auto"/>
        <w:right w:val="none" w:sz="0" w:space="0" w:color="auto"/>
      </w:divBdr>
    </w:div>
    <w:div w:id="264390484">
      <w:bodyDiv w:val="1"/>
      <w:marLeft w:val="0"/>
      <w:marRight w:val="0"/>
      <w:marTop w:val="0"/>
      <w:marBottom w:val="0"/>
      <w:divBdr>
        <w:top w:val="none" w:sz="0" w:space="0" w:color="auto"/>
        <w:left w:val="none" w:sz="0" w:space="0" w:color="auto"/>
        <w:bottom w:val="none" w:sz="0" w:space="0" w:color="auto"/>
        <w:right w:val="none" w:sz="0" w:space="0" w:color="auto"/>
      </w:divBdr>
    </w:div>
    <w:div w:id="868953017">
      <w:bodyDiv w:val="1"/>
      <w:marLeft w:val="0"/>
      <w:marRight w:val="0"/>
      <w:marTop w:val="0"/>
      <w:marBottom w:val="0"/>
      <w:divBdr>
        <w:top w:val="none" w:sz="0" w:space="0" w:color="auto"/>
        <w:left w:val="none" w:sz="0" w:space="0" w:color="auto"/>
        <w:bottom w:val="none" w:sz="0" w:space="0" w:color="auto"/>
        <w:right w:val="none" w:sz="0" w:space="0" w:color="auto"/>
      </w:divBdr>
    </w:div>
    <w:div w:id="158540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World_Heritage_Site"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UNESCO" TargetMode="External"/><Relationship Id="rId24" Type="http://schemas.openxmlformats.org/officeDocument/2006/relationships/image" Target="media/image10.jpeg"/><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en.wikipedia.org/wiki/Temperature"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mailto:nuriachiara.palazzi@cigiden.cl" TargetMode="External"/><Relationship Id="rId19" Type="http://schemas.openxmlformats.org/officeDocument/2006/relationships/image" Target="media/image6.jp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centropatrimonio.uc.cl/" TargetMode="External"/><Relationship Id="rId14" Type="http://schemas.openxmlformats.org/officeDocument/2006/relationships/hyperlink" Target="https://www.learnersdictionary.com/qa/the-correct-use-of-as-discussed-in-the-next-section"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hyperlink" Target="https://centropatrimonio.uc.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56FDF-7D1A-45BE-BF15-BD602FD4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34</Pages>
  <Words>30187</Words>
  <Characters>172066</Characters>
  <Application>Microsoft Office Word</Application>
  <DocSecurity>0</DocSecurity>
  <Lines>1433</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jcllera</dc:creator>
  <cp:keywords/>
  <dc:description/>
  <cp:lastModifiedBy>Tiago Ferreira</cp:lastModifiedBy>
  <cp:revision>11</cp:revision>
  <cp:lastPrinted>2022-12-05T21:01:00Z</cp:lastPrinted>
  <dcterms:created xsi:type="dcterms:W3CDTF">2022-12-05T21:21:00Z</dcterms:created>
  <dcterms:modified xsi:type="dcterms:W3CDTF">2023-01-24T13:25:00Z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4c142b79-6561-341f-ab2f-086681a91d53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http://www.zotero.org/styles/natural-hazards</vt:lpwstr>
  </property>
  <property fmtid="{D5CDD505-2E9C-101B-9397-08002B2CF9AE}" pid="18" name="Mendeley Recent Style Name 6_1">
    <vt:lpwstr>Natural Hazards</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http://www.zotero.org/styles/universidade-do-porto-faculdade-de-engenharia-chicago</vt:lpwstr>
  </property>
  <property fmtid="{D5CDD505-2E9C-101B-9397-08002B2CF9AE}" pid="22" name="Mendeley Recent Style Name 8_1">
    <vt:lpwstr>Universidade do Porto - Faculdade de Engenharia - Chicago Manual of Style 17th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