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E6" w:rsidRPr="00B32EDB" w:rsidRDefault="00FE46E6" w:rsidP="00FE46E6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B32EDB">
        <w:rPr>
          <w:rFonts w:ascii="Arial" w:hAnsi="Arial" w:cs="Arial"/>
          <w:b/>
          <w:sz w:val="40"/>
          <w:szCs w:val="40"/>
        </w:rPr>
        <w:t xml:space="preserve">A health map for </w:t>
      </w:r>
      <w:r>
        <w:rPr>
          <w:rFonts w:ascii="Arial" w:hAnsi="Arial" w:cs="Arial"/>
          <w:b/>
          <w:sz w:val="40"/>
          <w:szCs w:val="40"/>
        </w:rPr>
        <w:t xml:space="preserve">the </w:t>
      </w:r>
      <w:r w:rsidR="004979D5">
        <w:rPr>
          <w:rFonts w:ascii="Arial" w:hAnsi="Arial" w:cs="Arial"/>
          <w:b/>
          <w:sz w:val="40"/>
          <w:szCs w:val="40"/>
        </w:rPr>
        <w:t xml:space="preserve">local </w:t>
      </w:r>
      <w:r w:rsidRPr="00B32EDB">
        <w:rPr>
          <w:rFonts w:ascii="Arial" w:hAnsi="Arial" w:cs="Arial"/>
          <w:b/>
          <w:sz w:val="40"/>
          <w:szCs w:val="40"/>
        </w:rPr>
        <w:t xml:space="preserve">human </w:t>
      </w:r>
      <w:r>
        <w:rPr>
          <w:rFonts w:ascii="Arial" w:hAnsi="Arial" w:cs="Arial"/>
          <w:b/>
          <w:sz w:val="40"/>
          <w:szCs w:val="40"/>
        </w:rPr>
        <w:t>habitat</w:t>
      </w:r>
    </w:p>
    <w:p w:rsidR="00FE46E6" w:rsidRPr="00C04222" w:rsidRDefault="00C04222" w:rsidP="0000450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04222">
        <w:rPr>
          <w:rFonts w:ascii="Arial" w:hAnsi="Arial" w:cs="Arial"/>
          <w:b/>
          <w:sz w:val="28"/>
          <w:szCs w:val="28"/>
        </w:rPr>
        <w:t>Hugh Barton and Marcus Grant</w:t>
      </w:r>
    </w:p>
    <w:p w:rsidR="00C04222" w:rsidRDefault="00C04222" w:rsidP="00004506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C04222">
        <w:rPr>
          <w:rFonts w:ascii="Arial" w:hAnsi="Arial" w:cs="Arial"/>
          <w:b/>
          <w:sz w:val="28"/>
          <w:szCs w:val="28"/>
        </w:rPr>
        <w:t>WHO Collaborating Centre for Health Cities and Urban Policy, University of the West of England, Bristol.</w:t>
      </w:r>
    </w:p>
    <w:p w:rsidR="00FE46E6" w:rsidRPr="00401E6D" w:rsidRDefault="00FE46E6" w:rsidP="00004506">
      <w:pPr>
        <w:spacing w:line="360" w:lineRule="auto"/>
        <w:rPr>
          <w:szCs w:val="22"/>
        </w:rPr>
      </w:pPr>
    </w:p>
    <w:p w:rsidR="00401E6D" w:rsidRPr="00401E6D" w:rsidRDefault="00401E6D" w:rsidP="00401E6D">
      <w:pPr>
        <w:spacing w:line="360" w:lineRule="auto"/>
        <w:rPr>
          <w:szCs w:val="22"/>
        </w:rPr>
      </w:pPr>
      <w:r w:rsidRPr="00401E6D">
        <w:rPr>
          <w:szCs w:val="22"/>
        </w:rPr>
        <w:t>Published as: Barton, H. and Grant, M., (2006) A health map for the local human habitat, Journal of the Royal Society for the Promotion of Public Health</w:t>
      </w:r>
      <w:r>
        <w:rPr>
          <w:szCs w:val="22"/>
        </w:rPr>
        <w:t>, 126 (6) pp252-261.</w:t>
      </w:r>
    </w:p>
    <w:p w:rsidR="00401E6D" w:rsidRPr="00401E6D" w:rsidRDefault="00401E6D" w:rsidP="00004506">
      <w:pPr>
        <w:spacing w:line="360" w:lineRule="auto"/>
        <w:rPr>
          <w:szCs w:val="22"/>
        </w:rPr>
      </w:pPr>
    </w:p>
    <w:p w:rsidR="00D040FD" w:rsidRPr="004979D5" w:rsidRDefault="004979D5" w:rsidP="00004506">
      <w:pPr>
        <w:spacing w:line="360" w:lineRule="auto"/>
        <w:rPr>
          <w:b/>
          <w:i/>
        </w:rPr>
      </w:pPr>
      <w:r>
        <w:rPr>
          <w:b/>
          <w:i/>
        </w:rPr>
        <w:t xml:space="preserve">At the 2006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i/>
            </w:rPr>
            <w:t>UK</w:t>
          </w:r>
        </w:smartTag>
      </w:smartTag>
      <w:r>
        <w:rPr>
          <w:b/>
          <w:i/>
        </w:rPr>
        <w:t xml:space="preserve"> Public Health Association Conference, held in </w:t>
      </w:r>
      <w:smartTag w:uri="urn:schemas-microsoft-com:office:smarttags" w:element="place">
        <w:r>
          <w:rPr>
            <w:b/>
            <w:i/>
          </w:rPr>
          <w:t>Telford</w:t>
        </w:r>
      </w:smartTag>
      <w:r>
        <w:rPr>
          <w:b/>
          <w:i/>
        </w:rPr>
        <w:t xml:space="preserve"> in March</w:t>
      </w:r>
      <w:r w:rsidR="00275DEE">
        <w:rPr>
          <w:b/>
          <w:i/>
        </w:rPr>
        <w:t xml:space="preserve">, and the International HIA conference in </w:t>
      </w:r>
      <w:smartTag w:uri="urn:schemas-microsoft-com:office:smarttags" w:element="City">
        <w:smartTag w:uri="urn:schemas-microsoft-com:office:smarttags" w:element="place">
          <w:r w:rsidR="00275DEE">
            <w:rPr>
              <w:b/>
              <w:i/>
            </w:rPr>
            <w:t>Cardiff</w:t>
          </w:r>
        </w:smartTag>
      </w:smartTag>
      <w:r w:rsidR="00275DEE">
        <w:rPr>
          <w:b/>
          <w:i/>
        </w:rPr>
        <w:t xml:space="preserve"> in the same month</w:t>
      </w:r>
      <w:r>
        <w:rPr>
          <w:b/>
          <w:i/>
        </w:rPr>
        <w:t>, there was much interest in a new model of health determinants applied to the planning of human settlements.</w:t>
      </w:r>
      <w:r w:rsidR="00275DEE">
        <w:rPr>
          <w:b/>
          <w:i/>
        </w:rPr>
        <w:t xml:space="preserve"> This ‘health map’</w:t>
      </w:r>
      <w:r w:rsidR="00D47FEE">
        <w:rPr>
          <w:b/>
          <w:i/>
        </w:rPr>
        <w:t xml:space="preserve"> is presented here in its current form for</w:t>
      </w:r>
      <w:r w:rsidR="00275DEE">
        <w:rPr>
          <w:b/>
          <w:i/>
        </w:rPr>
        <w:t xml:space="preserve"> the first time. The authors</w:t>
      </w:r>
      <w:r w:rsidR="00D47FEE">
        <w:rPr>
          <w:b/>
          <w:i/>
        </w:rPr>
        <w:t xml:space="preserve"> explain</w:t>
      </w:r>
      <w:r w:rsidR="00275DEE">
        <w:rPr>
          <w:b/>
          <w:i/>
        </w:rPr>
        <w:t xml:space="preserve"> its purpose.</w:t>
      </w:r>
      <w:r w:rsidR="00D47FEE">
        <w:rPr>
          <w:b/>
          <w:i/>
        </w:rPr>
        <w:t xml:space="preserve"> </w:t>
      </w:r>
    </w:p>
    <w:p w:rsidR="002A2F46" w:rsidRDefault="002A2F46" w:rsidP="00004506">
      <w:pPr>
        <w:spacing w:line="360" w:lineRule="auto"/>
        <w:rPr>
          <w:b/>
        </w:rPr>
      </w:pPr>
    </w:p>
    <w:p w:rsidR="00E86BDF" w:rsidRDefault="00E86BDF" w:rsidP="00004506">
      <w:pPr>
        <w:spacing w:line="360" w:lineRule="auto"/>
        <w:rPr>
          <w:b/>
        </w:rPr>
      </w:pPr>
    </w:p>
    <w:p w:rsidR="00763855" w:rsidRDefault="00D47FEE" w:rsidP="004A67F5">
      <w:pPr>
        <w:spacing w:line="360" w:lineRule="auto"/>
        <w:rPr>
          <w:szCs w:val="22"/>
        </w:rPr>
      </w:pPr>
      <w:r>
        <w:rPr>
          <w:szCs w:val="22"/>
        </w:rPr>
        <w:t>The</w:t>
      </w:r>
      <w:r w:rsidR="00E86BDF" w:rsidRPr="00E86BDF">
        <w:rPr>
          <w:szCs w:val="22"/>
        </w:rPr>
        <w:t xml:space="preserve"> </w:t>
      </w:r>
      <w:r>
        <w:rPr>
          <w:szCs w:val="22"/>
        </w:rPr>
        <w:t>environment</w:t>
      </w:r>
      <w:r w:rsidR="00FA4453" w:rsidRPr="00E86BDF">
        <w:rPr>
          <w:szCs w:val="22"/>
        </w:rPr>
        <w:t xml:space="preserve"> in which we live </w:t>
      </w:r>
      <w:r>
        <w:rPr>
          <w:szCs w:val="22"/>
        </w:rPr>
        <w:t xml:space="preserve">is </w:t>
      </w:r>
      <w:r w:rsidR="00941EF6">
        <w:rPr>
          <w:szCs w:val="22"/>
        </w:rPr>
        <w:t>a</w:t>
      </w:r>
      <w:r w:rsidR="00566C79">
        <w:rPr>
          <w:szCs w:val="22"/>
        </w:rPr>
        <w:t xml:space="preserve"> </w:t>
      </w:r>
      <w:r w:rsidR="00941EF6">
        <w:rPr>
          <w:szCs w:val="22"/>
        </w:rPr>
        <w:t>major determinant</w:t>
      </w:r>
      <w:r w:rsidR="00566C79">
        <w:rPr>
          <w:szCs w:val="22"/>
        </w:rPr>
        <w:t xml:space="preserve"> of health</w:t>
      </w:r>
      <w:r w:rsidR="00941EF6">
        <w:rPr>
          <w:szCs w:val="22"/>
        </w:rPr>
        <w:t xml:space="preserve"> and well-being</w:t>
      </w:r>
      <w:r w:rsidR="00566C79">
        <w:rPr>
          <w:szCs w:val="22"/>
        </w:rPr>
        <w:t>.</w:t>
      </w:r>
      <w:r w:rsidR="00941EF6">
        <w:rPr>
          <w:szCs w:val="22"/>
        </w:rPr>
        <w:t xml:space="preserve"> Modern town planning originated in the nineteenth century in response to basic health problems, but in the intervening years has become largely divorced from</w:t>
      </w:r>
      <w:r w:rsidR="00B62A16">
        <w:rPr>
          <w:szCs w:val="22"/>
        </w:rPr>
        <w:t xml:space="preserve"> health</w:t>
      </w:r>
      <w:r w:rsidR="00941EF6">
        <w:rPr>
          <w:szCs w:val="22"/>
        </w:rPr>
        <w:t>.</w:t>
      </w:r>
      <w:r w:rsidR="00B62A16">
        <w:rPr>
          <w:szCs w:val="22"/>
        </w:rPr>
        <w:t xml:space="preserve"> We have been literally building unhealthy conditions into our local human habitat. Recent concerns about levels of physical activity, obesity, asthma and increasing </w:t>
      </w:r>
      <w:r w:rsidR="00275DEE">
        <w:rPr>
          <w:szCs w:val="22"/>
        </w:rPr>
        <w:t xml:space="preserve">environmental </w:t>
      </w:r>
      <w:r w:rsidR="00B62A16">
        <w:rPr>
          <w:szCs w:val="22"/>
        </w:rPr>
        <w:t>inequality have put planning back on the health agenda. It is widely recognised that</w:t>
      </w:r>
      <w:r w:rsidR="004A67F5">
        <w:rPr>
          <w:szCs w:val="22"/>
        </w:rPr>
        <w:t xml:space="preserve"> public health is being compromised by</w:t>
      </w:r>
      <w:r w:rsidR="00423D96">
        <w:rPr>
          <w:szCs w:val="22"/>
        </w:rPr>
        <w:t xml:space="preserve"> </w:t>
      </w:r>
      <w:r w:rsidR="004A31CC">
        <w:rPr>
          <w:szCs w:val="22"/>
        </w:rPr>
        <w:t>both t</w:t>
      </w:r>
      <w:r w:rsidR="00423D96">
        <w:rPr>
          <w:szCs w:val="22"/>
        </w:rPr>
        <w:t xml:space="preserve">he manner of </w:t>
      </w:r>
      <w:r w:rsidR="004A67F5">
        <w:rPr>
          <w:szCs w:val="22"/>
        </w:rPr>
        <w:t xml:space="preserve">human intervention in the natural world and </w:t>
      </w:r>
      <w:r w:rsidR="00423D96">
        <w:rPr>
          <w:szCs w:val="22"/>
        </w:rPr>
        <w:t xml:space="preserve">the manner of </w:t>
      </w:r>
      <w:r w:rsidR="004A67F5">
        <w:rPr>
          <w:szCs w:val="22"/>
        </w:rPr>
        <w:t>developme</w:t>
      </w:r>
      <w:r w:rsidR="00B14708">
        <w:rPr>
          <w:szCs w:val="22"/>
        </w:rPr>
        <w:t>nt activity in our built environment</w:t>
      </w:r>
      <w:r w:rsidR="00941EF6">
        <w:rPr>
          <w:szCs w:val="22"/>
        </w:rPr>
        <w:t xml:space="preserve"> (Larkin, 2003)</w:t>
      </w:r>
      <w:r w:rsidR="004A67F5">
        <w:rPr>
          <w:szCs w:val="22"/>
        </w:rPr>
        <w:t>.</w:t>
      </w:r>
      <w:r w:rsidR="005F3A24">
        <w:rPr>
          <w:szCs w:val="22"/>
        </w:rPr>
        <w:t xml:space="preserve"> </w:t>
      </w:r>
      <w:r w:rsidR="00B14708">
        <w:rPr>
          <w:szCs w:val="22"/>
        </w:rPr>
        <w:t xml:space="preserve">However, taking action is not necessarily simple. </w:t>
      </w:r>
      <w:r w:rsidR="004A31CC">
        <w:rPr>
          <w:szCs w:val="22"/>
        </w:rPr>
        <w:t>The links bet</w:t>
      </w:r>
      <w:r w:rsidR="00B14708">
        <w:rPr>
          <w:szCs w:val="22"/>
        </w:rPr>
        <w:t>ween health and settlements</w:t>
      </w:r>
      <w:r w:rsidR="00941EF6">
        <w:rPr>
          <w:szCs w:val="22"/>
        </w:rPr>
        <w:t xml:space="preserve"> are often indirect and complex.</w:t>
      </w:r>
      <w:r w:rsidR="004A31CC">
        <w:rPr>
          <w:szCs w:val="22"/>
        </w:rPr>
        <w:t xml:space="preserve"> </w:t>
      </w:r>
      <w:r w:rsidR="005F3A24">
        <w:rPr>
          <w:szCs w:val="22"/>
        </w:rPr>
        <w:t xml:space="preserve">A tool </w:t>
      </w:r>
      <w:r w:rsidR="00B14708">
        <w:rPr>
          <w:szCs w:val="22"/>
        </w:rPr>
        <w:t>to improve understanding and foster collaboration between plan</w:t>
      </w:r>
      <w:r w:rsidR="0066386E">
        <w:rPr>
          <w:szCs w:val="22"/>
        </w:rPr>
        <w:t>ning and health decision-makers</w:t>
      </w:r>
      <w:r w:rsidR="004A31CC">
        <w:rPr>
          <w:szCs w:val="22"/>
        </w:rPr>
        <w:t xml:space="preserve"> is badly needed.</w:t>
      </w:r>
    </w:p>
    <w:p w:rsidR="00763855" w:rsidRDefault="00763855" w:rsidP="004A67F5">
      <w:pPr>
        <w:spacing w:line="360" w:lineRule="auto"/>
        <w:rPr>
          <w:szCs w:val="22"/>
        </w:rPr>
      </w:pPr>
    </w:p>
    <w:p w:rsidR="00763855" w:rsidRDefault="0066386E" w:rsidP="00763855">
      <w:pPr>
        <w:spacing w:line="360" w:lineRule="auto"/>
        <w:rPr>
          <w:szCs w:val="22"/>
        </w:rPr>
      </w:pPr>
      <w:r>
        <w:rPr>
          <w:szCs w:val="22"/>
        </w:rPr>
        <w:t>The good news is that t</w:t>
      </w:r>
      <w:r w:rsidR="00763855">
        <w:rPr>
          <w:szCs w:val="22"/>
        </w:rPr>
        <w:t xml:space="preserve">he </w:t>
      </w:r>
      <w:r w:rsidR="00143574">
        <w:rPr>
          <w:szCs w:val="22"/>
        </w:rPr>
        <w:t xml:space="preserve">impact </w:t>
      </w:r>
      <w:r w:rsidR="00763855">
        <w:rPr>
          <w:szCs w:val="22"/>
        </w:rPr>
        <w:t xml:space="preserve">of the natural and </w:t>
      </w:r>
      <w:r w:rsidR="00423D96">
        <w:rPr>
          <w:szCs w:val="22"/>
        </w:rPr>
        <w:t>built environments on health is</w:t>
      </w:r>
      <w:r w:rsidR="00763855">
        <w:rPr>
          <w:szCs w:val="22"/>
        </w:rPr>
        <w:t xml:space="preserve"> receiving in</w:t>
      </w:r>
      <w:r w:rsidR="00BF427B">
        <w:rPr>
          <w:szCs w:val="22"/>
        </w:rPr>
        <w:t xml:space="preserve">creasing focus from both </w:t>
      </w:r>
      <w:r w:rsidR="00143574">
        <w:rPr>
          <w:szCs w:val="22"/>
        </w:rPr>
        <w:t>public health</w:t>
      </w:r>
      <w:r w:rsidR="00BF427B">
        <w:rPr>
          <w:szCs w:val="22"/>
        </w:rPr>
        <w:t xml:space="preserve"> professionals</w:t>
      </w:r>
      <w:r w:rsidR="00143574">
        <w:rPr>
          <w:szCs w:val="22"/>
        </w:rPr>
        <w:t xml:space="preserve"> and spatial planners</w:t>
      </w:r>
      <w:r w:rsidR="00763855">
        <w:rPr>
          <w:szCs w:val="22"/>
        </w:rPr>
        <w:t xml:space="preserve">. </w:t>
      </w:r>
      <w:r w:rsidR="00BF427B">
        <w:rPr>
          <w:szCs w:val="22"/>
        </w:rPr>
        <w:t>On the one hand, for example,</w:t>
      </w:r>
      <w:r w:rsidR="00763855">
        <w:rPr>
          <w:szCs w:val="22"/>
        </w:rPr>
        <w:t xml:space="preserve"> the UK Public Health Association </w:t>
      </w:r>
      <w:r w:rsidR="001400DF">
        <w:rPr>
          <w:szCs w:val="22"/>
        </w:rPr>
        <w:t xml:space="preserve">(UKPHA) </w:t>
      </w:r>
      <w:r w:rsidR="00763855">
        <w:rPr>
          <w:szCs w:val="22"/>
        </w:rPr>
        <w:t xml:space="preserve">has set up a Strategic Interest Group </w:t>
      </w:r>
      <w:r w:rsidR="001400DF">
        <w:rPr>
          <w:szCs w:val="22"/>
        </w:rPr>
        <w:t xml:space="preserve">(StIG) </w:t>
      </w:r>
      <w:r w:rsidR="00763855">
        <w:rPr>
          <w:szCs w:val="22"/>
        </w:rPr>
        <w:t xml:space="preserve">for natural and built environment. </w:t>
      </w:r>
      <w:r w:rsidR="00143574">
        <w:rPr>
          <w:szCs w:val="22"/>
        </w:rPr>
        <w:t xml:space="preserve">This group devised </w:t>
      </w:r>
      <w:r w:rsidR="001400DF">
        <w:rPr>
          <w:szCs w:val="22"/>
        </w:rPr>
        <w:t>a</w:t>
      </w:r>
      <w:r w:rsidR="00143574">
        <w:rPr>
          <w:szCs w:val="22"/>
        </w:rPr>
        <w:t xml:space="preserve"> </w:t>
      </w:r>
      <w:r w:rsidR="00763855">
        <w:rPr>
          <w:szCs w:val="22"/>
        </w:rPr>
        <w:t xml:space="preserve">well-attended themed strand </w:t>
      </w:r>
      <w:r w:rsidR="001400DF">
        <w:rPr>
          <w:szCs w:val="22"/>
        </w:rPr>
        <w:t xml:space="preserve">of some nine papers and a workshop </w:t>
      </w:r>
      <w:r w:rsidR="00763855">
        <w:rPr>
          <w:szCs w:val="22"/>
        </w:rPr>
        <w:t xml:space="preserve">at the </w:t>
      </w:r>
      <w:r w:rsidR="00143574">
        <w:rPr>
          <w:szCs w:val="22"/>
        </w:rPr>
        <w:t xml:space="preserve">recent </w:t>
      </w:r>
      <w:r w:rsidR="001400DF">
        <w:rPr>
          <w:szCs w:val="22"/>
        </w:rPr>
        <w:t xml:space="preserve">UKHPA Annual </w:t>
      </w:r>
      <w:r w:rsidR="00143574">
        <w:rPr>
          <w:szCs w:val="22"/>
        </w:rPr>
        <w:t>Forum</w:t>
      </w:r>
      <w:r w:rsidR="00BF427B">
        <w:rPr>
          <w:szCs w:val="22"/>
        </w:rPr>
        <w:t xml:space="preserve">. </w:t>
      </w:r>
      <w:r w:rsidR="000C7512">
        <w:rPr>
          <w:szCs w:val="22"/>
        </w:rPr>
        <w:t xml:space="preserve">In the </w:t>
      </w:r>
      <w:r w:rsidR="00625EA9">
        <w:rPr>
          <w:szCs w:val="22"/>
        </w:rPr>
        <w:t>spatial planning</w:t>
      </w:r>
      <w:r w:rsidR="000C7512">
        <w:rPr>
          <w:szCs w:val="22"/>
        </w:rPr>
        <w:t xml:space="preserve"> fraternity indications of interest can be seen in the recent Royal Town Planning Institute conference on Spatial Planning and Health (</w:t>
      </w:r>
      <w:r w:rsidR="00880291">
        <w:rPr>
          <w:szCs w:val="22"/>
        </w:rPr>
        <w:t>16</w:t>
      </w:r>
      <w:r w:rsidR="00880291" w:rsidRPr="00880291">
        <w:rPr>
          <w:szCs w:val="22"/>
        </w:rPr>
        <w:t>th</w:t>
      </w:r>
      <w:r w:rsidR="00880291">
        <w:rPr>
          <w:szCs w:val="22"/>
        </w:rPr>
        <w:t xml:space="preserve"> February, Birmingham</w:t>
      </w:r>
      <w:r w:rsidR="000C7512">
        <w:rPr>
          <w:szCs w:val="22"/>
        </w:rPr>
        <w:t>). To some extent this is being s</w:t>
      </w:r>
      <w:r w:rsidR="00BF427B">
        <w:rPr>
          <w:szCs w:val="22"/>
        </w:rPr>
        <w:t>upported by legislative changes</w:t>
      </w:r>
      <w:r w:rsidR="000C7512">
        <w:rPr>
          <w:szCs w:val="22"/>
        </w:rPr>
        <w:t xml:space="preserve"> such as</w:t>
      </w:r>
      <w:r w:rsidR="00BF427B">
        <w:rPr>
          <w:szCs w:val="22"/>
        </w:rPr>
        <w:t xml:space="preserve"> the introduction of Community Strategies and the</w:t>
      </w:r>
      <w:r w:rsidR="000C7512">
        <w:rPr>
          <w:szCs w:val="22"/>
        </w:rPr>
        <w:t xml:space="preserve"> new planning act (Planning and Compulsory </w:t>
      </w:r>
      <w:r w:rsidR="00B32EDB">
        <w:rPr>
          <w:szCs w:val="22"/>
        </w:rPr>
        <w:t>Purchase</w:t>
      </w:r>
      <w:r w:rsidR="000C7512">
        <w:rPr>
          <w:szCs w:val="22"/>
        </w:rPr>
        <w:t xml:space="preserve"> Act 2004)</w:t>
      </w:r>
      <w:r w:rsidR="00BF427B">
        <w:rPr>
          <w:szCs w:val="22"/>
        </w:rPr>
        <w:t>, which</w:t>
      </w:r>
      <w:r w:rsidR="0002639C">
        <w:rPr>
          <w:szCs w:val="22"/>
        </w:rPr>
        <w:t xml:space="preserve"> </w:t>
      </w:r>
      <w:r w:rsidR="000C7512">
        <w:rPr>
          <w:szCs w:val="22"/>
        </w:rPr>
        <w:t>gives more emphasis on cross-sectoral work</w:t>
      </w:r>
      <w:r w:rsidR="00BF427B">
        <w:rPr>
          <w:szCs w:val="22"/>
        </w:rPr>
        <w:t xml:space="preserve">.  </w:t>
      </w:r>
    </w:p>
    <w:p w:rsidR="00763855" w:rsidRDefault="00763855" w:rsidP="004A67F5">
      <w:pPr>
        <w:spacing w:line="360" w:lineRule="auto"/>
        <w:rPr>
          <w:szCs w:val="22"/>
        </w:rPr>
      </w:pPr>
    </w:p>
    <w:p w:rsidR="00401E6D" w:rsidRDefault="00AC3EBC" w:rsidP="004A67F5">
      <w:pPr>
        <w:spacing w:line="360" w:lineRule="auto"/>
        <w:rPr>
          <w:szCs w:val="22"/>
        </w:rPr>
      </w:pPr>
      <w:r w:rsidRPr="00C56DEC">
        <w:rPr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376.1pt">
            <v:imagedata r:id="rId7" o:title="eco-system%20diag%202006%20inclusive%20master%20eps"/>
          </v:shape>
        </w:pict>
      </w:r>
    </w:p>
    <w:p w:rsidR="00401E6D" w:rsidRDefault="00401E6D" w:rsidP="004A67F5">
      <w:pPr>
        <w:spacing w:line="360" w:lineRule="auto"/>
        <w:rPr>
          <w:szCs w:val="22"/>
        </w:rPr>
      </w:pPr>
    </w:p>
    <w:p w:rsidR="00401E6D" w:rsidRDefault="00401E6D" w:rsidP="004A67F5">
      <w:pPr>
        <w:spacing w:line="360" w:lineRule="auto"/>
        <w:rPr>
          <w:b/>
          <w:szCs w:val="22"/>
        </w:rPr>
      </w:pPr>
      <w:r w:rsidRPr="00401E6D">
        <w:rPr>
          <w:b/>
          <w:szCs w:val="22"/>
        </w:rPr>
        <w:t>Figure 1: The health map</w:t>
      </w:r>
    </w:p>
    <w:p w:rsidR="00401E6D" w:rsidRPr="00401E6D" w:rsidRDefault="00401E6D" w:rsidP="004A67F5">
      <w:pPr>
        <w:spacing w:line="360" w:lineRule="auto"/>
        <w:rPr>
          <w:b/>
          <w:szCs w:val="22"/>
        </w:rPr>
      </w:pPr>
    </w:p>
    <w:p w:rsidR="004A67F5" w:rsidRDefault="00BF427B" w:rsidP="004A67F5">
      <w:pPr>
        <w:spacing w:line="360" w:lineRule="auto"/>
        <w:rPr>
          <w:szCs w:val="22"/>
        </w:rPr>
      </w:pPr>
      <w:r>
        <w:rPr>
          <w:szCs w:val="22"/>
        </w:rPr>
        <w:t xml:space="preserve">The new </w:t>
      </w:r>
      <w:r>
        <w:rPr>
          <w:i/>
          <w:szCs w:val="22"/>
        </w:rPr>
        <w:t xml:space="preserve">health map </w:t>
      </w:r>
      <w:r>
        <w:rPr>
          <w:szCs w:val="22"/>
        </w:rPr>
        <w:t xml:space="preserve">presented </w:t>
      </w:r>
      <w:r w:rsidR="00401E6D">
        <w:rPr>
          <w:szCs w:val="22"/>
        </w:rPr>
        <w:t>in Figure 1</w:t>
      </w:r>
      <w:r>
        <w:rPr>
          <w:szCs w:val="22"/>
        </w:rPr>
        <w:t xml:space="preserve"> </w:t>
      </w:r>
      <w:r w:rsidR="005F4290">
        <w:rPr>
          <w:szCs w:val="22"/>
        </w:rPr>
        <w:t>has obvious and intentional antecedents in the health literature -</w:t>
      </w:r>
      <w:r w:rsidR="004A67F5">
        <w:rPr>
          <w:szCs w:val="22"/>
        </w:rPr>
        <w:t xml:space="preserve"> Whitehead and Dahlgren</w:t>
      </w:r>
      <w:r w:rsidR="005F4290">
        <w:rPr>
          <w:szCs w:val="22"/>
        </w:rPr>
        <w:t xml:space="preserve">’s much-quoted </w:t>
      </w:r>
      <w:r w:rsidR="002C47F2">
        <w:rPr>
          <w:szCs w:val="22"/>
        </w:rPr>
        <w:t>1991 diagram that shows</w:t>
      </w:r>
      <w:r w:rsidR="004A67F5">
        <w:rPr>
          <w:szCs w:val="22"/>
        </w:rPr>
        <w:t xml:space="preserve"> the relationship between health and the physical/social/ economic environment. </w:t>
      </w:r>
      <w:r w:rsidR="005F4290">
        <w:rPr>
          <w:szCs w:val="22"/>
        </w:rPr>
        <w:t xml:space="preserve">The other inspiration came from eco-system theories and the principle </w:t>
      </w:r>
      <w:r w:rsidR="007C5428">
        <w:rPr>
          <w:szCs w:val="22"/>
        </w:rPr>
        <w:t>of sustainable development (see</w:t>
      </w:r>
      <w:r w:rsidR="005F4290">
        <w:rPr>
          <w:szCs w:val="22"/>
        </w:rPr>
        <w:t xml:space="preserve"> Barton et al 1995). </w:t>
      </w:r>
      <w:r w:rsidR="004A67F5">
        <w:rPr>
          <w:szCs w:val="22"/>
        </w:rPr>
        <w:t>Working as spatial planners</w:t>
      </w:r>
      <w:r w:rsidR="005F4290">
        <w:rPr>
          <w:szCs w:val="22"/>
        </w:rPr>
        <w:t xml:space="preserve"> advising the</w:t>
      </w:r>
      <w:r w:rsidR="004A67F5">
        <w:rPr>
          <w:szCs w:val="22"/>
        </w:rPr>
        <w:t xml:space="preserve"> </w:t>
      </w:r>
      <w:r w:rsidR="005F4290">
        <w:rPr>
          <w:szCs w:val="22"/>
        </w:rPr>
        <w:t xml:space="preserve">WHO </w:t>
      </w:r>
      <w:r w:rsidR="004A67F5">
        <w:rPr>
          <w:szCs w:val="22"/>
        </w:rPr>
        <w:t>Healthy Cities</w:t>
      </w:r>
      <w:r w:rsidR="005F4290">
        <w:rPr>
          <w:szCs w:val="22"/>
        </w:rPr>
        <w:t xml:space="preserve"> movement</w:t>
      </w:r>
      <w:r w:rsidR="002C47F2">
        <w:rPr>
          <w:szCs w:val="22"/>
        </w:rPr>
        <w:t>,</w:t>
      </w:r>
      <w:r w:rsidR="004A67F5">
        <w:rPr>
          <w:szCs w:val="22"/>
        </w:rPr>
        <w:t xml:space="preserve"> the authors have tested, developed and re-tested a visual tool for </w:t>
      </w:r>
      <w:r w:rsidR="002C47F2">
        <w:rPr>
          <w:szCs w:val="22"/>
        </w:rPr>
        <w:t>both communicating and analysing the health / settlement relationship</w:t>
      </w:r>
      <w:r w:rsidR="00126935">
        <w:rPr>
          <w:szCs w:val="22"/>
        </w:rPr>
        <w:t xml:space="preserve"> (Barton, Grant and Guise, 2003; Barton, 2005)</w:t>
      </w:r>
      <w:r w:rsidR="00763855">
        <w:rPr>
          <w:szCs w:val="22"/>
        </w:rPr>
        <w:t>.</w:t>
      </w:r>
      <w:r w:rsidR="00126935">
        <w:rPr>
          <w:szCs w:val="22"/>
        </w:rPr>
        <w:t xml:space="preserve"> </w:t>
      </w:r>
      <w:r w:rsidR="002C47F2">
        <w:rPr>
          <w:szCs w:val="22"/>
        </w:rPr>
        <w:t>This version of the</w:t>
      </w:r>
      <w:r w:rsidR="001400DF">
        <w:rPr>
          <w:szCs w:val="22"/>
        </w:rPr>
        <w:t xml:space="preserve"> health map consolidates previous work</w:t>
      </w:r>
      <w:r w:rsidR="002C47F2">
        <w:rPr>
          <w:szCs w:val="22"/>
        </w:rPr>
        <w:t>. It has been refined through comments from members of the UKPHA StIG (including</w:t>
      </w:r>
      <w:r w:rsidR="001400DF">
        <w:rPr>
          <w:szCs w:val="22"/>
        </w:rPr>
        <w:t xml:space="preserve"> the Commission for Architecture in the Built Environment, English Nature, Countryside Council </w:t>
      </w:r>
      <w:r w:rsidR="002C47F2">
        <w:rPr>
          <w:szCs w:val="22"/>
        </w:rPr>
        <w:t xml:space="preserve">for Wales and Groundwork Trust), as well as WHO Healthy Cities and many individuals </w:t>
      </w:r>
      <w:r w:rsidR="001400DF">
        <w:rPr>
          <w:szCs w:val="22"/>
        </w:rPr>
        <w:t>.</w:t>
      </w:r>
      <w:r w:rsidR="002C47F2">
        <w:rPr>
          <w:szCs w:val="22"/>
        </w:rPr>
        <w:t xml:space="preserve"> The</w:t>
      </w:r>
      <w:r w:rsidR="0091386F">
        <w:rPr>
          <w:szCs w:val="22"/>
        </w:rPr>
        <w:t xml:space="preserve"> hea</w:t>
      </w:r>
      <w:r w:rsidR="005E2340">
        <w:rPr>
          <w:szCs w:val="22"/>
        </w:rPr>
        <w:t>lth map</w:t>
      </w:r>
      <w:r w:rsidR="0091386F">
        <w:rPr>
          <w:szCs w:val="22"/>
        </w:rPr>
        <w:t xml:space="preserve"> has been designed as a dynamic tool that provides a basis for dialogue and provokes enquiry. It has been deliberately composed to provide a focus for collaboration across practitioner professions – such as planners, public health, service providers, ecologists, urban designers and across topics transport, air quality, community development, economic development. </w:t>
      </w:r>
    </w:p>
    <w:p w:rsidR="005E2340" w:rsidRDefault="005E2340" w:rsidP="004A67F5">
      <w:pPr>
        <w:spacing w:line="360" w:lineRule="auto"/>
        <w:rPr>
          <w:szCs w:val="22"/>
        </w:rPr>
      </w:pPr>
    </w:p>
    <w:p w:rsidR="007C5428" w:rsidRDefault="005E2340" w:rsidP="004A67F5">
      <w:pPr>
        <w:spacing w:line="360" w:lineRule="auto"/>
        <w:rPr>
          <w:szCs w:val="22"/>
        </w:rPr>
      </w:pPr>
      <w:r>
        <w:rPr>
          <w:szCs w:val="22"/>
        </w:rPr>
        <w:lastRenderedPageBreak/>
        <w:t>People are at the heart of the map, reflecting not only the focus on health, but also the anthropogenic definition of sustainable development (Brundtland</w:t>
      </w:r>
      <w:r w:rsidR="00625CAB">
        <w:rPr>
          <w:szCs w:val="22"/>
        </w:rPr>
        <w:t>,</w:t>
      </w:r>
      <w:r>
        <w:rPr>
          <w:szCs w:val="22"/>
        </w:rPr>
        <w:t xml:space="preserve"> </w:t>
      </w:r>
      <w:r w:rsidR="00625CAB">
        <w:rPr>
          <w:szCs w:val="22"/>
        </w:rPr>
        <w:t>1987</w:t>
      </w:r>
      <w:r>
        <w:rPr>
          <w:szCs w:val="22"/>
        </w:rPr>
        <w:t>). All the different facets of a human settlement are reflected in the series of spheres which move through social, economic and environmental variables. The</w:t>
      </w:r>
      <w:r w:rsidR="007C5428">
        <w:rPr>
          <w:szCs w:val="22"/>
        </w:rPr>
        <w:t xml:space="preserve"> settlement is set within its</w:t>
      </w:r>
      <w:r>
        <w:rPr>
          <w:szCs w:val="22"/>
        </w:rPr>
        <w:t xml:space="preserve"> bioregion and the global ecosystem</w:t>
      </w:r>
      <w:r w:rsidR="007C5428">
        <w:rPr>
          <w:szCs w:val="22"/>
        </w:rPr>
        <w:t xml:space="preserve"> on which it ultimately depends. Broader cultural, economic and political forces which impact on well-being are represented. Thus all the elements of the original Whitehead and Dahlgren diagram of the determinants of health are included, spread out to </w:t>
      </w:r>
      <w:r w:rsidR="007F7979">
        <w:rPr>
          <w:szCs w:val="22"/>
        </w:rPr>
        <w:t>reflect the ecosystem of the local human habitat.</w:t>
      </w:r>
      <w:r w:rsidR="007C5428">
        <w:rPr>
          <w:szCs w:val="22"/>
        </w:rPr>
        <w:t xml:space="preserve"> </w:t>
      </w:r>
    </w:p>
    <w:p w:rsidR="007C5428" w:rsidRDefault="007C5428" w:rsidP="004A67F5">
      <w:pPr>
        <w:spacing w:line="360" w:lineRule="auto"/>
        <w:rPr>
          <w:szCs w:val="22"/>
        </w:rPr>
      </w:pPr>
    </w:p>
    <w:p w:rsidR="00C6783B" w:rsidRDefault="007C5428" w:rsidP="004A67F5">
      <w:pPr>
        <w:spacing w:line="360" w:lineRule="auto"/>
        <w:rPr>
          <w:szCs w:val="22"/>
        </w:rPr>
      </w:pPr>
      <w:r>
        <w:rPr>
          <w:szCs w:val="22"/>
        </w:rPr>
        <w:t xml:space="preserve">The </w:t>
      </w:r>
      <w:r w:rsidR="007F7979">
        <w:rPr>
          <w:szCs w:val="22"/>
        </w:rPr>
        <w:t xml:space="preserve">urban </w:t>
      </w:r>
      <w:r>
        <w:rPr>
          <w:szCs w:val="22"/>
        </w:rPr>
        <w:t>development process, and more particularly the design and p</w:t>
      </w:r>
      <w:r w:rsidR="007F7979">
        <w:rPr>
          <w:szCs w:val="22"/>
        </w:rPr>
        <w:t>lanning of settlements</w:t>
      </w:r>
      <w:r>
        <w:rPr>
          <w:szCs w:val="22"/>
        </w:rPr>
        <w:t xml:space="preserve">, </w:t>
      </w:r>
      <w:r w:rsidR="007F7979">
        <w:rPr>
          <w:szCs w:val="22"/>
        </w:rPr>
        <w:t xml:space="preserve">reside in one sphere – the </w:t>
      </w:r>
      <w:r w:rsidR="007F7979">
        <w:rPr>
          <w:i/>
          <w:szCs w:val="22"/>
        </w:rPr>
        <w:t xml:space="preserve">built environment. </w:t>
      </w:r>
      <w:r w:rsidR="007F7979">
        <w:rPr>
          <w:szCs w:val="22"/>
        </w:rPr>
        <w:t>Thus planners can see their place in determining health. In direct terms</w:t>
      </w:r>
      <w:r w:rsidR="003815B5">
        <w:rPr>
          <w:szCs w:val="22"/>
        </w:rPr>
        <w:t xml:space="preserve">, they can affect </w:t>
      </w:r>
      <w:r w:rsidR="007F7979">
        <w:rPr>
          <w:szCs w:val="22"/>
        </w:rPr>
        <w:t xml:space="preserve"> the quality of</w:t>
      </w:r>
      <w:r w:rsidR="00C6783B">
        <w:rPr>
          <w:szCs w:val="22"/>
        </w:rPr>
        <w:t xml:space="preserve"> that environment</w:t>
      </w:r>
      <w:r w:rsidR="007F7979">
        <w:rPr>
          <w:szCs w:val="22"/>
        </w:rPr>
        <w:t xml:space="preserve">, for example, housing. But the </w:t>
      </w:r>
      <w:r w:rsidR="003815B5">
        <w:rPr>
          <w:szCs w:val="22"/>
        </w:rPr>
        <w:t xml:space="preserve">importance of the </w:t>
      </w:r>
      <w:r w:rsidR="007F7979">
        <w:rPr>
          <w:szCs w:val="22"/>
        </w:rPr>
        <w:t xml:space="preserve">model </w:t>
      </w:r>
      <w:r w:rsidR="003815B5">
        <w:rPr>
          <w:szCs w:val="22"/>
        </w:rPr>
        <w:t xml:space="preserve">is that it </w:t>
      </w:r>
      <w:r w:rsidR="007F7979">
        <w:rPr>
          <w:szCs w:val="22"/>
        </w:rPr>
        <w:t>c</w:t>
      </w:r>
      <w:r w:rsidR="00A860E3">
        <w:rPr>
          <w:szCs w:val="22"/>
        </w:rPr>
        <w:t>an be used to analyse the knock-</w:t>
      </w:r>
      <w:r w:rsidR="007F7979">
        <w:rPr>
          <w:szCs w:val="22"/>
        </w:rPr>
        <w:t>on effects which are often much m</w:t>
      </w:r>
      <w:r w:rsidR="00A860E3">
        <w:rPr>
          <w:szCs w:val="22"/>
        </w:rPr>
        <w:t xml:space="preserve">ore </w:t>
      </w:r>
      <w:r w:rsidR="003815B5">
        <w:rPr>
          <w:szCs w:val="22"/>
        </w:rPr>
        <w:t>significant in terms of health</w:t>
      </w:r>
      <w:r w:rsidR="00A860E3">
        <w:rPr>
          <w:szCs w:val="22"/>
        </w:rPr>
        <w:t>. Take a new road</w:t>
      </w:r>
      <w:r w:rsidR="00552CF1">
        <w:rPr>
          <w:szCs w:val="22"/>
        </w:rPr>
        <w:t xml:space="preserve">, for example, </w:t>
      </w:r>
      <w:r w:rsidR="00A860E3">
        <w:rPr>
          <w:szCs w:val="22"/>
        </w:rPr>
        <w:t xml:space="preserve">: the pattern of human activity – travel behaviour and destinations – is changed. Activity in turn impacts on the </w:t>
      </w:r>
      <w:r w:rsidR="00C6783B">
        <w:rPr>
          <w:szCs w:val="22"/>
        </w:rPr>
        <w:t xml:space="preserve">local </w:t>
      </w:r>
      <w:r w:rsidR="00A860E3">
        <w:rPr>
          <w:szCs w:val="22"/>
        </w:rPr>
        <w:t>natural environment (e.g. air pollution) and the global ecosystem (greenhouse emissions). It also affects local economic efficiency and people’s lifestyle</w:t>
      </w:r>
      <w:r w:rsidR="00C6783B">
        <w:rPr>
          <w:szCs w:val="22"/>
        </w:rPr>
        <w:t xml:space="preserve"> choices</w:t>
      </w:r>
      <w:r w:rsidR="00A860E3">
        <w:rPr>
          <w:szCs w:val="22"/>
        </w:rPr>
        <w:t xml:space="preserve"> (the likelihood of </w:t>
      </w:r>
      <w:r w:rsidR="00C6783B">
        <w:rPr>
          <w:szCs w:val="22"/>
        </w:rPr>
        <w:t>walking or</w:t>
      </w:r>
      <w:r w:rsidR="00A860E3">
        <w:rPr>
          <w:szCs w:val="22"/>
        </w:rPr>
        <w:t xml:space="preserve"> driving). Lifestyle changes may well impact on the pattern of social networks. It is apparent that every sphere representing health determinants – except the </w:t>
      </w:r>
      <w:r w:rsidR="00C6783B">
        <w:rPr>
          <w:szCs w:val="22"/>
        </w:rPr>
        <w:t>inherited characteristics -</w:t>
      </w:r>
      <w:r w:rsidR="00A860E3">
        <w:rPr>
          <w:szCs w:val="22"/>
        </w:rPr>
        <w:t xml:space="preserve"> is </w:t>
      </w:r>
      <w:r w:rsidR="00C6783B">
        <w:rPr>
          <w:szCs w:val="22"/>
        </w:rPr>
        <w:t xml:space="preserve">impacted to a certain </w:t>
      </w:r>
      <w:r w:rsidR="00A860E3">
        <w:rPr>
          <w:szCs w:val="22"/>
        </w:rPr>
        <w:t>extent</w:t>
      </w:r>
      <w:r w:rsidR="00C6783B">
        <w:rPr>
          <w:szCs w:val="22"/>
        </w:rPr>
        <w:t xml:space="preserve">. The model can help distinguish these processes and contribute to sustainability and health impact assessment.  </w:t>
      </w:r>
    </w:p>
    <w:p w:rsidR="00C6783B" w:rsidRDefault="00C6783B" w:rsidP="004A67F5">
      <w:pPr>
        <w:spacing w:line="360" w:lineRule="auto"/>
        <w:rPr>
          <w:szCs w:val="22"/>
        </w:rPr>
      </w:pPr>
    </w:p>
    <w:p w:rsidR="00F24268" w:rsidRDefault="00C6783B" w:rsidP="004A67F5">
      <w:pPr>
        <w:spacing w:line="360" w:lineRule="auto"/>
        <w:rPr>
          <w:szCs w:val="22"/>
        </w:rPr>
      </w:pPr>
      <w:r>
        <w:rPr>
          <w:szCs w:val="22"/>
        </w:rPr>
        <w:t>A full</w:t>
      </w:r>
      <w:r w:rsidR="00F24268">
        <w:rPr>
          <w:szCs w:val="22"/>
        </w:rPr>
        <w:t>er</w:t>
      </w:r>
      <w:r>
        <w:rPr>
          <w:szCs w:val="22"/>
        </w:rPr>
        <w:t xml:space="preserve"> presentation of the health map from the health perspective will appear in a later edition of this Journal. For an explanation from the perspective of planning theory</w:t>
      </w:r>
      <w:r w:rsidR="00552CF1">
        <w:rPr>
          <w:szCs w:val="22"/>
        </w:rPr>
        <w:t xml:space="preserve">, </w:t>
      </w:r>
      <w:r>
        <w:rPr>
          <w:szCs w:val="22"/>
        </w:rPr>
        <w:t xml:space="preserve"> </w:t>
      </w:r>
      <w:r w:rsidR="00552CF1">
        <w:rPr>
          <w:szCs w:val="22"/>
        </w:rPr>
        <w:t>a</w:t>
      </w:r>
      <w:r w:rsidR="00F24268">
        <w:rPr>
          <w:szCs w:val="22"/>
        </w:rPr>
        <w:t xml:space="preserve"> recent</w:t>
      </w:r>
      <w:r>
        <w:rPr>
          <w:szCs w:val="22"/>
        </w:rPr>
        <w:t xml:space="preserve"> paper in </w:t>
      </w:r>
      <w:r>
        <w:rPr>
          <w:i/>
          <w:szCs w:val="22"/>
        </w:rPr>
        <w:t xml:space="preserve">Built Environment 31,4 </w:t>
      </w:r>
      <w:r>
        <w:rPr>
          <w:szCs w:val="22"/>
        </w:rPr>
        <w:t xml:space="preserve"> </w:t>
      </w:r>
      <w:r w:rsidR="00F24268">
        <w:rPr>
          <w:szCs w:val="22"/>
        </w:rPr>
        <w:t>(Barton 2005)</w:t>
      </w:r>
      <w:r w:rsidR="00552CF1">
        <w:rPr>
          <w:szCs w:val="22"/>
        </w:rPr>
        <w:t>,  outlines</w:t>
      </w:r>
      <w:r w:rsidR="00F24268">
        <w:rPr>
          <w:szCs w:val="22"/>
        </w:rPr>
        <w:t xml:space="preserve"> some </w:t>
      </w:r>
      <w:r w:rsidR="00552CF1">
        <w:rPr>
          <w:szCs w:val="22"/>
        </w:rPr>
        <w:t>important developmental steps.</w:t>
      </w:r>
      <w:r w:rsidR="00F24268">
        <w:rPr>
          <w:szCs w:val="22"/>
        </w:rPr>
        <w:t>. Further comments on the diagram and its potential use are welcome.</w:t>
      </w:r>
    </w:p>
    <w:p w:rsidR="00F24268" w:rsidRDefault="00F24268" w:rsidP="004A67F5">
      <w:pPr>
        <w:spacing w:line="360" w:lineRule="auto"/>
        <w:rPr>
          <w:szCs w:val="22"/>
        </w:rPr>
      </w:pPr>
    </w:p>
    <w:p w:rsidR="0091386F" w:rsidRPr="00401E6D" w:rsidRDefault="00401E6D" w:rsidP="004A67F5">
      <w:pPr>
        <w:spacing w:line="360" w:lineRule="auto"/>
        <w:rPr>
          <w:b/>
          <w:szCs w:val="22"/>
        </w:rPr>
      </w:pPr>
      <w:r w:rsidRPr="00401E6D">
        <w:rPr>
          <w:b/>
          <w:szCs w:val="22"/>
        </w:rPr>
        <w:t>References</w:t>
      </w:r>
    </w:p>
    <w:p w:rsidR="00E86BDF" w:rsidRPr="008323EF" w:rsidRDefault="008323EF" w:rsidP="00004506">
      <w:pPr>
        <w:spacing w:line="360" w:lineRule="auto"/>
        <w:rPr>
          <w:szCs w:val="22"/>
        </w:rPr>
      </w:pPr>
      <w:r>
        <w:rPr>
          <w:szCs w:val="22"/>
        </w:rPr>
        <w:t xml:space="preserve">Barton, H. 2005, </w:t>
      </w:r>
      <w:r w:rsidRPr="008323EF">
        <w:rPr>
          <w:szCs w:val="22"/>
        </w:rPr>
        <w:t>A health map for human settlements</w:t>
      </w:r>
      <w:r>
        <w:rPr>
          <w:szCs w:val="22"/>
        </w:rPr>
        <w:t xml:space="preserve">, </w:t>
      </w:r>
      <w:r w:rsidRPr="00A21490">
        <w:rPr>
          <w:i/>
          <w:szCs w:val="22"/>
        </w:rPr>
        <w:t xml:space="preserve">Built </w:t>
      </w:r>
      <w:r w:rsidR="001400DF" w:rsidRPr="00A21490">
        <w:rPr>
          <w:i/>
          <w:szCs w:val="22"/>
        </w:rPr>
        <w:t>Environment</w:t>
      </w:r>
      <w:r>
        <w:rPr>
          <w:szCs w:val="22"/>
        </w:rPr>
        <w:t>, 31, 4, pp339-355</w:t>
      </w:r>
    </w:p>
    <w:p w:rsidR="00E86BDF" w:rsidRPr="00E86BDF" w:rsidRDefault="008323EF" w:rsidP="00004506">
      <w:pPr>
        <w:spacing w:line="360" w:lineRule="auto"/>
        <w:rPr>
          <w:szCs w:val="22"/>
        </w:rPr>
      </w:pPr>
      <w:r>
        <w:rPr>
          <w:szCs w:val="22"/>
        </w:rPr>
        <w:t xml:space="preserve">Larkin, M., 2003, Can cities be designed to fight obesity, </w:t>
      </w:r>
      <w:r w:rsidRPr="00A21490">
        <w:rPr>
          <w:i/>
          <w:szCs w:val="22"/>
        </w:rPr>
        <w:t>The Lancet</w:t>
      </w:r>
      <w:r>
        <w:rPr>
          <w:szCs w:val="22"/>
        </w:rPr>
        <w:t>, 362, pp1046-7</w:t>
      </w:r>
    </w:p>
    <w:p w:rsidR="005B31E9" w:rsidRDefault="005B31E9" w:rsidP="005B31E9">
      <w:pPr>
        <w:spacing w:line="360" w:lineRule="auto"/>
      </w:pPr>
      <w:r>
        <w:t xml:space="preserve">Barton, H., </w:t>
      </w:r>
      <w:r w:rsidR="00A21490">
        <w:t>Grant, M.</w:t>
      </w:r>
      <w:r>
        <w:t xml:space="preserve"> and Guise, R. (2003) </w:t>
      </w:r>
      <w:r>
        <w:rPr>
          <w:i/>
        </w:rPr>
        <w:t>Shaping Neighbourhoods</w:t>
      </w:r>
      <w:r>
        <w:t xml:space="preserve">. Spon,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</w:p>
    <w:p w:rsidR="00BD4AE8" w:rsidRDefault="00BD4AE8" w:rsidP="00BD4AE8">
      <w:pPr>
        <w:spacing w:line="360" w:lineRule="auto"/>
      </w:pPr>
      <w:r>
        <w:t xml:space="preserve">Whitehead, M. and Dahlgren, C. (1991) "What can we do about inequalities in health". </w:t>
      </w:r>
      <w:r>
        <w:rPr>
          <w:i/>
        </w:rPr>
        <w:t>The Lancet</w:t>
      </w:r>
      <w:r w:rsidR="00A21490">
        <w:t>. 338: 1059-1063</w:t>
      </w:r>
    </w:p>
    <w:p w:rsidR="00503AF4" w:rsidRDefault="00F24268" w:rsidP="00BD4AE8">
      <w:pPr>
        <w:spacing w:line="360" w:lineRule="auto"/>
      </w:pPr>
      <w:r>
        <w:t xml:space="preserve">Barton H, Davis G and Guise R (1995) </w:t>
      </w:r>
      <w:r>
        <w:rPr>
          <w:i/>
        </w:rPr>
        <w:t xml:space="preserve">Sustainable Settlements – a guide for planners, designers and developers </w:t>
      </w:r>
      <w:r>
        <w:t xml:space="preserve">LGMB and UWE, </w:t>
      </w:r>
      <w:smartTag w:uri="urn:schemas-microsoft-com:office:smarttags" w:element="City">
        <w:smartTag w:uri="urn:schemas-microsoft-com:office:smarttags" w:element="place">
          <w:r>
            <w:t>Bristol</w:t>
          </w:r>
        </w:smartTag>
      </w:smartTag>
    </w:p>
    <w:p w:rsidR="00503AF4" w:rsidRPr="00F24268" w:rsidRDefault="00503AF4" w:rsidP="00BD4AE8">
      <w:pPr>
        <w:spacing w:line="360" w:lineRule="auto"/>
      </w:pPr>
      <w:r>
        <w:t>Brundtland G  (198</w:t>
      </w:r>
      <w:r w:rsidR="00625CAB">
        <w:t>7</w:t>
      </w:r>
      <w:r>
        <w:t>)</w:t>
      </w:r>
      <w:r w:rsidR="00625CAB">
        <w:t xml:space="preserve"> Our Common Future, World Commission on Environment and development, Oxford University Press, Oxford </w:t>
      </w:r>
    </w:p>
    <w:sectPr w:rsidR="00503AF4" w:rsidRPr="00F24268" w:rsidSect="00902F1F">
      <w:footerReference w:type="default" r:id="rId8"/>
      <w:pgSz w:w="11909" w:h="16834" w:code="9"/>
      <w:pgMar w:top="851" w:right="170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FA" w:rsidRDefault="00C90BFA" w:rsidP="00902F1F">
      <w:r>
        <w:separator/>
      </w:r>
    </w:p>
  </w:endnote>
  <w:endnote w:type="continuationSeparator" w:id="0">
    <w:p w:rsidR="00C90BFA" w:rsidRDefault="00C90BFA" w:rsidP="0090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1F" w:rsidRDefault="00C56DEC">
    <w:pPr>
      <w:pStyle w:val="Footer"/>
      <w:jc w:val="center"/>
    </w:pPr>
    <w:fldSimple w:instr=" PAGE   \* MERGEFORMAT ">
      <w:r w:rsidR="00AC3EBC">
        <w:rPr>
          <w:noProof/>
        </w:rPr>
        <w:t>1</w:t>
      </w:r>
    </w:fldSimple>
  </w:p>
  <w:p w:rsidR="00902F1F" w:rsidRDefault="00902F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FA" w:rsidRDefault="00C90BFA" w:rsidP="00902F1F">
      <w:r>
        <w:separator/>
      </w:r>
    </w:p>
  </w:footnote>
  <w:footnote w:type="continuationSeparator" w:id="0">
    <w:p w:rsidR="00C90BFA" w:rsidRDefault="00C90BFA" w:rsidP="00902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392"/>
    <w:multiLevelType w:val="hybridMultilevel"/>
    <w:tmpl w:val="235836E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D683BEC"/>
    <w:multiLevelType w:val="hybridMultilevel"/>
    <w:tmpl w:val="14DA7158"/>
    <w:lvl w:ilvl="0" w:tplc="08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3FE03400"/>
    <w:multiLevelType w:val="hybridMultilevel"/>
    <w:tmpl w:val="4580B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60A82"/>
    <w:multiLevelType w:val="hybridMultilevel"/>
    <w:tmpl w:val="847865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0E09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93A"/>
    <w:rsid w:val="000013B6"/>
    <w:rsid w:val="00004506"/>
    <w:rsid w:val="000070DB"/>
    <w:rsid w:val="00023BD7"/>
    <w:rsid w:val="00024CD1"/>
    <w:rsid w:val="0002639C"/>
    <w:rsid w:val="00031DC4"/>
    <w:rsid w:val="0003602C"/>
    <w:rsid w:val="00047383"/>
    <w:rsid w:val="00051FCD"/>
    <w:rsid w:val="0007435B"/>
    <w:rsid w:val="0008625C"/>
    <w:rsid w:val="000A00E3"/>
    <w:rsid w:val="000A47EC"/>
    <w:rsid w:val="000B660F"/>
    <w:rsid w:val="000C7512"/>
    <w:rsid w:val="000E4246"/>
    <w:rsid w:val="000F10AE"/>
    <w:rsid w:val="001015DF"/>
    <w:rsid w:val="0011320D"/>
    <w:rsid w:val="00126935"/>
    <w:rsid w:val="0013300F"/>
    <w:rsid w:val="00133C30"/>
    <w:rsid w:val="00137CA1"/>
    <w:rsid w:val="001400DF"/>
    <w:rsid w:val="00143574"/>
    <w:rsid w:val="0014588C"/>
    <w:rsid w:val="001929F4"/>
    <w:rsid w:val="001A54A4"/>
    <w:rsid w:val="001C5AED"/>
    <w:rsid w:val="001D61CA"/>
    <w:rsid w:val="001F6C54"/>
    <w:rsid w:val="00206C98"/>
    <w:rsid w:val="00213732"/>
    <w:rsid w:val="002269C5"/>
    <w:rsid w:val="00227E4F"/>
    <w:rsid w:val="00251297"/>
    <w:rsid w:val="00275DEE"/>
    <w:rsid w:val="002912FB"/>
    <w:rsid w:val="00293E2C"/>
    <w:rsid w:val="002A2F46"/>
    <w:rsid w:val="002B21FB"/>
    <w:rsid w:val="002B60EB"/>
    <w:rsid w:val="002C47F2"/>
    <w:rsid w:val="002C620F"/>
    <w:rsid w:val="002E3D72"/>
    <w:rsid w:val="002F4DCC"/>
    <w:rsid w:val="002F5F81"/>
    <w:rsid w:val="00317575"/>
    <w:rsid w:val="003208A5"/>
    <w:rsid w:val="00331267"/>
    <w:rsid w:val="003333E4"/>
    <w:rsid w:val="00340C54"/>
    <w:rsid w:val="0034396B"/>
    <w:rsid w:val="003724F1"/>
    <w:rsid w:val="003815B5"/>
    <w:rsid w:val="00387DFC"/>
    <w:rsid w:val="003A1CAF"/>
    <w:rsid w:val="003B301C"/>
    <w:rsid w:val="003C1C92"/>
    <w:rsid w:val="003C2EC6"/>
    <w:rsid w:val="003F1FE2"/>
    <w:rsid w:val="003F6316"/>
    <w:rsid w:val="00401E6D"/>
    <w:rsid w:val="0040615E"/>
    <w:rsid w:val="004106D9"/>
    <w:rsid w:val="00423D96"/>
    <w:rsid w:val="0042651A"/>
    <w:rsid w:val="004979D5"/>
    <w:rsid w:val="004A31CC"/>
    <w:rsid w:val="004A67F5"/>
    <w:rsid w:val="004C5382"/>
    <w:rsid w:val="004E18A6"/>
    <w:rsid w:val="004E7846"/>
    <w:rsid w:val="004E7E5D"/>
    <w:rsid w:val="00503AF4"/>
    <w:rsid w:val="00513FA8"/>
    <w:rsid w:val="00517CBF"/>
    <w:rsid w:val="00552CF1"/>
    <w:rsid w:val="00566C79"/>
    <w:rsid w:val="00566CB6"/>
    <w:rsid w:val="005A7F5C"/>
    <w:rsid w:val="005B2237"/>
    <w:rsid w:val="005B31E9"/>
    <w:rsid w:val="005C30C0"/>
    <w:rsid w:val="005C5045"/>
    <w:rsid w:val="005C7B20"/>
    <w:rsid w:val="005D1C2D"/>
    <w:rsid w:val="005E2340"/>
    <w:rsid w:val="005E34F4"/>
    <w:rsid w:val="005F3A24"/>
    <w:rsid w:val="005F4290"/>
    <w:rsid w:val="00617395"/>
    <w:rsid w:val="006222C9"/>
    <w:rsid w:val="00625CAB"/>
    <w:rsid w:val="00625EA9"/>
    <w:rsid w:val="0063460A"/>
    <w:rsid w:val="006466FD"/>
    <w:rsid w:val="00647938"/>
    <w:rsid w:val="00660EE7"/>
    <w:rsid w:val="0066386E"/>
    <w:rsid w:val="006A5A96"/>
    <w:rsid w:val="006B2EEF"/>
    <w:rsid w:val="006B34FE"/>
    <w:rsid w:val="006B78EE"/>
    <w:rsid w:val="006C6106"/>
    <w:rsid w:val="006C7056"/>
    <w:rsid w:val="006D6162"/>
    <w:rsid w:val="006F0612"/>
    <w:rsid w:val="006F4185"/>
    <w:rsid w:val="007022B1"/>
    <w:rsid w:val="007040FD"/>
    <w:rsid w:val="007333B4"/>
    <w:rsid w:val="00734668"/>
    <w:rsid w:val="00760D0E"/>
    <w:rsid w:val="00763855"/>
    <w:rsid w:val="007958F1"/>
    <w:rsid w:val="00796248"/>
    <w:rsid w:val="007975C4"/>
    <w:rsid w:val="007A56E0"/>
    <w:rsid w:val="007C0989"/>
    <w:rsid w:val="007C5428"/>
    <w:rsid w:val="007C5B42"/>
    <w:rsid w:val="007D3EEF"/>
    <w:rsid w:val="007D5F25"/>
    <w:rsid w:val="007D6005"/>
    <w:rsid w:val="007E1338"/>
    <w:rsid w:val="007E2E76"/>
    <w:rsid w:val="007F7979"/>
    <w:rsid w:val="007F7ED8"/>
    <w:rsid w:val="00804353"/>
    <w:rsid w:val="00810992"/>
    <w:rsid w:val="00811D28"/>
    <w:rsid w:val="008314BE"/>
    <w:rsid w:val="008323EF"/>
    <w:rsid w:val="00832CB7"/>
    <w:rsid w:val="00837469"/>
    <w:rsid w:val="00846DDB"/>
    <w:rsid w:val="0084757D"/>
    <w:rsid w:val="00856C36"/>
    <w:rsid w:val="0086616C"/>
    <w:rsid w:val="00880291"/>
    <w:rsid w:val="0089302A"/>
    <w:rsid w:val="008931FF"/>
    <w:rsid w:val="008A033E"/>
    <w:rsid w:val="008B34A4"/>
    <w:rsid w:val="008B61ED"/>
    <w:rsid w:val="008E44B1"/>
    <w:rsid w:val="00902F1F"/>
    <w:rsid w:val="00911F64"/>
    <w:rsid w:val="0091386F"/>
    <w:rsid w:val="00923A50"/>
    <w:rsid w:val="00941EF6"/>
    <w:rsid w:val="00955C4C"/>
    <w:rsid w:val="0098570D"/>
    <w:rsid w:val="009A1A2B"/>
    <w:rsid w:val="009C67BE"/>
    <w:rsid w:val="009D3BB0"/>
    <w:rsid w:val="009E06E3"/>
    <w:rsid w:val="00A21490"/>
    <w:rsid w:val="00A30799"/>
    <w:rsid w:val="00A33967"/>
    <w:rsid w:val="00A406CA"/>
    <w:rsid w:val="00A47ABF"/>
    <w:rsid w:val="00A5157E"/>
    <w:rsid w:val="00A653EF"/>
    <w:rsid w:val="00A77893"/>
    <w:rsid w:val="00A860E3"/>
    <w:rsid w:val="00AB0BF9"/>
    <w:rsid w:val="00AB689D"/>
    <w:rsid w:val="00AC3EBC"/>
    <w:rsid w:val="00AC608C"/>
    <w:rsid w:val="00AF470F"/>
    <w:rsid w:val="00AF76DC"/>
    <w:rsid w:val="00B03643"/>
    <w:rsid w:val="00B14708"/>
    <w:rsid w:val="00B32EDB"/>
    <w:rsid w:val="00B362B0"/>
    <w:rsid w:val="00B40C04"/>
    <w:rsid w:val="00B4550F"/>
    <w:rsid w:val="00B54BB3"/>
    <w:rsid w:val="00B62A16"/>
    <w:rsid w:val="00B6446A"/>
    <w:rsid w:val="00B8693A"/>
    <w:rsid w:val="00B93D2F"/>
    <w:rsid w:val="00BA0FAF"/>
    <w:rsid w:val="00BC272B"/>
    <w:rsid w:val="00BD4AE8"/>
    <w:rsid w:val="00BD600E"/>
    <w:rsid w:val="00BF427B"/>
    <w:rsid w:val="00C0386A"/>
    <w:rsid w:val="00C04222"/>
    <w:rsid w:val="00C24AA7"/>
    <w:rsid w:val="00C25050"/>
    <w:rsid w:val="00C3127F"/>
    <w:rsid w:val="00C47286"/>
    <w:rsid w:val="00C5140E"/>
    <w:rsid w:val="00C56DEC"/>
    <w:rsid w:val="00C65DAF"/>
    <w:rsid w:val="00C6783B"/>
    <w:rsid w:val="00C708FA"/>
    <w:rsid w:val="00C8098F"/>
    <w:rsid w:val="00C82408"/>
    <w:rsid w:val="00C84F09"/>
    <w:rsid w:val="00C90BFA"/>
    <w:rsid w:val="00CA1172"/>
    <w:rsid w:val="00CA4E6E"/>
    <w:rsid w:val="00CA78E7"/>
    <w:rsid w:val="00CE306A"/>
    <w:rsid w:val="00D0325A"/>
    <w:rsid w:val="00D040FD"/>
    <w:rsid w:val="00D10136"/>
    <w:rsid w:val="00D3180C"/>
    <w:rsid w:val="00D47FEE"/>
    <w:rsid w:val="00D53233"/>
    <w:rsid w:val="00D55C0D"/>
    <w:rsid w:val="00D56CFD"/>
    <w:rsid w:val="00DB0059"/>
    <w:rsid w:val="00DB4440"/>
    <w:rsid w:val="00DB4467"/>
    <w:rsid w:val="00DD258D"/>
    <w:rsid w:val="00DE6A35"/>
    <w:rsid w:val="00E17ACA"/>
    <w:rsid w:val="00E267B6"/>
    <w:rsid w:val="00E269ED"/>
    <w:rsid w:val="00E33DF3"/>
    <w:rsid w:val="00E77005"/>
    <w:rsid w:val="00E807B9"/>
    <w:rsid w:val="00E86BDF"/>
    <w:rsid w:val="00E87698"/>
    <w:rsid w:val="00EB64EB"/>
    <w:rsid w:val="00EE63D2"/>
    <w:rsid w:val="00EF41D2"/>
    <w:rsid w:val="00F11BE3"/>
    <w:rsid w:val="00F24268"/>
    <w:rsid w:val="00F27EE3"/>
    <w:rsid w:val="00F36CF3"/>
    <w:rsid w:val="00F570FC"/>
    <w:rsid w:val="00F85746"/>
    <w:rsid w:val="00FA1978"/>
    <w:rsid w:val="00FA4453"/>
    <w:rsid w:val="00FA7DA0"/>
    <w:rsid w:val="00FB54B1"/>
    <w:rsid w:val="00FC04A3"/>
    <w:rsid w:val="00FC4EA2"/>
    <w:rsid w:val="00FE2C33"/>
    <w:rsid w:val="00FE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3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C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979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1E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2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F1F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2F1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TOWARDS A THEORY OF SUSTAINABLE SETTLEMENTS:  INTEGRATING HEALTH </vt:lpstr>
    </vt:vector>
  </TitlesOfParts>
  <Company>UWE, Bristol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TOWARDS A THEORY OF SUSTAINABLE SETTLEMENTS:  INTEGRATING HEALTH </dc:title>
  <dc:subject/>
  <dc:creator>G-Weadon</dc:creator>
  <cp:keywords/>
  <dc:description/>
  <cp:lastModifiedBy>Anna Lawson</cp:lastModifiedBy>
  <cp:revision>2</cp:revision>
  <cp:lastPrinted>2010-05-27T08:32:00Z</cp:lastPrinted>
  <dcterms:created xsi:type="dcterms:W3CDTF">2010-05-27T08:32:00Z</dcterms:created>
  <dcterms:modified xsi:type="dcterms:W3CDTF">2010-05-27T08:32:00Z</dcterms:modified>
</cp:coreProperties>
</file>