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3C2D2" w14:textId="77777777" w:rsidR="001023AD" w:rsidRPr="000D06D0" w:rsidRDefault="001023AD" w:rsidP="00A947ED">
      <w:pPr>
        <w:rPr>
          <w:rFonts w:asciiTheme="minorHAnsi" w:hAnsiTheme="minorHAnsi" w:cstheme="minorHAnsi"/>
          <w:b/>
          <w:bCs/>
          <w:color w:val="000000" w:themeColor="text1"/>
          <w:lang w:val="en-GB"/>
        </w:rPr>
      </w:pPr>
    </w:p>
    <w:p w14:paraId="38C6A414" w14:textId="37915EDE" w:rsidR="008004BA" w:rsidRDefault="008004BA" w:rsidP="00A947ED">
      <w:pPr>
        <w:jc w:val="center"/>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 xml:space="preserve">Chapter </w:t>
      </w:r>
      <w:r w:rsidR="00474A53" w:rsidRPr="000D06D0">
        <w:rPr>
          <w:rFonts w:asciiTheme="minorHAnsi" w:hAnsiTheme="minorHAnsi" w:cstheme="minorHAnsi"/>
          <w:b/>
          <w:bCs/>
          <w:color w:val="000000" w:themeColor="text1"/>
          <w:lang w:val="en-GB"/>
        </w:rPr>
        <w:t>13</w:t>
      </w:r>
    </w:p>
    <w:p w14:paraId="5C4371B8" w14:textId="5EF14F0D" w:rsidR="00777D7A" w:rsidRPr="00474A53" w:rsidRDefault="00474A53" w:rsidP="00A947ED">
      <w:pPr>
        <w:jc w:val="center"/>
        <w:rPr>
          <w:rFonts w:asciiTheme="minorHAnsi" w:hAnsiTheme="minorHAnsi" w:cstheme="minorHAnsi"/>
          <w:b/>
          <w:bCs/>
          <w:color w:val="000000" w:themeColor="text1"/>
          <w:lang w:val="en-GB"/>
        </w:rPr>
      </w:pPr>
      <w:r w:rsidRPr="000D06D0">
        <w:rPr>
          <w:rFonts w:asciiTheme="minorHAnsi" w:hAnsiTheme="minorHAnsi" w:cstheme="minorHAnsi"/>
          <w:b/>
          <w:bCs/>
          <w:color w:val="000000" w:themeColor="text1"/>
          <w:lang w:val="en-GB"/>
        </w:rPr>
        <w:t>Terrorism and Organised Crime</w:t>
      </w:r>
    </w:p>
    <w:p w14:paraId="226E82AD" w14:textId="629222C6" w:rsidR="006B77B7" w:rsidRPr="000D06D0" w:rsidRDefault="0008418C" w:rsidP="00A947ED">
      <w:pPr>
        <w:jc w:val="center"/>
        <w:rPr>
          <w:rFonts w:asciiTheme="minorHAnsi" w:hAnsiTheme="minorHAnsi" w:cstheme="minorHAnsi"/>
          <w:b/>
          <w:bCs/>
          <w:i/>
          <w:iCs/>
          <w:color w:val="000000" w:themeColor="text1"/>
          <w:lang w:val="en-GB"/>
        </w:rPr>
      </w:pPr>
      <w:r w:rsidRPr="000D06D0">
        <w:rPr>
          <w:rFonts w:asciiTheme="minorHAnsi" w:hAnsiTheme="minorHAnsi" w:cstheme="minorHAnsi"/>
          <w:b/>
          <w:bCs/>
          <w:i/>
          <w:iCs/>
          <w:color w:val="000000" w:themeColor="text1"/>
          <w:lang w:val="en-GB"/>
        </w:rPr>
        <w:t xml:space="preserve">Rosa </w:t>
      </w:r>
      <w:proofErr w:type="spellStart"/>
      <w:r w:rsidRPr="000D06D0">
        <w:rPr>
          <w:rFonts w:asciiTheme="minorHAnsi" w:hAnsiTheme="minorHAnsi" w:cstheme="minorHAnsi"/>
          <w:b/>
          <w:bCs/>
          <w:i/>
          <w:iCs/>
          <w:color w:val="000000" w:themeColor="text1"/>
          <w:lang w:val="en-GB"/>
        </w:rPr>
        <w:t>Maryon</w:t>
      </w:r>
      <w:proofErr w:type="spellEnd"/>
      <w:r w:rsidRPr="000D06D0">
        <w:rPr>
          <w:rFonts w:asciiTheme="minorHAnsi" w:hAnsiTheme="minorHAnsi" w:cstheme="minorHAnsi"/>
          <w:b/>
          <w:bCs/>
          <w:i/>
          <w:iCs/>
          <w:color w:val="000000" w:themeColor="text1"/>
          <w:lang w:val="en-GB"/>
        </w:rPr>
        <w:t xml:space="preserve"> and Simone </w:t>
      </w:r>
      <w:proofErr w:type="spellStart"/>
      <w:r w:rsidRPr="000D06D0">
        <w:rPr>
          <w:rFonts w:asciiTheme="minorHAnsi" w:hAnsiTheme="minorHAnsi" w:cstheme="minorHAnsi"/>
          <w:b/>
          <w:bCs/>
          <w:i/>
          <w:iCs/>
          <w:color w:val="000000" w:themeColor="text1"/>
          <w:lang w:val="en-GB"/>
        </w:rPr>
        <w:t>Tholens</w:t>
      </w:r>
      <w:proofErr w:type="spellEnd"/>
    </w:p>
    <w:p w14:paraId="0497F0BB" w14:textId="29C2D2DB" w:rsidR="0008418C" w:rsidRDefault="0008418C" w:rsidP="00A947ED">
      <w:pPr>
        <w:jc w:val="center"/>
        <w:rPr>
          <w:rFonts w:asciiTheme="minorHAnsi" w:hAnsiTheme="minorHAnsi" w:cstheme="minorHAnsi"/>
          <w:b/>
          <w:bCs/>
          <w:color w:val="000000" w:themeColor="text1"/>
          <w:lang w:val="en-GB"/>
        </w:rPr>
      </w:pPr>
    </w:p>
    <w:p w14:paraId="321FF014" w14:textId="77777777" w:rsidR="00A947ED" w:rsidRPr="000D06D0" w:rsidRDefault="00A947ED" w:rsidP="00A947ED">
      <w:pPr>
        <w:jc w:val="center"/>
        <w:rPr>
          <w:rFonts w:asciiTheme="minorHAnsi" w:hAnsiTheme="minorHAnsi" w:cstheme="minorHAnsi"/>
          <w:b/>
          <w:bCs/>
          <w:color w:val="000000" w:themeColor="text1"/>
          <w:lang w:val="en-GB"/>
        </w:rPr>
      </w:pPr>
    </w:p>
    <w:p w14:paraId="5C68EC59" w14:textId="77777777" w:rsidR="0008418C" w:rsidRPr="000D06D0" w:rsidRDefault="0008418C" w:rsidP="00A947ED">
      <w:pPr>
        <w:pStyle w:val="Heading1"/>
        <w:rPr>
          <w:szCs w:val="24"/>
          <w:lang w:val="en-GB"/>
        </w:rPr>
      </w:pPr>
      <w:r w:rsidRPr="000D06D0">
        <w:rPr>
          <w:szCs w:val="24"/>
          <w:lang w:val="en-GB"/>
        </w:rPr>
        <w:t xml:space="preserve">Introduction </w:t>
      </w:r>
    </w:p>
    <w:p w14:paraId="404003D9" w14:textId="77777777" w:rsidR="0008418C" w:rsidRPr="000D06D0" w:rsidRDefault="0008418C" w:rsidP="00A947ED">
      <w:pPr>
        <w:rPr>
          <w:rFonts w:asciiTheme="minorHAnsi" w:hAnsiTheme="minorHAnsi" w:cstheme="minorHAnsi"/>
          <w:b/>
          <w:bCs/>
          <w:color w:val="000000" w:themeColor="text1"/>
          <w:lang w:val="en-GB"/>
        </w:rPr>
      </w:pPr>
    </w:p>
    <w:p w14:paraId="15BA598E" w14:textId="227FF17B" w:rsidR="005B085C" w:rsidRDefault="00CF74C0" w:rsidP="00A947ED">
      <w:pPr>
        <w:rPr>
          <w:rFonts w:asciiTheme="minorHAnsi" w:hAnsiTheme="minorHAnsi" w:cstheme="minorHAnsi"/>
          <w:lang w:val="en-GB"/>
        </w:rPr>
      </w:pPr>
      <w:r w:rsidRPr="00AA460B">
        <w:rPr>
          <w:rFonts w:asciiTheme="minorHAnsi" w:hAnsiTheme="minorHAnsi" w:cstheme="minorHAnsi"/>
          <w:color w:val="000000" w:themeColor="text1"/>
          <w:lang w:val="en-GB"/>
        </w:rPr>
        <w:t>Terrorism and organised crime (OC)</w:t>
      </w:r>
      <w:r w:rsidR="000435AA" w:rsidRPr="00AA460B">
        <w:rPr>
          <w:rFonts w:asciiTheme="minorHAnsi" w:hAnsiTheme="minorHAnsi" w:cstheme="minorHAnsi"/>
          <w:color w:val="000000" w:themeColor="text1"/>
          <w:lang w:val="en-GB"/>
        </w:rPr>
        <w:t xml:space="preserve"> </w:t>
      </w:r>
      <w:r w:rsidRPr="00AA460B">
        <w:rPr>
          <w:rFonts w:asciiTheme="minorHAnsi" w:hAnsiTheme="minorHAnsi" w:cstheme="minorHAnsi"/>
          <w:color w:val="000000" w:themeColor="text1"/>
          <w:lang w:val="en-GB"/>
        </w:rPr>
        <w:t>are transnational</w:t>
      </w:r>
      <w:r w:rsidR="00562AEC" w:rsidRPr="00AA460B">
        <w:rPr>
          <w:rFonts w:asciiTheme="minorHAnsi" w:hAnsiTheme="minorHAnsi" w:cstheme="minorHAnsi"/>
          <w:color w:val="000000" w:themeColor="text1"/>
          <w:lang w:val="en-GB"/>
        </w:rPr>
        <w:t xml:space="preserve"> </w:t>
      </w:r>
      <w:r w:rsidR="0099331D">
        <w:rPr>
          <w:rFonts w:asciiTheme="minorHAnsi" w:hAnsiTheme="minorHAnsi" w:cstheme="minorHAnsi"/>
          <w:color w:val="000000" w:themeColor="text1"/>
          <w:lang w:val="en-GB"/>
        </w:rPr>
        <w:t xml:space="preserve">and </w:t>
      </w:r>
      <w:r w:rsidR="00562AEC" w:rsidRPr="00AA460B">
        <w:rPr>
          <w:rFonts w:asciiTheme="minorHAnsi" w:hAnsiTheme="minorHAnsi" w:cstheme="minorHAnsi"/>
          <w:color w:val="000000" w:themeColor="text1"/>
          <w:lang w:val="en-GB"/>
        </w:rPr>
        <w:t>o</w:t>
      </w:r>
      <w:r w:rsidR="006F2B6A" w:rsidRPr="00AA460B">
        <w:rPr>
          <w:rFonts w:asciiTheme="minorHAnsi" w:hAnsiTheme="minorHAnsi" w:cstheme="minorHAnsi"/>
          <w:color w:val="000000" w:themeColor="text1"/>
          <w:lang w:val="en-GB"/>
        </w:rPr>
        <w:t>paque</w:t>
      </w:r>
      <w:r w:rsidRPr="00AA460B">
        <w:rPr>
          <w:rFonts w:asciiTheme="minorHAnsi" w:hAnsiTheme="minorHAnsi" w:cstheme="minorHAnsi"/>
          <w:color w:val="000000" w:themeColor="text1"/>
          <w:lang w:val="en-GB"/>
        </w:rPr>
        <w:t xml:space="preserve"> phenomena</w:t>
      </w:r>
      <w:r w:rsidR="003B129A" w:rsidRPr="00AA460B">
        <w:rPr>
          <w:rFonts w:asciiTheme="minorHAnsi" w:hAnsiTheme="minorHAnsi" w:cstheme="minorHAnsi"/>
          <w:color w:val="000000" w:themeColor="text1"/>
          <w:lang w:val="en-GB"/>
        </w:rPr>
        <w:t xml:space="preserve"> </w:t>
      </w:r>
      <w:r w:rsidR="00C67880" w:rsidRPr="00AA460B">
        <w:rPr>
          <w:rFonts w:asciiTheme="minorHAnsi" w:hAnsiTheme="minorHAnsi" w:cstheme="minorHAnsi"/>
          <w:color w:val="000000" w:themeColor="text1"/>
          <w:lang w:val="en-GB"/>
        </w:rPr>
        <w:t xml:space="preserve">operating </w:t>
      </w:r>
      <w:r w:rsidR="003B129A" w:rsidRPr="00AA460B">
        <w:rPr>
          <w:rFonts w:asciiTheme="minorHAnsi" w:hAnsiTheme="minorHAnsi" w:cstheme="minorHAnsi"/>
          <w:color w:val="000000" w:themeColor="text1"/>
          <w:lang w:val="en-GB"/>
        </w:rPr>
        <w:t xml:space="preserve">in the shadows of </w:t>
      </w:r>
      <w:r w:rsidR="00F945BC">
        <w:rPr>
          <w:rFonts w:asciiTheme="minorHAnsi" w:hAnsiTheme="minorHAnsi" w:cstheme="minorHAnsi"/>
          <w:color w:val="000000" w:themeColor="text1"/>
          <w:lang w:val="en-GB"/>
        </w:rPr>
        <w:t xml:space="preserve">a deeply </w:t>
      </w:r>
      <w:r w:rsidR="00C8157B">
        <w:rPr>
          <w:rFonts w:asciiTheme="minorHAnsi" w:hAnsiTheme="minorHAnsi" w:cstheme="minorHAnsi"/>
          <w:color w:val="000000" w:themeColor="text1"/>
          <w:lang w:val="en-GB"/>
        </w:rPr>
        <w:t>interconnected</w:t>
      </w:r>
      <w:r w:rsidR="003B129A" w:rsidRPr="00AA460B">
        <w:rPr>
          <w:rFonts w:asciiTheme="minorHAnsi" w:hAnsiTheme="minorHAnsi" w:cstheme="minorHAnsi"/>
          <w:color w:val="000000" w:themeColor="text1"/>
          <w:lang w:val="en-GB"/>
        </w:rPr>
        <w:t xml:space="preserve"> Europe</w:t>
      </w:r>
      <w:r w:rsidR="006F2B6A" w:rsidRPr="00AA460B">
        <w:rPr>
          <w:rFonts w:asciiTheme="minorHAnsi" w:hAnsiTheme="minorHAnsi" w:cstheme="minorHAnsi"/>
          <w:color w:val="000000" w:themeColor="text1"/>
          <w:lang w:val="en-GB"/>
        </w:rPr>
        <w:t xml:space="preserve">. </w:t>
      </w:r>
      <w:r w:rsidR="005B085C" w:rsidRPr="00AA460B">
        <w:rPr>
          <w:rFonts w:asciiTheme="minorHAnsi" w:hAnsiTheme="minorHAnsi" w:cstheme="minorHAnsi"/>
          <w:lang w:val="en-GB"/>
        </w:rPr>
        <w:t xml:space="preserve">European </w:t>
      </w:r>
      <w:proofErr w:type="gramStart"/>
      <w:r w:rsidR="005B085C" w:rsidRPr="00AA460B">
        <w:rPr>
          <w:rFonts w:asciiTheme="minorHAnsi" w:hAnsiTheme="minorHAnsi" w:cstheme="minorHAnsi"/>
          <w:lang w:val="en-GB"/>
        </w:rPr>
        <w:t>counter-terrorism</w:t>
      </w:r>
      <w:proofErr w:type="gramEnd"/>
      <w:r w:rsidR="005B085C" w:rsidRPr="00AA460B">
        <w:rPr>
          <w:rFonts w:asciiTheme="minorHAnsi" w:hAnsiTheme="minorHAnsi" w:cstheme="minorHAnsi"/>
          <w:lang w:val="en-GB"/>
        </w:rPr>
        <w:t xml:space="preserve"> and counter-organised crime strategies form part of</w:t>
      </w:r>
      <w:r w:rsidR="00F715E1">
        <w:rPr>
          <w:rFonts w:asciiTheme="minorHAnsi" w:hAnsiTheme="minorHAnsi" w:cstheme="minorHAnsi"/>
          <w:lang w:val="en-GB"/>
        </w:rPr>
        <w:t xml:space="preserve"> distinct sets of security practices. But they are also </w:t>
      </w:r>
      <w:r w:rsidR="005B085C" w:rsidRPr="00AA460B">
        <w:rPr>
          <w:rFonts w:asciiTheme="minorHAnsi" w:hAnsiTheme="minorHAnsi" w:cstheme="minorHAnsi"/>
          <w:lang w:val="en-GB"/>
        </w:rPr>
        <w:t>related and intersecting</w:t>
      </w:r>
      <w:r w:rsidR="003839E6">
        <w:rPr>
          <w:rFonts w:asciiTheme="minorHAnsi" w:hAnsiTheme="minorHAnsi" w:cstheme="minorHAnsi"/>
          <w:lang w:val="en-GB"/>
        </w:rPr>
        <w:t>.</w:t>
      </w:r>
      <w:r w:rsidR="005B085C" w:rsidRPr="00AA460B">
        <w:rPr>
          <w:rFonts w:asciiTheme="minorHAnsi" w:hAnsiTheme="minorHAnsi" w:cstheme="minorHAnsi"/>
          <w:lang w:val="en-GB"/>
        </w:rPr>
        <w:t xml:space="preserve"> </w:t>
      </w:r>
      <w:r w:rsidR="004D48D8">
        <w:rPr>
          <w:rFonts w:asciiTheme="minorHAnsi" w:hAnsiTheme="minorHAnsi" w:cstheme="minorHAnsi"/>
          <w:lang w:val="en-GB"/>
        </w:rPr>
        <w:t>E</w:t>
      </w:r>
      <w:r w:rsidR="005B085C" w:rsidRPr="00AA460B">
        <w:rPr>
          <w:rFonts w:asciiTheme="minorHAnsi" w:hAnsiTheme="minorHAnsi" w:cstheme="minorHAnsi"/>
          <w:lang w:val="en-GB"/>
        </w:rPr>
        <w:t xml:space="preserve">ven if the coexistence of terrorism and organised crime </w:t>
      </w:r>
      <w:r w:rsidR="004D48D8">
        <w:rPr>
          <w:rFonts w:asciiTheme="minorHAnsi" w:hAnsiTheme="minorHAnsi" w:cstheme="minorHAnsi"/>
          <w:lang w:val="en-GB"/>
        </w:rPr>
        <w:t xml:space="preserve">are observed to </w:t>
      </w:r>
      <w:r w:rsidR="005B085C" w:rsidRPr="00AA460B">
        <w:rPr>
          <w:rFonts w:asciiTheme="minorHAnsi" w:hAnsiTheme="minorHAnsi" w:cstheme="minorHAnsi"/>
          <w:lang w:val="en-GB"/>
        </w:rPr>
        <w:t>occu</w:t>
      </w:r>
      <w:r w:rsidR="004D48D8">
        <w:rPr>
          <w:rFonts w:asciiTheme="minorHAnsi" w:hAnsiTheme="minorHAnsi" w:cstheme="minorHAnsi"/>
          <w:lang w:val="en-GB"/>
        </w:rPr>
        <w:t>r</w:t>
      </w:r>
      <w:r w:rsidR="00274B5C">
        <w:rPr>
          <w:rFonts w:asciiTheme="minorHAnsi" w:hAnsiTheme="minorHAnsi" w:cstheme="minorHAnsi"/>
          <w:lang w:val="en-GB"/>
        </w:rPr>
        <w:t xml:space="preserve"> only</w:t>
      </w:r>
      <w:r w:rsidR="00752423">
        <w:rPr>
          <w:rFonts w:asciiTheme="minorHAnsi" w:hAnsiTheme="minorHAnsi" w:cstheme="minorHAnsi"/>
          <w:lang w:val="en-GB"/>
        </w:rPr>
        <w:t xml:space="preserve"> “in some marginalised places”</w:t>
      </w:r>
      <w:r w:rsidR="005B085C" w:rsidRPr="00AA460B">
        <w:rPr>
          <w:rFonts w:asciiTheme="minorHAnsi" w:hAnsiTheme="minorHAnsi" w:cstheme="minorHAnsi"/>
          <w:lang w:val="en-GB"/>
        </w:rPr>
        <w:t xml:space="preserve"> (Europol</w:t>
      </w:r>
      <w:r w:rsidR="00A06AB6">
        <w:rPr>
          <w:rFonts w:asciiTheme="minorHAnsi" w:hAnsiTheme="minorHAnsi" w:cstheme="minorHAnsi"/>
          <w:lang w:val="en-GB"/>
        </w:rPr>
        <w:t xml:space="preserve"> </w:t>
      </w:r>
      <w:r w:rsidR="005B085C" w:rsidRPr="00AA460B">
        <w:rPr>
          <w:rFonts w:asciiTheme="minorHAnsi" w:hAnsiTheme="minorHAnsi" w:cstheme="minorHAnsi"/>
          <w:lang w:val="en-GB"/>
        </w:rPr>
        <w:t>2020</w:t>
      </w:r>
      <w:r w:rsidR="00A06AB6">
        <w:rPr>
          <w:rFonts w:asciiTheme="minorHAnsi" w:hAnsiTheme="minorHAnsi" w:cstheme="minorHAnsi"/>
          <w:lang w:val="en-GB"/>
        </w:rPr>
        <w:t xml:space="preserve">: </w:t>
      </w:r>
      <w:r w:rsidR="005B085C" w:rsidRPr="00AA460B">
        <w:rPr>
          <w:rFonts w:asciiTheme="minorHAnsi" w:hAnsiTheme="minorHAnsi" w:cstheme="minorHAnsi"/>
          <w:lang w:val="en-GB"/>
        </w:rPr>
        <w:t>21)</w:t>
      </w:r>
      <w:r w:rsidR="004D48D8">
        <w:rPr>
          <w:rFonts w:asciiTheme="minorHAnsi" w:hAnsiTheme="minorHAnsi" w:cstheme="minorHAnsi"/>
          <w:lang w:val="en-GB"/>
        </w:rPr>
        <w:t xml:space="preserve">, </w:t>
      </w:r>
      <w:r w:rsidR="005B085C" w:rsidRPr="00AA460B">
        <w:rPr>
          <w:rFonts w:asciiTheme="minorHAnsi" w:hAnsiTheme="minorHAnsi" w:cstheme="minorHAnsi"/>
          <w:lang w:val="en-GB"/>
        </w:rPr>
        <w:t>the two types of threats are often seen in tandem</w:t>
      </w:r>
      <w:r w:rsidR="00F715E1">
        <w:rPr>
          <w:rFonts w:asciiTheme="minorHAnsi" w:hAnsiTheme="minorHAnsi" w:cstheme="minorHAnsi"/>
          <w:lang w:val="en-GB"/>
        </w:rPr>
        <w:t>.</w:t>
      </w:r>
      <w:r w:rsidR="005B085C" w:rsidRPr="00AA460B">
        <w:rPr>
          <w:rFonts w:asciiTheme="minorHAnsi" w:hAnsiTheme="minorHAnsi" w:cstheme="minorHAnsi"/>
          <w:lang w:val="en-GB"/>
        </w:rPr>
        <w:t xml:space="preserve"> European responses to these threats operate in the same policy space where competences often overlap</w:t>
      </w:r>
      <w:r w:rsidR="00E65C32">
        <w:rPr>
          <w:rFonts w:asciiTheme="minorHAnsi" w:hAnsiTheme="minorHAnsi" w:cstheme="minorHAnsi"/>
          <w:lang w:val="en-GB"/>
        </w:rPr>
        <w:t>. This</w:t>
      </w:r>
      <w:r w:rsidR="005B085C" w:rsidRPr="00AA460B">
        <w:rPr>
          <w:rFonts w:asciiTheme="minorHAnsi" w:hAnsiTheme="minorHAnsi" w:cstheme="minorHAnsi"/>
          <w:lang w:val="en-GB"/>
        </w:rPr>
        <w:t xml:space="preserve"> mak</w:t>
      </w:r>
      <w:r w:rsidR="00A947ED">
        <w:rPr>
          <w:rFonts w:asciiTheme="minorHAnsi" w:hAnsiTheme="minorHAnsi" w:cstheme="minorHAnsi"/>
          <w:lang w:val="en-GB"/>
        </w:rPr>
        <w:t>es</w:t>
      </w:r>
      <w:r w:rsidR="005B085C" w:rsidRPr="00AA460B">
        <w:rPr>
          <w:rFonts w:asciiTheme="minorHAnsi" w:hAnsiTheme="minorHAnsi" w:cstheme="minorHAnsi"/>
          <w:lang w:val="en-GB"/>
        </w:rPr>
        <w:t xml:space="preserve"> it difficult to evaluate one without taking into account the other – or </w:t>
      </w:r>
      <w:r w:rsidR="005B085C" w:rsidRPr="005E42FB">
        <w:rPr>
          <w:rFonts w:asciiTheme="minorHAnsi" w:hAnsiTheme="minorHAnsi" w:cstheme="minorHAnsi"/>
          <w:i/>
          <w:lang w:val="en-GB"/>
        </w:rPr>
        <w:t>others</w:t>
      </w:r>
      <w:r w:rsidR="00A947ED">
        <w:rPr>
          <w:rFonts w:asciiTheme="minorHAnsi" w:hAnsiTheme="minorHAnsi" w:cstheme="minorHAnsi"/>
          <w:i/>
          <w:lang w:val="en-GB"/>
        </w:rPr>
        <w:t xml:space="preserve"> -</w:t>
      </w:r>
      <w:r w:rsidR="005B085C" w:rsidRPr="00AA460B">
        <w:rPr>
          <w:rFonts w:asciiTheme="minorHAnsi" w:hAnsiTheme="minorHAnsi" w:cstheme="minorHAnsi"/>
          <w:lang w:val="en-GB"/>
        </w:rPr>
        <w:t xml:space="preserve"> </w:t>
      </w:r>
      <w:r w:rsidR="000227D3" w:rsidRPr="00AA460B">
        <w:rPr>
          <w:rFonts w:asciiTheme="minorHAnsi" w:hAnsiTheme="minorHAnsi" w:cstheme="minorHAnsi"/>
          <w:lang w:val="en-GB"/>
        </w:rPr>
        <w:softHyphen/>
        <w:t xml:space="preserve"> </w:t>
      </w:r>
      <w:r w:rsidR="005B085C" w:rsidRPr="00AA460B">
        <w:rPr>
          <w:rFonts w:asciiTheme="minorHAnsi" w:hAnsiTheme="minorHAnsi" w:cstheme="minorHAnsi"/>
          <w:lang w:val="en-GB"/>
        </w:rPr>
        <w:t>as general</w:t>
      </w:r>
      <w:r w:rsidR="00A947ED">
        <w:rPr>
          <w:rFonts w:asciiTheme="minorHAnsi" w:hAnsiTheme="minorHAnsi" w:cstheme="minorHAnsi"/>
          <w:lang w:val="en-GB"/>
        </w:rPr>
        <w:t>ly,</w:t>
      </w:r>
      <w:r w:rsidR="005B085C" w:rsidRPr="00AA460B">
        <w:rPr>
          <w:rFonts w:asciiTheme="minorHAnsi" w:hAnsiTheme="minorHAnsi" w:cstheme="minorHAnsi"/>
          <w:lang w:val="en-GB"/>
        </w:rPr>
        <w:t xml:space="preserve"> ‘disaster management’ </w:t>
      </w:r>
      <w:r w:rsidR="00F715E1">
        <w:rPr>
          <w:rFonts w:asciiTheme="minorHAnsi" w:hAnsiTheme="minorHAnsi" w:cstheme="minorHAnsi"/>
          <w:lang w:val="en-GB"/>
        </w:rPr>
        <w:t>can be</w:t>
      </w:r>
      <w:r w:rsidR="005B085C" w:rsidRPr="00AA460B">
        <w:rPr>
          <w:rFonts w:asciiTheme="minorHAnsi" w:hAnsiTheme="minorHAnsi" w:cstheme="minorHAnsi"/>
          <w:lang w:val="en-GB"/>
        </w:rPr>
        <w:t xml:space="preserve"> conflated in several policies and mechanisms (cf. </w:t>
      </w:r>
      <w:proofErr w:type="spellStart"/>
      <w:r w:rsidR="005B085C" w:rsidRPr="00AA460B">
        <w:rPr>
          <w:rFonts w:asciiTheme="minorHAnsi" w:hAnsiTheme="minorHAnsi" w:cstheme="minorHAnsi"/>
          <w:lang w:val="en-GB"/>
        </w:rPr>
        <w:t>Rhinhardt</w:t>
      </w:r>
      <w:proofErr w:type="spellEnd"/>
      <w:r w:rsidR="005B085C" w:rsidRPr="00AA460B">
        <w:rPr>
          <w:rFonts w:asciiTheme="minorHAnsi" w:hAnsiTheme="minorHAnsi" w:cstheme="minorHAnsi"/>
          <w:lang w:val="en-GB"/>
        </w:rPr>
        <w:t xml:space="preserve">, </w:t>
      </w:r>
      <w:proofErr w:type="spellStart"/>
      <w:r w:rsidR="005B085C" w:rsidRPr="00AA460B">
        <w:rPr>
          <w:rFonts w:asciiTheme="minorHAnsi" w:hAnsiTheme="minorHAnsi" w:cstheme="minorHAnsi"/>
          <w:lang w:val="en-GB"/>
        </w:rPr>
        <w:t>Boin</w:t>
      </w:r>
      <w:proofErr w:type="spellEnd"/>
      <w:r w:rsidR="005B085C" w:rsidRPr="00AA460B">
        <w:rPr>
          <w:rFonts w:asciiTheme="minorHAnsi" w:hAnsiTheme="minorHAnsi" w:cstheme="minorHAnsi"/>
          <w:lang w:val="en-GB"/>
        </w:rPr>
        <w:t xml:space="preserve"> and </w:t>
      </w:r>
      <w:proofErr w:type="spellStart"/>
      <w:r w:rsidR="005B085C" w:rsidRPr="00AA460B">
        <w:rPr>
          <w:rFonts w:asciiTheme="minorHAnsi" w:hAnsiTheme="minorHAnsi" w:cstheme="minorHAnsi"/>
          <w:lang w:val="en-GB"/>
        </w:rPr>
        <w:t>Ekengren</w:t>
      </w:r>
      <w:proofErr w:type="spellEnd"/>
      <w:r w:rsidR="00A06AB6">
        <w:rPr>
          <w:rFonts w:asciiTheme="minorHAnsi" w:hAnsiTheme="minorHAnsi" w:cstheme="minorHAnsi"/>
          <w:lang w:val="en-GB"/>
        </w:rPr>
        <w:t xml:space="preserve"> </w:t>
      </w:r>
      <w:r w:rsidR="005B085C" w:rsidRPr="00AA460B">
        <w:rPr>
          <w:rFonts w:asciiTheme="minorHAnsi" w:hAnsiTheme="minorHAnsi" w:cstheme="minorHAnsi"/>
          <w:lang w:val="en-GB"/>
        </w:rPr>
        <w:t xml:space="preserve">2007; cf. also </w:t>
      </w:r>
      <w:proofErr w:type="spellStart"/>
      <w:r w:rsidR="005B085C" w:rsidRPr="00AA460B">
        <w:rPr>
          <w:rFonts w:asciiTheme="minorHAnsi" w:hAnsiTheme="minorHAnsi" w:cstheme="minorHAnsi"/>
          <w:lang w:val="en-GB"/>
        </w:rPr>
        <w:t>Argomaniz</w:t>
      </w:r>
      <w:proofErr w:type="spellEnd"/>
      <w:r w:rsidR="005B085C" w:rsidRPr="00AA460B">
        <w:rPr>
          <w:rFonts w:asciiTheme="minorHAnsi" w:hAnsiTheme="minorHAnsi" w:cstheme="minorHAnsi"/>
          <w:lang w:val="en-GB"/>
        </w:rPr>
        <w:t xml:space="preserve">, Bures and </w:t>
      </w:r>
      <w:proofErr w:type="spellStart"/>
      <w:r w:rsidR="005B085C" w:rsidRPr="00AA460B">
        <w:rPr>
          <w:rFonts w:asciiTheme="minorHAnsi" w:hAnsiTheme="minorHAnsi" w:cstheme="minorHAnsi"/>
          <w:lang w:val="en-GB"/>
        </w:rPr>
        <w:t>Kaunert</w:t>
      </w:r>
      <w:proofErr w:type="spellEnd"/>
      <w:r w:rsidR="00A06AB6">
        <w:rPr>
          <w:rFonts w:asciiTheme="minorHAnsi" w:hAnsiTheme="minorHAnsi" w:cstheme="minorHAnsi"/>
          <w:lang w:val="en-GB"/>
        </w:rPr>
        <w:t xml:space="preserve"> </w:t>
      </w:r>
      <w:r w:rsidR="005B085C" w:rsidRPr="00AA460B">
        <w:rPr>
          <w:rFonts w:asciiTheme="minorHAnsi" w:hAnsiTheme="minorHAnsi" w:cstheme="minorHAnsi"/>
          <w:lang w:val="en-GB"/>
        </w:rPr>
        <w:t xml:space="preserve">2015).  </w:t>
      </w:r>
      <w:r w:rsidR="00132234" w:rsidRPr="00AA460B">
        <w:rPr>
          <w:rFonts w:asciiTheme="minorHAnsi" w:hAnsiTheme="minorHAnsi" w:cstheme="minorHAnsi"/>
          <w:lang w:val="en-GB"/>
        </w:rPr>
        <w:t xml:space="preserve">In this chapter we will treat </w:t>
      </w:r>
      <w:r w:rsidR="00132234">
        <w:rPr>
          <w:rFonts w:asciiTheme="minorHAnsi" w:hAnsiTheme="minorHAnsi" w:cstheme="minorHAnsi"/>
          <w:lang w:val="en-GB"/>
        </w:rPr>
        <w:t>terrorism and organised crime</w:t>
      </w:r>
      <w:r w:rsidR="00132234" w:rsidRPr="00AA460B">
        <w:rPr>
          <w:rFonts w:asciiTheme="minorHAnsi" w:hAnsiTheme="minorHAnsi" w:cstheme="minorHAnsi"/>
          <w:lang w:val="en-GB"/>
        </w:rPr>
        <w:t xml:space="preserve"> as manifesting similar security policy patterns</w:t>
      </w:r>
      <w:r w:rsidR="00F715E1">
        <w:rPr>
          <w:rFonts w:asciiTheme="minorHAnsi" w:hAnsiTheme="minorHAnsi" w:cstheme="minorHAnsi"/>
          <w:lang w:val="en-GB"/>
        </w:rPr>
        <w:t>.</w:t>
      </w:r>
      <w:r w:rsidR="00132234" w:rsidRPr="00AA460B">
        <w:rPr>
          <w:rFonts w:asciiTheme="minorHAnsi" w:hAnsiTheme="minorHAnsi" w:cstheme="minorHAnsi"/>
          <w:lang w:val="en-GB"/>
        </w:rPr>
        <w:t xml:space="preserve"> </w:t>
      </w:r>
    </w:p>
    <w:p w14:paraId="215FB3CF" w14:textId="77777777" w:rsidR="00E65C32" w:rsidRPr="00132234" w:rsidRDefault="00E65C32" w:rsidP="00A947ED">
      <w:pPr>
        <w:rPr>
          <w:rFonts w:asciiTheme="minorHAnsi" w:hAnsiTheme="minorHAnsi" w:cstheme="minorHAnsi"/>
          <w:color w:val="000000" w:themeColor="text1"/>
          <w:lang w:val="en-GB"/>
        </w:rPr>
      </w:pPr>
    </w:p>
    <w:p w14:paraId="6B454B57" w14:textId="33645CC4" w:rsidR="00F715E1" w:rsidRDefault="00FD338E" w:rsidP="00A947ED">
      <w:pPr>
        <w:rPr>
          <w:rFonts w:asciiTheme="minorHAnsi" w:hAnsiTheme="minorHAnsi" w:cstheme="minorHAnsi"/>
          <w:lang w:val="en-GB"/>
        </w:rPr>
      </w:pPr>
      <w:r w:rsidRPr="00AA460B">
        <w:rPr>
          <w:rFonts w:asciiTheme="minorHAnsi" w:hAnsiTheme="minorHAnsi" w:cstheme="minorHAnsi"/>
          <w:lang w:val="en-GB"/>
        </w:rPr>
        <w:t>EU cooperation in dealing with terrorism and OC has grown significantly since the turn of the century, but preferences for national and bilateral strategies remain</w:t>
      </w:r>
      <w:r w:rsidR="00A947ED">
        <w:rPr>
          <w:rFonts w:asciiTheme="minorHAnsi" w:hAnsiTheme="minorHAnsi" w:cstheme="minorHAnsi"/>
          <w:lang w:val="en-GB"/>
        </w:rPr>
        <w:t xml:space="preserve"> salient</w:t>
      </w:r>
      <w:r w:rsidRPr="00AA460B">
        <w:rPr>
          <w:rFonts w:asciiTheme="minorHAnsi" w:hAnsiTheme="minorHAnsi" w:cstheme="minorHAnsi"/>
          <w:lang w:val="en-GB"/>
        </w:rPr>
        <w:t>.</w:t>
      </w:r>
      <w:r w:rsidR="004D48D8">
        <w:rPr>
          <w:rFonts w:asciiTheme="minorHAnsi" w:hAnsiTheme="minorHAnsi" w:cstheme="minorHAnsi"/>
          <w:lang w:val="en-GB"/>
        </w:rPr>
        <w:t xml:space="preserve"> </w:t>
      </w:r>
      <w:r w:rsidR="005B085C" w:rsidRPr="00AA460B">
        <w:rPr>
          <w:rFonts w:asciiTheme="minorHAnsi" w:hAnsiTheme="minorHAnsi" w:cstheme="minorHAnsi"/>
          <w:lang w:val="en-GB"/>
        </w:rPr>
        <w:t xml:space="preserve">European </w:t>
      </w:r>
      <w:r w:rsidR="00752423">
        <w:rPr>
          <w:rFonts w:asciiTheme="minorHAnsi" w:hAnsiTheme="minorHAnsi" w:cstheme="minorHAnsi"/>
          <w:lang w:val="en-GB"/>
        </w:rPr>
        <w:t>states</w:t>
      </w:r>
      <w:r w:rsidR="005B085C" w:rsidRPr="00AA460B">
        <w:rPr>
          <w:rFonts w:asciiTheme="minorHAnsi" w:hAnsiTheme="minorHAnsi" w:cstheme="minorHAnsi"/>
          <w:lang w:val="en-GB"/>
        </w:rPr>
        <w:t xml:space="preserve"> and regions differ in the security threats they face as well as </w:t>
      </w:r>
      <w:r w:rsidR="00A947ED">
        <w:rPr>
          <w:rFonts w:asciiTheme="minorHAnsi" w:hAnsiTheme="minorHAnsi" w:cstheme="minorHAnsi"/>
          <w:lang w:val="en-GB"/>
        </w:rPr>
        <w:t xml:space="preserve">in </w:t>
      </w:r>
      <w:r w:rsidR="005B085C" w:rsidRPr="00AA460B">
        <w:rPr>
          <w:rFonts w:asciiTheme="minorHAnsi" w:hAnsiTheme="minorHAnsi" w:cstheme="minorHAnsi"/>
          <w:lang w:val="en-GB"/>
        </w:rPr>
        <w:t xml:space="preserve">their political will for European cooperation in the realm of security. National security agencies across the continent have different cultures, ways of operating and standards to which they hold themselves. </w:t>
      </w:r>
      <w:r w:rsidR="00FA5D53">
        <w:rPr>
          <w:rFonts w:asciiTheme="minorHAnsi" w:hAnsiTheme="minorHAnsi" w:cstheme="minorHAnsi"/>
          <w:lang w:val="en-GB"/>
        </w:rPr>
        <w:t xml:space="preserve">Yet European-level integration in the area of security is decisively </w:t>
      </w:r>
      <w:proofErr w:type="gramStart"/>
      <w:r w:rsidR="00FA5D53">
        <w:rPr>
          <w:rFonts w:asciiTheme="minorHAnsi" w:hAnsiTheme="minorHAnsi" w:cstheme="minorHAnsi"/>
          <w:lang w:val="en-GB"/>
        </w:rPr>
        <w:t>expanding</w:t>
      </w:r>
      <w:r w:rsidR="00F945BC">
        <w:rPr>
          <w:rFonts w:asciiTheme="minorHAnsi" w:hAnsiTheme="minorHAnsi" w:cstheme="minorHAnsi"/>
          <w:lang w:val="en-GB"/>
        </w:rPr>
        <w:t>, and</w:t>
      </w:r>
      <w:proofErr w:type="gramEnd"/>
      <w:r w:rsidR="00F945BC">
        <w:rPr>
          <w:rFonts w:asciiTheme="minorHAnsi" w:hAnsiTheme="minorHAnsi" w:cstheme="minorHAnsi"/>
          <w:lang w:val="en-GB"/>
        </w:rPr>
        <w:t xml:space="preserve"> is a key development in the last decade</w:t>
      </w:r>
      <w:r w:rsidR="00FA5D53">
        <w:rPr>
          <w:rFonts w:asciiTheme="minorHAnsi" w:hAnsiTheme="minorHAnsi" w:cstheme="minorHAnsi"/>
          <w:lang w:val="en-GB"/>
        </w:rPr>
        <w:t xml:space="preserve">. </w:t>
      </w:r>
    </w:p>
    <w:p w14:paraId="255F7A29" w14:textId="77777777" w:rsidR="00F715E1" w:rsidRDefault="00F715E1" w:rsidP="00A947ED">
      <w:pPr>
        <w:rPr>
          <w:rFonts w:asciiTheme="minorHAnsi" w:hAnsiTheme="minorHAnsi" w:cstheme="minorHAnsi"/>
          <w:lang w:val="en-GB"/>
        </w:rPr>
      </w:pPr>
    </w:p>
    <w:p w14:paraId="03275D3C" w14:textId="746426BE" w:rsidR="00A947ED" w:rsidRDefault="00FA5D53" w:rsidP="00A947ED">
      <w:pPr>
        <w:rPr>
          <w:rFonts w:asciiTheme="minorHAnsi" w:hAnsiTheme="minorHAnsi" w:cstheme="minorHAnsi"/>
          <w:lang w:val="en-GB"/>
        </w:rPr>
      </w:pPr>
      <w:r w:rsidRPr="00AA460B">
        <w:rPr>
          <w:rFonts w:asciiTheme="minorHAnsi" w:hAnsiTheme="minorHAnsi" w:cstheme="minorHAnsi"/>
          <w:lang w:val="en-GB"/>
        </w:rPr>
        <w:t xml:space="preserve">In the 2003 European Security Strategy, terrorism and organised crime were listed as two of the main threats facing European peace and security. </w:t>
      </w:r>
      <w:r w:rsidR="00F715E1">
        <w:rPr>
          <w:rFonts w:asciiTheme="minorHAnsi" w:hAnsiTheme="minorHAnsi" w:cstheme="minorHAnsi"/>
          <w:lang w:val="en-GB"/>
        </w:rPr>
        <w:t>The Strategy</w:t>
      </w:r>
      <w:r w:rsidRPr="00AA460B">
        <w:rPr>
          <w:rFonts w:asciiTheme="minorHAnsi" w:hAnsiTheme="minorHAnsi" w:cstheme="minorHAnsi"/>
          <w:lang w:val="en-GB"/>
        </w:rPr>
        <w:t xml:space="preserve"> identified the serious risk from the combined threats of “</w:t>
      </w:r>
      <w:r w:rsidRPr="00AA460B">
        <w:rPr>
          <w:rFonts w:asciiTheme="minorHAnsi" w:hAnsiTheme="minorHAnsi" w:cstheme="minorHAnsi"/>
          <w:lang w:val="en-US"/>
        </w:rPr>
        <w:t xml:space="preserve">terrorism committed to maximum violence, the availability of weapons of mass destruction, </w:t>
      </w:r>
      <w:proofErr w:type="spellStart"/>
      <w:r w:rsidRPr="00AA460B">
        <w:rPr>
          <w:rFonts w:asciiTheme="minorHAnsi" w:hAnsiTheme="minorHAnsi" w:cstheme="minorHAnsi"/>
          <w:lang w:val="en-US"/>
        </w:rPr>
        <w:t>organised</w:t>
      </w:r>
      <w:proofErr w:type="spellEnd"/>
      <w:r w:rsidRPr="00AA460B">
        <w:rPr>
          <w:rFonts w:asciiTheme="minorHAnsi" w:hAnsiTheme="minorHAnsi" w:cstheme="minorHAnsi"/>
          <w:lang w:val="en-US"/>
        </w:rPr>
        <w:t xml:space="preserve"> crime, the weakening of the state system and the </w:t>
      </w:r>
      <w:proofErr w:type="spellStart"/>
      <w:r w:rsidRPr="00AA460B">
        <w:rPr>
          <w:rFonts w:asciiTheme="minorHAnsi" w:hAnsiTheme="minorHAnsi" w:cstheme="minorHAnsi"/>
          <w:lang w:val="en-US"/>
        </w:rPr>
        <w:t>privatisation</w:t>
      </w:r>
      <w:proofErr w:type="spellEnd"/>
      <w:r w:rsidRPr="00AA460B">
        <w:rPr>
          <w:rFonts w:asciiTheme="minorHAnsi" w:hAnsiTheme="minorHAnsi" w:cstheme="minorHAnsi"/>
          <w:lang w:val="en-US"/>
        </w:rPr>
        <w:t xml:space="preserve"> of force” (European Council 2003</w:t>
      </w:r>
      <w:r w:rsidR="00A06AB6">
        <w:rPr>
          <w:rFonts w:asciiTheme="minorHAnsi" w:hAnsiTheme="minorHAnsi" w:cstheme="minorHAnsi"/>
          <w:lang w:val="en-US"/>
        </w:rPr>
        <w:t>:</w:t>
      </w:r>
      <w:r w:rsidR="00243C79">
        <w:rPr>
          <w:rFonts w:asciiTheme="minorHAnsi" w:hAnsiTheme="minorHAnsi" w:cstheme="minorHAnsi"/>
          <w:lang w:val="en-US"/>
        </w:rPr>
        <w:t xml:space="preserve"> </w:t>
      </w:r>
      <w:r w:rsidRPr="00AA460B">
        <w:rPr>
          <w:rFonts w:asciiTheme="minorHAnsi" w:hAnsiTheme="minorHAnsi" w:cstheme="minorHAnsi"/>
          <w:lang w:val="en-US"/>
        </w:rPr>
        <w:t>5)</w:t>
      </w:r>
      <w:r w:rsidRPr="00AA460B">
        <w:rPr>
          <w:rFonts w:asciiTheme="minorHAnsi" w:hAnsiTheme="minorHAnsi" w:cstheme="minorHAnsi"/>
          <w:lang w:val="en-GB"/>
        </w:rPr>
        <w:t xml:space="preserve">. With the shift to viewing transnational threats as the main focus of European security strategies, the neat internal-external security distinction collapsed, leaving scope for European ownership of an expanded portfolio of activities. This allowed the EU, spearheaded by the Commission, to step out of the mainly economic area of cooperation, and assume competencies in areas traditionally the responsibility of Member States. </w:t>
      </w:r>
    </w:p>
    <w:p w14:paraId="162608BD" w14:textId="77777777" w:rsidR="00A947ED" w:rsidRDefault="00A947ED" w:rsidP="00A947ED">
      <w:pPr>
        <w:rPr>
          <w:rFonts w:asciiTheme="minorHAnsi" w:hAnsiTheme="minorHAnsi" w:cstheme="minorHAnsi"/>
          <w:lang w:val="en-GB"/>
        </w:rPr>
      </w:pPr>
    </w:p>
    <w:p w14:paraId="1B9B29AA" w14:textId="3EC2341A" w:rsidR="00FA5D53" w:rsidRPr="00AA460B" w:rsidRDefault="00A947ED" w:rsidP="00A947ED">
      <w:pPr>
        <w:rPr>
          <w:rFonts w:asciiTheme="minorHAnsi" w:hAnsiTheme="minorHAnsi" w:cstheme="minorHAnsi"/>
          <w:lang w:val="en-GB"/>
        </w:rPr>
      </w:pPr>
      <w:r>
        <w:rPr>
          <w:rFonts w:asciiTheme="minorHAnsi" w:hAnsiTheme="minorHAnsi" w:cstheme="minorHAnsi"/>
          <w:lang w:val="en-GB"/>
        </w:rPr>
        <w:t>T</w:t>
      </w:r>
      <w:r w:rsidR="00FA5D53" w:rsidRPr="00AA460B">
        <w:rPr>
          <w:rFonts w:asciiTheme="minorHAnsi" w:hAnsiTheme="minorHAnsi" w:cstheme="minorHAnsi"/>
          <w:lang w:val="en-GB"/>
        </w:rPr>
        <w:t>his shift fostered a people-centred – as opposed to a state-centred – era of security making. Such ‘biopolitics’</w:t>
      </w:r>
      <w:r w:rsidR="00F715E1">
        <w:rPr>
          <w:rFonts w:asciiTheme="minorHAnsi" w:hAnsiTheme="minorHAnsi" w:cstheme="minorHAnsi"/>
          <w:lang w:val="en-GB"/>
        </w:rPr>
        <w:t>,</w:t>
      </w:r>
      <w:r w:rsidR="003839E6">
        <w:rPr>
          <w:rFonts w:asciiTheme="minorHAnsi" w:hAnsiTheme="minorHAnsi" w:cstheme="minorHAnsi"/>
          <w:lang w:val="en-GB"/>
        </w:rPr>
        <w:t xml:space="preserve"> where the relationship between governments and people is increasingly concerned with sifting out risks among the po</w:t>
      </w:r>
      <w:r w:rsidR="00243C79">
        <w:rPr>
          <w:rFonts w:asciiTheme="minorHAnsi" w:hAnsiTheme="minorHAnsi" w:cstheme="minorHAnsi"/>
          <w:lang w:val="en-GB"/>
        </w:rPr>
        <w:t>pulation (Vaughan-Williams 2016:</w:t>
      </w:r>
      <w:r w:rsidR="003839E6">
        <w:rPr>
          <w:rFonts w:asciiTheme="minorHAnsi" w:hAnsiTheme="minorHAnsi" w:cstheme="minorHAnsi"/>
          <w:lang w:val="en-GB"/>
        </w:rPr>
        <w:t xml:space="preserve"> 7)</w:t>
      </w:r>
      <w:r w:rsidR="00F715E1">
        <w:rPr>
          <w:rFonts w:asciiTheme="minorHAnsi" w:hAnsiTheme="minorHAnsi" w:cstheme="minorHAnsi"/>
          <w:lang w:val="en-GB"/>
        </w:rPr>
        <w:t>,</w:t>
      </w:r>
      <w:r w:rsidR="00243C79">
        <w:rPr>
          <w:rFonts w:asciiTheme="minorHAnsi" w:hAnsiTheme="minorHAnsi" w:cstheme="minorHAnsi"/>
          <w:lang w:val="en-GB"/>
        </w:rPr>
        <w:t xml:space="preserve"> </w:t>
      </w:r>
      <w:r w:rsidR="00FA5D53" w:rsidRPr="00AA460B">
        <w:rPr>
          <w:rFonts w:asciiTheme="minorHAnsi" w:hAnsiTheme="minorHAnsi" w:cstheme="minorHAnsi"/>
          <w:lang w:val="en-GB"/>
        </w:rPr>
        <w:t>is at the centre of European responses to “a more secure Union”</w:t>
      </w:r>
      <w:r w:rsidR="00F715E1">
        <w:rPr>
          <w:rFonts w:asciiTheme="minorHAnsi" w:hAnsiTheme="minorHAnsi" w:cstheme="minorHAnsi"/>
          <w:lang w:val="en-GB"/>
        </w:rPr>
        <w:t>. Biopolitics is also</w:t>
      </w:r>
      <w:r w:rsidR="00FA5D53" w:rsidRPr="00AA460B">
        <w:rPr>
          <w:rFonts w:asciiTheme="minorHAnsi" w:hAnsiTheme="minorHAnsi" w:cstheme="minorHAnsi"/>
          <w:lang w:val="en-GB"/>
        </w:rPr>
        <w:t xml:space="preserve"> at the core of European efforts to counter the threat of terrorism and organised crime. Coupled with an increased presence of geopolitics, seen particularly in European </w:t>
      </w:r>
      <w:r w:rsidR="00FA5D53">
        <w:rPr>
          <w:rFonts w:asciiTheme="minorHAnsi" w:hAnsiTheme="minorHAnsi" w:cstheme="minorHAnsi"/>
          <w:lang w:val="en-GB"/>
        </w:rPr>
        <w:t>effort</w:t>
      </w:r>
      <w:r w:rsidR="005E42FB">
        <w:rPr>
          <w:rFonts w:asciiTheme="minorHAnsi" w:hAnsiTheme="minorHAnsi" w:cstheme="minorHAnsi"/>
          <w:lang w:val="en-GB"/>
        </w:rPr>
        <w:t>s</w:t>
      </w:r>
      <w:r w:rsidR="00FA5D53">
        <w:rPr>
          <w:rFonts w:asciiTheme="minorHAnsi" w:hAnsiTheme="minorHAnsi" w:cstheme="minorHAnsi"/>
          <w:lang w:val="en-GB"/>
        </w:rPr>
        <w:t xml:space="preserve"> at co-opting</w:t>
      </w:r>
      <w:r w:rsidR="00FA5D53" w:rsidRPr="00AA460B">
        <w:rPr>
          <w:rFonts w:asciiTheme="minorHAnsi" w:hAnsiTheme="minorHAnsi" w:cstheme="minorHAnsi"/>
          <w:lang w:val="en-GB"/>
        </w:rPr>
        <w:t xml:space="preserve"> neighbouring states for purposes of security and stability</w:t>
      </w:r>
      <w:r w:rsidR="00234986">
        <w:rPr>
          <w:rFonts w:asciiTheme="minorHAnsi" w:hAnsiTheme="minorHAnsi" w:cstheme="minorHAnsi"/>
          <w:lang w:val="en-GB"/>
        </w:rPr>
        <w:t xml:space="preserve"> (</w:t>
      </w:r>
      <w:proofErr w:type="spellStart"/>
      <w:r w:rsidR="00234986">
        <w:rPr>
          <w:rFonts w:asciiTheme="minorHAnsi" w:hAnsiTheme="minorHAnsi" w:cstheme="minorHAnsi"/>
          <w:lang w:val="en-GB"/>
        </w:rPr>
        <w:t>Kaunert</w:t>
      </w:r>
      <w:proofErr w:type="spellEnd"/>
      <w:r w:rsidR="00234986">
        <w:rPr>
          <w:rFonts w:asciiTheme="minorHAnsi" w:hAnsiTheme="minorHAnsi" w:cstheme="minorHAnsi"/>
          <w:lang w:val="en-GB"/>
        </w:rPr>
        <w:t xml:space="preserve">, </w:t>
      </w:r>
      <w:r w:rsidR="005426AE" w:rsidRPr="00234986">
        <w:rPr>
          <w:rFonts w:asciiTheme="minorHAnsi" w:hAnsiTheme="minorHAnsi" w:cstheme="minorHAnsi"/>
          <w:color w:val="000000" w:themeColor="text1"/>
          <w:lang w:val="en-GB"/>
        </w:rPr>
        <w:t>Léonard</w:t>
      </w:r>
      <w:r w:rsidR="005426AE">
        <w:rPr>
          <w:rFonts w:asciiTheme="minorHAnsi" w:hAnsiTheme="minorHAnsi" w:cstheme="minorHAnsi"/>
          <w:lang w:val="en-GB"/>
        </w:rPr>
        <w:t xml:space="preserve"> </w:t>
      </w:r>
      <w:r w:rsidR="00234986">
        <w:rPr>
          <w:rFonts w:asciiTheme="minorHAnsi" w:hAnsiTheme="minorHAnsi" w:cstheme="minorHAnsi"/>
          <w:lang w:val="en-GB"/>
        </w:rPr>
        <w:t xml:space="preserve">and </w:t>
      </w:r>
      <w:proofErr w:type="spellStart"/>
      <w:r w:rsidR="00234986">
        <w:rPr>
          <w:rFonts w:asciiTheme="minorHAnsi" w:hAnsiTheme="minorHAnsi" w:cstheme="minorHAnsi"/>
          <w:lang w:val="en-GB"/>
        </w:rPr>
        <w:t>Wertman</w:t>
      </w:r>
      <w:proofErr w:type="spellEnd"/>
      <w:r w:rsidR="00234986">
        <w:rPr>
          <w:rFonts w:asciiTheme="minorHAnsi" w:hAnsiTheme="minorHAnsi" w:cstheme="minorHAnsi"/>
          <w:lang w:val="en-GB"/>
        </w:rPr>
        <w:t xml:space="preserve"> </w:t>
      </w:r>
      <w:r w:rsidR="00234986">
        <w:rPr>
          <w:rFonts w:asciiTheme="minorHAnsi" w:hAnsiTheme="minorHAnsi" w:cstheme="minorHAnsi"/>
          <w:lang w:val="en-GB"/>
        </w:rPr>
        <w:lastRenderedPageBreak/>
        <w:t>2020)</w:t>
      </w:r>
      <w:r w:rsidR="00FA5D53" w:rsidRPr="00AA460B">
        <w:rPr>
          <w:rFonts w:asciiTheme="minorHAnsi" w:hAnsiTheme="minorHAnsi" w:cstheme="minorHAnsi"/>
          <w:lang w:val="en-GB"/>
        </w:rPr>
        <w:t xml:space="preserve">, the field of European </w:t>
      </w:r>
      <w:proofErr w:type="gramStart"/>
      <w:r w:rsidR="00FA5D53" w:rsidRPr="00AA460B">
        <w:rPr>
          <w:rFonts w:asciiTheme="minorHAnsi" w:hAnsiTheme="minorHAnsi" w:cstheme="minorHAnsi"/>
          <w:lang w:val="en-GB"/>
        </w:rPr>
        <w:t>counter-terrorism</w:t>
      </w:r>
      <w:proofErr w:type="gramEnd"/>
      <w:r w:rsidR="00FA5D53" w:rsidRPr="00AA460B">
        <w:rPr>
          <w:rFonts w:asciiTheme="minorHAnsi" w:hAnsiTheme="minorHAnsi" w:cstheme="minorHAnsi"/>
          <w:lang w:val="en-GB"/>
        </w:rPr>
        <w:t xml:space="preserve"> and counter-organised crime makes for a </w:t>
      </w:r>
      <w:r w:rsidR="00F715E1">
        <w:rPr>
          <w:rFonts w:asciiTheme="minorHAnsi" w:hAnsiTheme="minorHAnsi" w:cstheme="minorHAnsi"/>
          <w:lang w:val="en-GB"/>
        </w:rPr>
        <w:t>dynamic</w:t>
      </w:r>
      <w:r w:rsidR="00F715E1" w:rsidRPr="00AA460B">
        <w:rPr>
          <w:rFonts w:asciiTheme="minorHAnsi" w:hAnsiTheme="minorHAnsi" w:cstheme="minorHAnsi"/>
          <w:lang w:val="en-GB"/>
        </w:rPr>
        <w:t xml:space="preserve"> </w:t>
      </w:r>
      <w:r w:rsidR="005E42FB">
        <w:rPr>
          <w:rFonts w:asciiTheme="minorHAnsi" w:hAnsiTheme="minorHAnsi" w:cstheme="minorHAnsi"/>
          <w:lang w:val="en-GB"/>
        </w:rPr>
        <w:t xml:space="preserve">and multifaceted </w:t>
      </w:r>
      <w:r w:rsidR="00FA5D53" w:rsidRPr="00AA460B">
        <w:rPr>
          <w:rFonts w:asciiTheme="minorHAnsi" w:hAnsiTheme="minorHAnsi" w:cstheme="minorHAnsi"/>
          <w:lang w:val="en-GB"/>
        </w:rPr>
        <w:t>area of study.</w:t>
      </w:r>
    </w:p>
    <w:p w14:paraId="501592FC" w14:textId="77777777" w:rsidR="0008418C" w:rsidRPr="00AA460B" w:rsidRDefault="0008418C" w:rsidP="00A947ED">
      <w:pPr>
        <w:rPr>
          <w:rFonts w:asciiTheme="minorHAnsi" w:hAnsiTheme="minorHAnsi" w:cstheme="minorHAnsi"/>
          <w:lang w:val="en-GB"/>
        </w:rPr>
      </w:pPr>
    </w:p>
    <w:p w14:paraId="3D803BE0" w14:textId="4FCD19F9" w:rsidR="0008418C" w:rsidRPr="000D06D0" w:rsidRDefault="0008418C" w:rsidP="00A947ED">
      <w:pPr>
        <w:rPr>
          <w:rFonts w:asciiTheme="minorHAnsi" w:hAnsiTheme="minorHAnsi" w:cstheme="minorHAnsi"/>
          <w:lang w:val="en-GB"/>
        </w:rPr>
      </w:pPr>
      <w:r w:rsidRPr="00274B5C">
        <w:rPr>
          <w:rFonts w:asciiTheme="minorHAnsi" w:hAnsiTheme="minorHAnsi" w:cstheme="minorHAnsi"/>
          <w:lang w:val="en-GB"/>
        </w:rPr>
        <w:t xml:space="preserve">This chapter will discuss developments in the areas of terrorism, organised crime, and their </w:t>
      </w:r>
      <w:proofErr w:type="gramStart"/>
      <w:r w:rsidRPr="00274B5C">
        <w:rPr>
          <w:rFonts w:asciiTheme="minorHAnsi" w:hAnsiTheme="minorHAnsi" w:cstheme="minorHAnsi"/>
          <w:lang w:val="en-GB"/>
        </w:rPr>
        <w:t>counter-strategies</w:t>
      </w:r>
      <w:proofErr w:type="gramEnd"/>
      <w:r w:rsidR="002A5EAC" w:rsidRPr="00274B5C">
        <w:rPr>
          <w:rFonts w:asciiTheme="minorHAnsi" w:hAnsiTheme="minorHAnsi" w:cstheme="minorHAnsi"/>
          <w:lang w:val="en-GB"/>
        </w:rPr>
        <w:t xml:space="preserve"> in Europe</w:t>
      </w:r>
      <w:r w:rsidRPr="00274B5C">
        <w:rPr>
          <w:rFonts w:asciiTheme="minorHAnsi" w:hAnsiTheme="minorHAnsi" w:cstheme="minorHAnsi"/>
          <w:lang w:val="en-GB"/>
        </w:rPr>
        <w:t>.</w:t>
      </w:r>
      <w:r w:rsidR="00701C67" w:rsidRPr="00274B5C">
        <w:rPr>
          <w:rFonts w:asciiTheme="minorHAnsi" w:hAnsiTheme="minorHAnsi" w:cstheme="minorHAnsi"/>
          <w:lang w:val="en-GB"/>
        </w:rPr>
        <w:t xml:space="preserve"> </w:t>
      </w:r>
      <w:r w:rsidR="00F715E1">
        <w:rPr>
          <w:rFonts w:asciiTheme="minorHAnsi" w:hAnsiTheme="minorHAnsi" w:cstheme="minorHAnsi"/>
          <w:lang w:val="en-GB"/>
        </w:rPr>
        <w:t>In doing so, we</w:t>
      </w:r>
      <w:r w:rsidR="00D27BD5">
        <w:rPr>
          <w:rFonts w:asciiTheme="minorHAnsi" w:hAnsiTheme="minorHAnsi" w:cstheme="minorHAnsi"/>
          <w:lang w:val="en-GB"/>
        </w:rPr>
        <w:t xml:space="preserve"> account </w:t>
      </w:r>
      <w:r w:rsidR="00243C79">
        <w:rPr>
          <w:rFonts w:asciiTheme="minorHAnsi" w:hAnsiTheme="minorHAnsi" w:cstheme="minorHAnsi"/>
          <w:lang w:val="en-GB"/>
        </w:rPr>
        <w:t xml:space="preserve">in broad strokes </w:t>
      </w:r>
      <w:r w:rsidR="00D27BD5">
        <w:rPr>
          <w:rFonts w:asciiTheme="minorHAnsi" w:hAnsiTheme="minorHAnsi" w:cstheme="minorHAnsi"/>
          <w:lang w:val="en-GB"/>
        </w:rPr>
        <w:t>for national</w:t>
      </w:r>
      <w:r w:rsidR="00D27BD5" w:rsidRPr="00274B5C">
        <w:rPr>
          <w:rFonts w:asciiTheme="minorHAnsi" w:hAnsiTheme="minorHAnsi" w:cstheme="minorHAnsi"/>
          <w:lang w:val="en-GB"/>
        </w:rPr>
        <w:t xml:space="preserve"> differences </w:t>
      </w:r>
      <w:r w:rsidR="00D27BD5">
        <w:rPr>
          <w:rFonts w:asciiTheme="minorHAnsi" w:hAnsiTheme="minorHAnsi" w:cstheme="minorHAnsi"/>
          <w:lang w:val="en-GB"/>
        </w:rPr>
        <w:t xml:space="preserve">that </w:t>
      </w:r>
      <w:r w:rsidR="00D27BD5" w:rsidRPr="00274B5C">
        <w:rPr>
          <w:rFonts w:asciiTheme="minorHAnsi" w:hAnsiTheme="minorHAnsi" w:cstheme="minorHAnsi"/>
          <w:lang w:val="en-GB"/>
        </w:rPr>
        <w:t>exist within Europe</w:t>
      </w:r>
      <w:r w:rsidR="00D27BD5">
        <w:rPr>
          <w:rFonts w:asciiTheme="minorHAnsi" w:hAnsiTheme="minorHAnsi" w:cstheme="minorHAnsi"/>
          <w:lang w:val="en-GB"/>
        </w:rPr>
        <w:t>. Nevertheless, even when fractured at different levels of decision making,</w:t>
      </w:r>
      <w:r w:rsidR="00D27BD5" w:rsidRPr="00274B5C">
        <w:rPr>
          <w:rFonts w:asciiTheme="minorHAnsi" w:hAnsiTheme="minorHAnsi" w:cstheme="minorHAnsi"/>
          <w:lang w:val="en-GB"/>
        </w:rPr>
        <w:t xml:space="preserve"> </w:t>
      </w:r>
      <w:r w:rsidR="00D27BD5">
        <w:rPr>
          <w:rFonts w:asciiTheme="minorHAnsi" w:hAnsiTheme="minorHAnsi" w:cstheme="minorHAnsi"/>
          <w:lang w:val="en-GB"/>
        </w:rPr>
        <w:t xml:space="preserve">we claim that </w:t>
      </w:r>
      <w:proofErr w:type="gramStart"/>
      <w:r w:rsidR="00D27BD5" w:rsidRPr="00274B5C">
        <w:rPr>
          <w:rFonts w:asciiTheme="minorHAnsi" w:hAnsiTheme="minorHAnsi" w:cstheme="minorHAnsi"/>
          <w:lang w:val="en-GB"/>
        </w:rPr>
        <w:t>counter-terrorism</w:t>
      </w:r>
      <w:proofErr w:type="gramEnd"/>
      <w:r w:rsidR="00D27BD5" w:rsidRPr="00274B5C">
        <w:rPr>
          <w:rFonts w:asciiTheme="minorHAnsi" w:hAnsiTheme="minorHAnsi" w:cstheme="minorHAnsi"/>
          <w:lang w:val="en-GB"/>
        </w:rPr>
        <w:t xml:space="preserve"> and counter-organised crime</w:t>
      </w:r>
      <w:r w:rsidR="00D27BD5">
        <w:rPr>
          <w:rFonts w:asciiTheme="minorHAnsi" w:hAnsiTheme="minorHAnsi" w:cstheme="minorHAnsi"/>
          <w:lang w:val="en-GB"/>
        </w:rPr>
        <w:t xml:space="preserve"> strategies </w:t>
      </w:r>
      <w:r w:rsidR="00243C79">
        <w:rPr>
          <w:rFonts w:asciiTheme="minorHAnsi" w:hAnsiTheme="minorHAnsi" w:cstheme="minorHAnsi"/>
          <w:lang w:val="en-GB"/>
        </w:rPr>
        <w:t>are tied together in what can be deemed a ‘European model’</w:t>
      </w:r>
      <w:r w:rsidR="00D27BD5">
        <w:rPr>
          <w:rFonts w:asciiTheme="minorHAnsi" w:hAnsiTheme="minorHAnsi" w:cstheme="minorHAnsi"/>
          <w:lang w:val="en-GB"/>
        </w:rPr>
        <w:t>.</w:t>
      </w:r>
      <w:r w:rsidR="00243C79">
        <w:rPr>
          <w:rFonts w:asciiTheme="minorHAnsi" w:hAnsiTheme="minorHAnsi" w:cstheme="minorHAnsi"/>
          <w:lang w:val="en-GB"/>
        </w:rPr>
        <w:t xml:space="preserve"> This is often distinct from a US model, and is also gradually visible in the proliferation and expansion of European-level response mechanisms.</w:t>
      </w:r>
      <w:r w:rsidR="00D27BD5">
        <w:rPr>
          <w:rFonts w:asciiTheme="minorHAnsi" w:hAnsiTheme="minorHAnsi" w:cstheme="minorHAnsi"/>
          <w:lang w:val="en-GB"/>
        </w:rPr>
        <w:t xml:space="preserve"> </w:t>
      </w:r>
      <w:r w:rsidR="00243C79">
        <w:rPr>
          <w:rFonts w:asciiTheme="minorHAnsi" w:hAnsiTheme="minorHAnsi" w:cstheme="minorHAnsi"/>
          <w:lang w:val="en-GB"/>
        </w:rPr>
        <w:t>The chapter will f</w:t>
      </w:r>
      <w:r w:rsidRPr="00274B5C">
        <w:rPr>
          <w:rFonts w:asciiTheme="minorHAnsi" w:hAnsiTheme="minorHAnsi" w:cstheme="minorHAnsi"/>
          <w:lang w:val="en-GB"/>
        </w:rPr>
        <w:t xml:space="preserve">irst, provide some background on </w:t>
      </w:r>
      <w:proofErr w:type="gramStart"/>
      <w:r w:rsidR="006922DD">
        <w:rPr>
          <w:rFonts w:asciiTheme="minorHAnsi" w:hAnsiTheme="minorHAnsi" w:cstheme="minorHAnsi"/>
          <w:lang w:val="en-GB"/>
        </w:rPr>
        <w:t>counter-</w:t>
      </w:r>
      <w:r w:rsidRPr="00274B5C">
        <w:rPr>
          <w:rFonts w:asciiTheme="minorHAnsi" w:hAnsiTheme="minorHAnsi" w:cstheme="minorHAnsi"/>
          <w:lang w:val="en-GB"/>
        </w:rPr>
        <w:t>terrorism</w:t>
      </w:r>
      <w:proofErr w:type="gramEnd"/>
      <w:r w:rsidRPr="00274B5C">
        <w:rPr>
          <w:rFonts w:asciiTheme="minorHAnsi" w:hAnsiTheme="minorHAnsi" w:cstheme="minorHAnsi"/>
          <w:lang w:val="en-GB"/>
        </w:rPr>
        <w:t xml:space="preserve"> and organised crime in Europe</w:t>
      </w:r>
      <w:r w:rsidR="00A947ED">
        <w:rPr>
          <w:rFonts w:asciiTheme="minorHAnsi" w:hAnsiTheme="minorHAnsi" w:cstheme="minorHAnsi"/>
          <w:lang w:val="en-GB"/>
        </w:rPr>
        <w:t xml:space="preserve">. </w:t>
      </w:r>
      <w:r w:rsidRPr="00274B5C">
        <w:rPr>
          <w:rFonts w:asciiTheme="minorHAnsi" w:hAnsiTheme="minorHAnsi" w:cstheme="minorHAnsi"/>
          <w:lang w:val="en-GB"/>
        </w:rPr>
        <w:t xml:space="preserve"> </w:t>
      </w:r>
      <w:r w:rsidR="00243C79">
        <w:rPr>
          <w:rFonts w:asciiTheme="minorHAnsi" w:hAnsiTheme="minorHAnsi" w:cstheme="minorHAnsi"/>
          <w:lang w:val="en-GB"/>
        </w:rPr>
        <w:t>Then</w:t>
      </w:r>
      <w:r w:rsidR="00A947ED">
        <w:rPr>
          <w:rFonts w:asciiTheme="minorHAnsi" w:hAnsiTheme="minorHAnsi" w:cstheme="minorHAnsi"/>
          <w:lang w:val="en-GB"/>
        </w:rPr>
        <w:t xml:space="preserve">, </w:t>
      </w:r>
      <w:r w:rsidR="00243C79">
        <w:rPr>
          <w:rFonts w:asciiTheme="minorHAnsi" w:hAnsiTheme="minorHAnsi" w:cstheme="minorHAnsi"/>
          <w:lang w:val="en-GB"/>
        </w:rPr>
        <w:t>it will discuss</w:t>
      </w:r>
      <w:r w:rsidRPr="00274B5C">
        <w:rPr>
          <w:rFonts w:asciiTheme="minorHAnsi" w:hAnsiTheme="minorHAnsi" w:cstheme="minorHAnsi"/>
          <w:lang w:val="en-GB"/>
        </w:rPr>
        <w:t xml:space="preserve"> European strategies</w:t>
      </w:r>
      <w:r w:rsidR="00F945BC">
        <w:rPr>
          <w:rFonts w:asciiTheme="minorHAnsi" w:hAnsiTheme="minorHAnsi" w:cstheme="minorHAnsi"/>
          <w:lang w:val="en-GB"/>
        </w:rPr>
        <w:t xml:space="preserve"> over the last decade</w:t>
      </w:r>
      <w:r w:rsidRPr="00274B5C">
        <w:rPr>
          <w:rFonts w:asciiTheme="minorHAnsi" w:hAnsiTheme="minorHAnsi" w:cstheme="minorHAnsi"/>
          <w:lang w:val="en-GB"/>
        </w:rPr>
        <w:t xml:space="preserve"> to tackle </w:t>
      </w:r>
      <w:proofErr w:type="gramStart"/>
      <w:r w:rsidR="00A947ED">
        <w:rPr>
          <w:rFonts w:asciiTheme="minorHAnsi" w:hAnsiTheme="minorHAnsi" w:cstheme="minorHAnsi"/>
          <w:lang w:val="en-GB"/>
        </w:rPr>
        <w:t>counter-terrorism</w:t>
      </w:r>
      <w:proofErr w:type="gramEnd"/>
      <w:r w:rsidR="00A947ED">
        <w:rPr>
          <w:rFonts w:asciiTheme="minorHAnsi" w:hAnsiTheme="minorHAnsi" w:cstheme="minorHAnsi"/>
          <w:lang w:val="en-GB"/>
        </w:rPr>
        <w:t xml:space="preserve"> and organised crime</w:t>
      </w:r>
      <w:r w:rsidR="00243C79">
        <w:rPr>
          <w:rFonts w:asciiTheme="minorHAnsi" w:hAnsiTheme="minorHAnsi" w:cstheme="minorHAnsi"/>
          <w:lang w:val="en-GB"/>
        </w:rPr>
        <w:t>, both at European and bilateral level</w:t>
      </w:r>
      <w:r w:rsidRPr="00274B5C">
        <w:rPr>
          <w:rFonts w:asciiTheme="minorHAnsi" w:hAnsiTheme="minorHAnsi" w:cstheme="minorHAnsi"/>
          <w:lang w:val="en-GB"/>
        </w:rPr>
        <w:t xml:space="preserve">. </w:t>
      </w:r>
      <w:r w:rsidR="00243C79">
        <w:rPr>
          <w:rFonts w:asciiTheme="minorHAnsi" w:hAnsiTheme="minorHAnsi" w:cstheme="minorHAnsi"/>
          <w:lang w:val="en-GB"/>
        </w:rPr>
        <w:t>The constant evolution and tension between the national and the supranational continue to shape this core issue area.</w:t>
      </w:r>
    </w:p>
    <w:p w14:paraId="7B85DD5C" w14:textId="6F1023E9" w:rsidR="0008418C" w:rsidRPr="000D06D0" w:rsidRDefault="00A53F78" w:rsidP="00A947ED">
      <w:pPr>
        <w:pStyle w:val="Heading1"/>
        <w:rPr>
          <w:szCs w:val="24"/>
          <w:lang w:val="en-GB"/>
        </w:rPr>
      </w:pPr>
      <w:r w:rsidRPr="000D06D0">
        <w:rPr>
          <w:szCs w:val="24"/>
          <w:lang w:val="en-GB"/>
        </w:rPr>
        <w:t xml:space="preserve">Terrorism and </w:t>
      </w:r>
      <w:r w:rsidR="003851F3">
        <w:rPr>
          <w:szCs w:val="24"/>
          <w:lang w:val="en-GB"/>
        </w:rPr>
        <w:t>O</w:t>
      </w:r>
      <w:r w:rsidRPr="000D06D0">
        <w:rPr>
          <w:szCs w:val="24"/>
          <w:lang w:val="en-GB"/>
        </w:rPr>
        <w:t xml:space="preserve">rganised </w:t>
      </w:r>
      <w:r w:rsidR="003851F3">
        <w:rPr>
          <w:szCs w:val="24"/>
          <w:lang w:val="en-GB"/>
        </w:rPr>
        <w:t>C</w:t>
      </w:r>
      <w:r w:rsidRPr="000D06D0">
        <w:rPr>
          <w:szCs w:val="24"/>
          <w:lang w:val="en-GB"/>
        </w:rPr>
        <w:t xml:space="preserve">rime </w:t>
      </w:r>
      <w:r w:rsidR="00CC40E2">
        <w:rPr>
          <w:szCs w:val="24"/>
          <w:lang w:val="en-GB"/>
        </w:rPr>
        <w:t xml:space="preserve">in Europe </w:t>
      </w:r>
    </w:p>
    <w:p w14:paraId="674FADAE" w14:textId="4E9A287A" w:rsidR="00D03403" w:rsidRDefault="00D03403" w:rsidP="00A947ED">
      <w:pPr>
        <w:rPr>
          <w:rFonts w:asciiTheme="minorHAnsi" w:hAnsiTheme="minorHAnsi" w:cstheme="minorHAnsi"/>
          <w:lang w:val="en-GB"/>
        </w:rPr>
      </w:pPr>
    </w:p>
    <w:p w14:paraId="2119B5BC" w14:textId="52CF39E8" w:rsidR="00155233" w:rsidRPr="00155233" w:rsidRDefault="00155233" w:rsidP="00A947ED">
      <w:pPr>
        <w:rPr>
          <w:rFonts w:asciiTheme="minorHAnsi" w:hAnsiTheme="minorHAnsi" w:cstheme="minorHAnsi"/>
          <w:i/>
          <w:lang w:val="en-GB"/>
        </w:rPr>
      </w:pPr>
      <w:r w:rsidRPr="00155233">
        <w:rPr>
          <w:rFonts w:asciiTheme="minorHAnsi" w:hAnsiTheme="minorHAnsi" w:cstheme="minorHAnsi"/>
          <w:i/>
          <w:lang w:val="en-GB"/>
        </w:rPr>
        <w:t>Terrorism</w:t>
      </w:r>
    </w:p>
    <w:p w14:paraId="3398CDC1" w14:textId="51393296" w:rsidR="00AD5CDB" w:rsidRDefault="00281B3B" w:rsidP="00A947ED">
      <w:pPr>
        <w:rPr>
          <w:rFonts w:asciiTheme="minorHAnsi" w:hAnsiTheme="minorHAnsi" w:cstheme="minorHAnsi"/>
          <w:lang w:val="en-GB"/>
        </w:rPr>
      </w:pPr>
      <w:r>
        <w:rPr>
          <w:rFonts w:asciiTheme="minorHAnsi" w:hAnsiTheme="minorHAnsi" w:cstheme="minorHAnsi"/>
          <w:lang w:val="en-GB"/>
        </w:rPr>
        <w:t xml:space="preserve">Terrorism has been a regular feature of European security since the 1970s, when left-wing and separatist terrorism targeted European states. Left-wing terrorism </w:t>
      </w:r>
      <w:r w:rsidR="005E42FB">
        <w:rPr>
          <w:rFonts w:asciiTheme="minorHAnsi" w:hAnsiTheme="minorHAnsi" w:cstheme="minorHAnsi"/>
          <w:lang w:val="en-GB"/>
        </w:rPr>
        <w:t xml:space="preserve">in </w:t>
      </w:r>
      <w:r w:rsidR="00752423">
        <w:rPr>
          <w:rFonts w:asciiTheme="minorHAnsi" w:hAnsiTheme="minorHAnsi" w:cstheme="minorHAnsi"/>
          <w:lang w:val="en-GB"/>
        </w:rPr>
        <w:t xml:space="preserve">particular </w:t>
      </w:r>
      <w:r w:rsidR="006C7CCF">
        <w:rPr>
          <w:rFonts w:asciiTheme="minorHAnsi" w:hAnsiTheme="minorHAnsi" w:cstheme="minorHAnsi"/>
          <w:lang w:val="en-GB"/>
        </w:rPr>
        <w:t>targeted</w:t>
      </w:r>
      <w:r>
        <w:rPr>
          <w:rFonts w:asciiTheme="minorHAnsi" w:hAnsiTheme="minorHAnsi" w:cstheme="minorHAnsi"/>
          <w:lang w:val="en-GB"/>
        </w:rPr>
        <w:t xml:space="preserve"> Italy and (West) Germany, while Spain and the UK faced terrorist tactics from </w:t>
      </w:r>
      <w:r w:rsidR="00B41A2D">
        <w:rPr>
          <w:rFonts w:asciiTheme="minorHAnsi" w:hAnsiTheme="minorHAnsi" w:cstheme="minorHAnsi"/>
          <w:lang w:val="en-GB"/>
        </w:rPr>
        <w:t xml:space="preserve">the </w:t>
      </w:r>
      <w:r>
        <w:rPr>
          <w:rFonts w:asciiTheme="minorHAnsi" w:hAnsiTheme="minorHAnsi" w:cstheme="minorHAnsi"/>
          <w:lang w:val="en-GB"/>
        </w:rPr>
        <w:t>separatist group</w:t>
      </w:r>
      <w:r w:rsidR="00B41A2D">
        <w:rPr>
          <w:rFonts w:asciiTheme="minorHAnsi" w:hAnsiTheme="minorHAnsi" w:cstheme="minorHAnsi"/>
          <w:lang w:val="en-GB"/>
        </w:rPr>
        <w:t xml:space="preserve"> Basque Homeland and Liberty</w:t>
      </w:r>
      <w:r w:rsidR="00E65C32">
        <w:rPr>
          <w:rFonts w:asciiTheme="minorHAnsi" w:hAnsiTheme="minorHAnsi" w:cstheme="minorHAnsi"/>
          <w:lang w:val="en-GB"/>
        </w:rPr>
        <w:t xml:space="preserve"> </w:t>
      </w:r>
      <w:r w:rsidR="00B41A2D">
        <w:rPr>
          <w:rFonts w:asciiTheme="minorHAnsi" w:hAnsiTheme="minorHAnsi" w:cstheme="minorHAnsi"/>
          <w:lang w:val="en-GB"/>
        </w:rPr>
        <w:t>(</w:t>
      </w:r>
      <w:r>
        <w:rPr>
          <w:rFonts w:asciiTheme="minorHAnsi" w:hAnsiTheme="minorHAnsi" w:cstheme="minorHAnsi"/>
          <w:lang w:val="en-GB"/>
        </w:rPr>
        <w:t>ETA</w:t>
      </w:r>
      <w:r w:rsidR="00B41A2D">
        <w:rPr>
          <w:rFonts w:asciiTheme="minorHAnsi" w:hAnsiTheme="minorHAnsi" w:cstheme="minorHAnsi"/>
          <w:lang w:val="en-GB"/>
        </w:rPr>
        <w:t>)</w:t>
      </w:r>
      <w:r>
        <w:rPr>
          <w:rFonts w:asciiTheme="minorHAnsi" w:hAnsiTheme="minorHAnsi" w:cstheme="minorHAnsi"/>
          <w:lang w:val="en-GB"/>
        </w:rPr>
        <w:t xml:space="preserve"> and the </w:t>
      </w:r>
      <w:r w:rsidR="00B41A2D">
        <w:rPr>
          <w:rFonts w:asciiTheme="minorHAnsi" w:hAnsiTheme="minorHAnsi" w:cstheme="minorHAnsi"/>
          <w:lang w:val="en-GB"/>
        </w:rPr>
        <w:t>Irish Republican Army (</w:t>
      </w:r>
      <w:r>
        <w:rPr>
          <w:rFonts w:asciiTheme="minorHAnsi" w:hAnsiTheme="minorHAnsi" w:cstheme="minorHAnsi"/>
          <w:lang w:val="en-GB"/>
        </w:rPr>
        <w:t>IRA</w:t>
      </w:r>
      <w:r w:rsidR="00B41A2D">
        <w:rPr>
          <w:rFonts w:asciiTheme="minorHAnsi" w:hAnsiTheme="minorHAnsi" w:cstheme="minorHAnsi"/>
          <w:lang w:val="en-GB"/>
        </w:rPr>
        <w:t>)</w:t>
      </w:r>
      <w:r w:rsidR="00F715E1">
        <w:rPr>
          <w:rFonts w:asciiTheme="minorHAnsi" w:hAnsiTheme="minorHAnsi" w:cstheme="minorHAnsi"/>
          <w:lang w:val="en-GB"/>
        </w:rPr>
        <w:t>, respectively</w:t>
      </w:r>
      <w:r>
        <w:rPr>
          <w:rFonts w:asciiTheme="minorHAnsi" w:hAnsiTheme="minorHAnsi" w:cstheme="minorHAnsi"/>
          <w:lang w:val="en-GB"/>
        </w:rPr>
        <w:t xml:space="preserve">. </w:t>
      </w:r>
      <w:r w:rsidR="006C7CCF">
        <w:rPr>
          <w:rFonts w:asciiTheme="minorHAnsi" w:hAnsiTheme="minorHAnsi" w:cstheme="minorHAnsi"/>
          <w:lang w:val="en-GB"/>
        </w:rPr>
        <w:t>Given the specific nature of terrorist threats t</w:t>
      </w:r>
      <w:r>
        <w:rPr>
          <w:rFonts w:asciiTheme="minorHAnsi" w:hAnsiTheme="minorHAnsi" w:cstheme="minorHAnsi"/>
          <w:lang w:val="en-GB"/>
        </w:rPr>
        <w:t>hroughout the 1970s and 1980s, terrorism was considered a domestic</w:t>
      </w:r>
      <w:r w:rsidR="00DD04F6">
        <w:rPr>
          <w:rFonts w:asciiTheme="minorHAnsi" w:hAnsiTheme="minorHAnsi" w:cstheme="minorHAnsi"/>
          <w:lang w:val="en-GB"/>
        </w:rPr>
        <w:t xml:space="preserve"> issue to be tackled ‘at home’. This</w:t>
      </w:r>
      <w:r>
        <w:rPr>
          <w:rFonts w:asciiTheme="minorHAnsi" w:hAnsiTheme="minorHAnsi" w:cstheme="minorHAnsi"/>
          <w:lang w:val="en-GB"/>
        </w:rPr>
        <w:t xml:space="preserve"> </w:t>
      </w:r>
      <w:r w:rsidR="008527B6">
        <w:rPr>
          <w:rFonts w:asciiTheme="minorHAnsi" w:hAnsiTheme="minorHAnsi" w:cstheme="minorHAnsi"/>
          <w:lang w:val="en-GB"/>
        </w:rPr>
        <w:t>prompted large differences and also conflict over their treatment of the issue: where France would negotiate, the UK would use policing and internment, and where ETA was prosecuted in Spain, they were given a safe haven in neighbouring France (</w:t>
      </w:r>
      <w:proofErr w:type="spellStart"/>
      <w:r w:rsidR="008527B6">
        <w:rPr>
          <w:rFonts w:asciiTheme="minorHAnsi" w:hAnsiTheme="minorHAnsi" w:cstheme="minorHAnsi"/>
          <w:lang w:val="en-GB"/>
        </w:rPr>
        <w:t>Kaunert</w:t>
      </w:r>
      <w:proofErr w:type="spellEnd"/>
      <w:r w:rsidR="008527B6">
        <w:rPr>
          <w:rFonts w:asciiTheme="minorHAnsi" w:hAnsiTheme="minorHAnsi" w:cstheme="minorHAnsi"/>
          <w:lang w:val="en-GB"/>
        </w:rPr>
        <w:t xml:space="preserve"> and L</w:t>
      </w:r>
      <w:r w:rsidR="00072640">
        <w:rPr>
          <w:rFonts w:asciiTheme="minorHAnsi" w:hAnsiTheme="minorHAnsi" w:cstheme="minorHAnsi"/>
          <w:lang w:val="en-GB"/>
        </w:rPr>
        <w:t>eonard 2019</w:t>
      </w:r>
      <w:r w:rsidR="00BE11CD">
        <w:rPr>
          <w:rFonts w:asciiTheme="minorHAnsi" w:hAnsiTheme="minorHAnsi" w:cstheme="minorHAnsi"/>
          <w:lang w:val="en-GB"/>
        </w:rPr>
        <w:t>:</w:t>
      </w:r>
      <w:r w:rsidR="008527B6">
        <w:rPr>
          <w:rFonts w:asciiTheme="minorHAnsi" w:hAnsiTheme="minorHAnsi" w:cstheme="minorHAnsi"/>
          <w:lang w:val="en-GB"/>
        </w:rPr>
        <w:t xml:space="preserve"> 262). While early counter-terror mechanisms such as the TREVI group would initiate both diplomatic and policing coordination, the period up until 2001 was </w:t>
      </w:r>
      <w:r w:rsidR="00AD5CDB">
        <w:rPr>
          <w:rFonts w:asciiTheme="minorHAnsi" w:hAnsiTheme="minorHAnsi" w:cstheme="minorHAnsi"/>
          <w:lang w:val="en-GB"/>
        </w:rPr>
        <w:t>characterised by strong norms of state sovereignty over the matter, with different legal frameworks, priorities and understanding of the issue.</w:t>
      </w:r>
    </w:p>
    <w:p w14:paraId="355A3188" w14:textId="597077C1" w:rsidR="00424AC7" w:rsidRDefault="00424AC7" w:rsidP="00A947ED">
      <w:pPr>
        <w:rPr>
          <w:rFonts w:asciiTheme="minorHAnsi" w:hAnsiTheme="minorHAnsi" w:cstheme="minorHAnsi"/>
          <w:lang w:val="en-GB"/>
        </w:rPr>
      </w:pPr>
    </w:p>
    <w:p w14:paraId="1AEB3F9E" w14:textId="4B8F5E7C" w:rsidR="00C85701" w:rsidRDefault="00424AC7" w:rsidP="00A947ED">
      <w:pPr>
        <w:rPr>
          <w:rFonts w:asciiTheme="minorHAnsi" w:hAnsiTheme="minorHAnsi" w:cstheme="minorHAnsi"/>
          <w:lang w:val="en-GB"/>
        </w:rPr>
      </w:pPr>
      <w:r>
        <w:rPr>
          <w:rFonts w:asciiTheme="minorHAnsi" w:hAnsiTheme="minorHAnsi" w:cstheme="minorHAnsi"/>
          <w:lang w:val="en-GB"/>
        </w:rPr>
        <w:t>Even with a general growth in relevance across the continent</w:t>
      </w:r>
      <w:r w:rsidR="005E42FB">
        <w:rPr>
          <w:rFonts w:asciiTheme="minorHAnsi" w:hAnsiTheme="minorHAnsi" w:cstheme="minorHAnsi"/>
          <w:lang w:val="en-GB"/>
        </w:rPr>
        <w:t xml:space="preserve"> since 2001</w:t>
      </w:r>
      <w:r>
        <w:rPr>
          <w:rFonts w:asciiTheme="minorHAnsi" w:hAnsiTheme="minorHAnsi" w:cstheme="minorHAnsi"/>
          <w:lang w:val="en-GB"/>
        </w:rPr>
        <w:t xml:space="preserve">, European states differ in their priorities and approaches to terrorism. </w:t>
      </w:r>
      <w:r w:rsidR="00F715E1">
        <w:rPr>
          <w:rFonts w:asciiTheme="minorHAnsi" w:hAnsiTheme="minorHAnsi" w:cstheme="minorHAnsi"/>
          <w:lang w:val="en-GB"/>
        </w:rPr>
        <w:t>One</w:t>
      </w:r>
      <w:r w:rsidR="00091EB3">
        <w:rPr>
          <w:rFonts w:asciiTheme="minorHAnsi" w:hAnsiTheme="minorHAnsi" w:cstheme="minorHAnsi"/>
          <w:lang w:val="en-GB"/>
        </w:rPr>
        <w:t xml:space="preserve"> study compared </w:t>
      </w:r>
      <w:r w:rsidR="006904D8">
        <w:rPr>
          <w:rFonts w:asciiTheme="minorHAnsi" w:hAnsiTheme="minorHAnsi" w:cstheme="minorHAnsi"/>
          <w:lang w:val="en-GB"/>
        </w:rPr>
        <w:t>nine</w:t>
      </w:r>
      <w:r w:rsidR="00091EB3">
        <w:rPr>
          <w:rFonts w:asciiTheme="minorHAnsi" w:hAnsiTheme="minorHAnsi" w:cstheme="minorHAnsi"/>
          <w:lang w:val="en-GB"/>
        </w:rPr>
        <w:t xml:space="preserve"> European states along four policy dimensions: Prevent, Protect, Pursue, </w:t>
      </w:r>
      <w:r w:rsidR="00FA5D53">
        <w:rPr>
          <w:rFonts w:asciiTheme="minorHAnsi" w:hAnsiTheme="minorHAnsi" w:cstheme="minorHAnsi"/>
          <w:lang w:val="en-GB"/>
        </w:rPr>
        <w:t xml:space="preserve">and </w:t>
      </w:r>
      <w:r w:rsidR="00091EB3">
        <w:rPr>
          <w:rFonts w:asciiTheme="minorHAnsi" w:hAnsiTheme="minorHAnsi" w:cstheme="minorHAnsi"/>
          <w:lang w:val="en-GB"/>
        </w:rPr>
        <w:t>Respond</w:t>
      </w:r>
      <w:r w:rsidR="005E42FB">
        <w:rPr>
          <w:rFonts w:asciiTheme="minorHAnsi" w:hAnsiTheme="minorHAnsi" w:cstheme="minorHAnsi"/>
          <w:lang w:val="en-GB"/>
        </w:rPr>
        <w:t xml:space="preserve"> (van </w:t>
      </w:r>
      <w:proofErr w:type="spellStart"/>
      <w:r w:rsidR="005E42FB">
        <w:rPr>
          <w:rFonts w:asciiTheme="minorHAnsi" w:hAnsiTheme="minorHAnsi" w:cstheme="minorHAnsi"/>
          <w:lang w:val="en-GB"/>
        </w:rPr>
        <w:t>Dongen</w:t>
      </w:r>
      <w:proofErr w:type="spellEnd"/>
      <w:r w:rsidR="005E42FB">
        <w:rPr>
          <w:rFonts w:asciiTheme="minorHAnsi" w:hAnsiTheme="minorHAnsi" w:cstheme="minorHAnsi"/>
          <w:lang w:val="en-GB"/>
        </w:rPr>
        <w:t xml:space="preserve"> 2010)</w:t>
      </w:r>
      <w:r w:rsidR="00091EB3">
        <w:rPr>
          <w:rFonts w:asciiTheme="minorHAnsi" w:hAnsiTheme="minorHAnsi" w:cstheme="minorHAnsi"/>
          <w:lang w:val="en-GB"/>
        </w:rPr>
        <w:t xml:space="preserve">. </w:t>
      </w:r>
      <w:r w:rsidR="00F715E1">
        <w:rPr>
          <w:rFonts w:asciiTheme="minorHAnsi" w:hAnsiTheme="minorHAnsi" w:cstheme="minorHAnsi"/>
          <w:lang w:val="en-GB"/>
        </w:rPr>
        <w:t xml:space="preserve">Prevent and Pursue are policy dimensions built on primarily interpreting terrorism as undertaken by human beings. Protect and Respond are more emergency oriented policy dimensions. </w:t>
      </w:r>
      <w:r w:rsidR="00810BF9">
        <w:rPr>
          <w:rFonts w:asciiTheme="minorHAnsi" w:hAnsiTheme="minorHAnsi" w:cstheme="minorHAnsi"/>
          <w:lang w:val="en-GB"/>
        </w:rPr>
        <w:t>T</w:t>
      </w:r>
      <w:r w:rsidR="00091EB3">
        <w:rPr>
          <w:rFonts w:asciiTheme="minorHAnsi" w:hAnsiTheme="minorHAnsi" w:cstheme="minorHAnsi"/>
          <w:lang w:val="en-GB"/>
        </w:rPr>
        <w:t xml:space="preserve">he study identified the Czech Republic, Denmark, the UK and Germany as belonging to a ‘maximalist approach’, in which all four dimensions are equally prioritised. The Netherlands and Italy </w:t>
      </w:r>
      <w:r w:rsidR="00674929">
        <w:rPr>
          <w:rFonts w:asciiTheme="minorHAnsi" w:hAnsiTheme="minorHAnsi" w:cstheme="minorHAnsi"/>
          <w:lang w:val="en-GB"/>
        </w:rPr>
        <w:t>were</w:t>
      </w:r>
      <w:r w:rsidR="00091EB3">
        <w:rPr>
          <w:rFonts w:asciiTheme="minorHAnsi" w:hAnsiTheme="minorHAnsi" w:cstheme="minorHAnsi"/>
          <w:lang w:val="en-GB"/>
        </w:rPr>
        <w:t xml:space="preserve"> categorised as pertaining to a ‘Human Agent approach’, </w:t>
      </w:r>
      <w:r w:rsidR="00FA5D53">
        <w:rPr>
          <w:rFonts w:asciiTheme="minorHAnsi" w:hAnsiTheme="minorHAnsi" w:cstheme="minorHAnsi"/>
          <w:lang w:val="en-GB"/>
        </w:rPr>
        <w:t>primarily interpret</w:t>
      </w:r>
      <w:r w:rsidR="005E42FB">
        <w:rPr>
          <w:rFonts w:asciiTheme="minorHAnsi" w:hAnsiTheme="minorHAnsi" w:cstheme="minorHAnsi"/>
          <w:lang w:val="en-GB"/>
        </w:rPr>
        <w:t>ing</w:t>
      </w:r>
      <w:r w:rsidR="00091EB3">
        <w:rPr>
          <w:rFonts w:asciiTheme="minorHAnsi" w:hAnsiTheme="minorHAnsi" w:cstheme="minorHAnsi"/>
          <w:lang w:val="en-GB"/>
        </w:rPr>
        <w:t xml:space="preserve"> terrorism as undertaken by h</w:t>
      </w:r>
      <w:r w:rsidR="005E42FB">
        <w:rPr>
          <w:rFonts w:asciiTheme="minorHAnsi" w:hAnsiTheme="minorHAnsi" w:cstheme="minorHAnsi"/>
          <w:lang w:val="en-GB"/>
        </w:rPr>
        <w:t>uman beings, and thus prioritising</w:t>
      </w:r>
      <w:r w:rsidR="00091EB3">
        <w:rPr>
          <w:rFonts w:asciiTheme="minorHAnsi" w:hAnsiTheme="minorHAnsi" w:cstheme="minorHAnsi"/>
          <w:lang w:val="en-GB"/>
        </w:rPr>
        <w:t xml:space="preserve"> Prevent and Pursue</w:t>
      </w:r>
      <w:r w:rsidR="005E42FB">
        <w:rPr>
          <w:rFonts w:asciiTheme="minorHAnsi" w:hAnsiTheme="minorHAnsi" w:cstheme="minorHAnsi"/>
          <w:lang w:val="en-GB"/>
        </w:rPr>
        <w:t xml:space="preserve"> policies</w:t>
      </w:r>
      <w:r w:rsidR="00C85701">
        <w:rPr>
          <w:rFonts w:asciiTheme="minorHAnsi" w:hAnsiTheme="minorHAnsi" w:cstheme="minorHAnsi"/>
          <w:lang w:val="en-GB"/>
        </w:rPr>
        <w:t xml:space="preserve">. </w:t>
      </w:r>
      <w:r w:rsidR="005327C8">
        <w:rPr>
          <w:rFonts w:asciiTheme="minorHAnsi" w:hAnsiTheme="minorHAnsi" w:cstheme="minorHAnsi"/>
          <w:lang w:val="en-GB"/>
        </w:rPr>
        <w:t xml:space="preserve">Finally, France and Portugal </w:t>
      </w:r>
      <w:r w:rsidR="00674929">
        <w:rPr>
          <w:rFonts w:asciiTheme="minorHAnsi" w:hAnsiTheme="minorHAnsi" w:cstheme="minorHAnsi"/>
          <w:lang w:val="en-GB"/>
        </w:rPr>
        <w:t>were</w:t>
      </w:r>
      <w:r w:rsidR="005327C8">
        <w:rPr>
          <w:rFonts w:asciiTheme="minorHAnsi" w:hAnsiTheme="minorHAnsi" w:cstheme="minorHAnsi"/>
          <w:lang w:val="en-GB"/>
        </w:rPr>
        <w:t xml:space="preserve"> categorised as </w:t>
      </w:r>
      <w:r w:rsidR="006904D8">
        <w:rPr>
          <w:rFonts w:asciiTheme="minorHAnsi" w:hAnsiTheme="minorHAnsi" w:cstheme="minorHAnsi"/>
          <w:lang w:val="en-GB"/>
        </w:rPr>
        <w:t xml:space="preserve">belonging to a ‘Confrontational approach’, </w:t>
      </w:r>
      <w:r w:rsidR="005E42FB">
        <w:rPr>
          <w:rFonts w:asciiTheme="minorHAnsi" w:hAnsiTheme="minorHAnsi" w:cstheme="minorHAnsi"/>
          <w:lang w:val="en-GB"/>
        </w:rPr>
        <w:t xml:space="preserve">prioritising </w:t>
      </w:r>
      <w:r w:rsidR="006904D8">
        <w:rPr>
          <w:rFonts w:asciiTheme="minorHAnsi" w:hAnsiTheme="minorHAnsi" w:cstheme="minorHAnsi"/>
          <w:lang w:val="en-GB"/>
        </w:rPr>
        <w:t>measures in the Pursue strand</w:t>
      </w:r>
      <w:r w:rsidR="005E42FB">
        <w:rPr>
          <w:rFonts w:asciiTheme="minorHAnsi" w:hAnsiTheme="minorHAnsi" w:cstheme="minorHAnsi"/>
          <w:lang w:val="en-GB"/>
        </w:rPr>
        <w:t>, where a</w:t>
      </w:r>
      <w:r w:rsidR="006904D8">
        <w:rPr>
          <w:rFonts w:asciiTheme="minorHAnsi" w:hAnsiTheme="minorHAnsi" w:cstheme="minorHAnsi"/>
          <w:lang w:val="en-GB"/>
        </w:rPr>
        <w:t xml:space="preserve"> </w:t>
      </w:r>
      <w:proofErr w:type="gramStart"/>
      <w:r w:rsidR="006904D8">
        <w:rPr>
          <w:rFonts w:asciiTheme="minorHAnsi" w:hAnsiTheme="minorHAnsi" w:cstheme="minorHAnsi"/>
          <w:lang w:val="en-GB"/>
        </w:rPr>
        <w:t>direct action</w:t>
      </w:r>
      <w:proofErr w:type="gramEnd"/>
      <w:r w:rsidR="004F5EA6">
        <w:rPr>
          <w:rFonts w:asciiTheme="minorHAnsi" w:hAnsiTheme="minorHAnsi" w:cstheme="minorHAnsi"/>
          <w:lang w:val="en-GB"/>
        </w:rPr>
        <w:t xml:space="preserve"> approach</w:t>
      </w:r>
      <w:r w:rsidR="005E42FB">
        <w:rPr>
          <w:rFonts w:asciiTheme="minorHAnsi" w:hAnsiTheme="minorHAnsi" w:cstheme="minorHAnsi"/>
          <w:lang w:val="en-GB"/>
        </w:rPr>
        <w:t xml:space="preserve"> to </w:t>
      </w:r>
      <w:r w:rsidR="005E42FB" w:rsidRPr="005E42FB">
        <w:rPr>
          <w:rFonts w:asciiTheme="minorHAnsi" w:hAnsiTheme="minorHAnsi" w:cstheme="minorHAnsi"/>
          <w:i/>
          <w:lang w:val="en-GB"/>
        </w:rPr>
        <w:t>fight</w:t>
      </w:r>
      <w:r w:rsidR="005E42FB">
        <w:rPr>
          <w:rFonts w:asciiTheme="minorHAnsi" w:hAnsiTheme="minorHAnsi" w:cstheme="minorHAnsi"/>
          <w:lang w:val="en-GB"/>
        </w:rPr>
        <w:t xml:space="preserve"> terrorism is preferred</w:t>
      </w:r>
      <w:r w:rsidR="006350B0">
        <w:rPr>
          <w:rFonts w:asciiTheme="minorHAnsi" w:hAnsiTheme="minorHAnsi" w:cstheme="minorHAnsi"/>
          <w:lang w:val="en-GB"/>
        </w:rPr>
        <w:t xml:space="preserve"> (</w:t>
      </w:r>
      <w:r w:rsidR="00FA6A33">
        <w:rPr>
          <w:rFonts w:asciiTheme="minorHAnsi" w:hAnsiTheme="minorHAnsi" w:cstheme="minorHAnsi"/>
          <w:iCs/>
          <w:lang w:val="en-GB"/>
        </w:rPr>
        <w:t xml:space="preserve">van </w:t>
      </w:r>
      <w:proofErr w:type="spellStart"/>
      <w:r w:rsidR="00FA6A33">
        <w:rPr>
          <w:rFonts w:asciiTheme="minorHAnsi" w:hAnsiTheme="minorHAnsi" w:cstheme="minorHAnsi"/>
          <w:iCs/>
          <w:lang w:val="en-GB"/>
        </w:rPr>
        <w:t>Dongen</w:t>
      </w:r>
      <w:proofErr w:type="spellEnd"/>
      <w:r w:rsidR="00FA6A33">
        <w:rPr>
          <w:rFonts w:asciiTheme="minorHAnsi" w:hAnsiTheme="minorHAnsi" w:cstheme="minorHAnsi"/>
          <w:iCs/>
          <w:lang w:val="en-GB"/>
        </w:rPr>
        <w:t xml:space="preserve"> 2010</w:t>
      </w:r>
      <w:r w:rsidR="006350B0">
        <w:rPr>
          <w:rFonts w:asciiTheme="minorHAnsi" w:hAnsiTheme="minorHAnsi" w:cstheme="minorHAnsi"/>
          <w:lang w:val="en-GB"/>
        </w:rPr>
        <w:t>)</w:t>
      </w:r>
      <w:r w:rsidR="006904D8">
        <w:rPr>
          <w:rFonts w:asciiTheme="minorHAnsi" w:hAnsiTheme="minorHAnsi" w:cstheme="minorHAnsi"/>
          <w:lang w:val="en-GB"/>
        </w:rPr>
        <w:t xml:space="preserve">. </w:t>
      </w:r>
      <w:r w:rsidR="00F034F9">
        <w:rPr>
          <w:rFonts w:asciiTheme="minorHAnsi" w:hAnsiTheme="minorHAnsi" w:cstheme="minorHAnsi"/>
          <w:lang w:val="en-GB"/>
        </w:rPr>
        <w:t>This categorisation underscores the point that there are significant and salient differences across European counter-terrorism</w:t>
      </w:r>
      <w:r w:rsidR="005E42FB">
        <w:rPr>
          <w:rFonts w:asciiTheme="minorHAnsi" w:hAnsiTheme="minorHAnsi" w:cstheme="minorHAnsi"/>
          <w:lang w:val="en-GB"/>
        </w:rPr>
        <w:t xml:space="preserve"> practices</w:t>
      </w:r>
      <w:r w:rsidR="00F034F9">
        <w:rPr>
          <w:rFonts w:asciiTheme="minorHAnsi" w:hAnsiTheme="minorHAnsi" w:cstheme="minorHAnsi"/>
          <w:lang w:val="en-GB"/>
        </w:rPr>
        <w:t xml:space="preserve">. </w:t>
      </w:r>
      <w:r w:rsidR="005E42FB">
        <w:rPr>
          <w:rFonts w:asciiTheme="minorHAnsi" w:hAnsiTheme="minorHAnsi" w:cstheme="minorHAnsi"/>
          <w:lang w:val="en-GB"/>
        </w:rPr>
        <w:t>F</w:t>
      </w:r>
      <w:r w:rsidR="006350B0">
        <w:rPr>
          <w:rFonts w:asciiTheme="minorHAnsi" w:hAnsiTheme="minorHAnsi" w:cstheme="minorHAnsi"/>
          <w:lang w:val="en-GB"/>
        </w:rPr>
        <w:t>ocused comparisons of specific reactions to terrorist attacks have</w:t>
      </w:r>
      <w:r w:rsidR="00674929">
        <w:rPr>
          <w:rFonts w:asciiTheme="minorHAnsi" w:hAnsiTheme="minorHAnsi" w:cstheme="minorHAnsi"/>
          <w:lang w:val="en-GB"/>
        </w:rPr>
        <w:t xml:space="preserve"> </w:t>
      </w:r>
      <w:r w:rsidR="00674929">
        <w:rPr>
          <w:rFonts w:asciiTheme="minorHAnsi" w:hAnsiTheme="minorHAnsi" w:cstheme="minorHAnsi"/>
          <w:lang w:val="en-GB"/>
        </w:rPr>
        <w:lastRenderedPageBreak/>
        <w:t>moreover</w:t>
      </w:r>
      <w:r w:rsidR="006350B0">
        <w:rPr>
          <w:rFonts w:asciiTheme="minorHAnsi" w:hAnsiTheme="minorHAnsi" w:cstheme="minorHAnsi"/>
          <w:lang w:val="en-GB"/>
        </w:rPr>
        <w:t xml:space="preserve"> emphasised how such events actually </w:t>
      </w:r>
      <w:r w:rsidR="003D6E53">
        <w:rPr>
          <w:rFonts w:asciiTheme="minorHAnsi" w:hAnsiTheme="minorHAnsi" w:cstheme="minorHAnsi"/>
          <w:lang w:val="en-GB"/>
        </w:rPr>
        <w:t>deepen</w:t>
      </w:r>
      <w:r w:rsidR="006350B0">
        <w:rPr>
          <w:rFonts w:asciiTheme="minorHAnsi" w:hAnsiTheme="minorHAnsi" w:cstheme="minorHAnsi"/>
          <w:lang w:val="en-GB"/>
        </w:rPr>
        <w:t xml:space="preserve"> differences rather than harmo</w:t>
      </w:r>
      <w:r w:rsidR="00FA5D53">
        <w:rPr>
          <w:rFonts w:asciiTheme="minorHAnsi" w:hAnsiTheme="minorHAnsi" w:cstheme="minorHAnsi"/>
          <w:lang w:val="en-GB"/>
        </w:rPr>
        <w:t>nise</w:t>
      </w:r>
      <w:r w:rsidR="003D6E53">
        <w:rPr>
          <w:rFonts w:asciiTheme="minorHAnsi" w:hAnsiTheme="minorHAnsi" w:cstheme="minorHAnsi"/>
          <w:lang w:val="en-GB"/>
        </w:rPr>
        <w:t xml:space="preserve"> counter-terror approaches. </w:t>
      </w:r>
    </w:p>
    <w:p w14:paraId="322CBF66" w14:textId="77777777" w:rsidR="00C85701" w:rsidRDefault="00C85701" w:rsidP="00A947ED">
      <w:pPr>
        <w:rPr>
          <w:rFonts w:asciiTheme="minorHAnsi" w:hAnsiTheme="minorHAnsi" w:cstheme="minorHAnsi"/>
          <w:lang w:val="en-GB"/>
        </w:rPr>
      </w:pPr>
    </w:p>
    <w:p w14:paraId="09E6476B" w14:textId="5156F777" w:rsidR="00E65C32" w:rsidRDefault="0070755E" w:rsidP="00A947ED">
      <w:pPr>
        <w:rPr>
          <w:rFonts w:asciiTheme="minorHAnsi" w:hAnsiTheme="minorHAnsi" w:cstheme="minorHAnsi"/>
          <w:lang w:val="en-GB"/>
        </w:rPr>
      </w:pPr>
      <w:r>
        <w:rPr>
          <w:rFonts w:asciiTheme="minorHAnsi" w:hAnsiTheme="minorHAnsi" w:cstheme="minorHAnsi"/>
          <w:lang w:val="en-GB"/>
        </w:rPr>
        <w:t>To see these national strategies in action, consider</w:t>
      </w:r>
      <w:r w:rsidR="003D6E53">
        <w:rPr>
          <w:rFonts w:asciiTheme="minorHAnsi" w:hAnsiTheme="minorHAnsi" w:cstheme="minorHAnsi"/>
          <w:lang w:val="en-GB"/>
        </w:rPr>
        <w:t xml:space="preserve"> the 2015 attacks</w:t>
      </w:r>
      <w:r w:rsidR="004F5EA6">
        <w:rPr>
          <w:rFonts w:asciiTheme="minorHAnsi" w:hAnsiTheme="minorHAnsi" w:cstheme="minorHAnsi"/>
          <w:lang w:val="en-GB"/>
        </w:rPr>
        <w:t xml:space="preserve"> (Charlie Hebdo and the Jewish supermarket attacks </w:t>
      </w:r>
      <w:r w:rsidR="00B12C3A">
        <w:rPr>
          <w:rFonts w:asciiTheme="minorHAnsi" w:hAnsiTheme="minorHAnsi" w:cstheme="minorHAnsi"/>
          <w:lang w:val="en-GB"/>
        </w:rPr>
        <w:t>in January, and the Paris</w:t>
      </w:r>
      <w:r w:rsidR="004F5EA6">
        <w:rPr>
          <w:rFonts w:asciiTheme="minorHAnsi" w:hAnsiTheme="minorHAnsi" w:cstheme="minorHAnsi"/>
          <w:lang w:val="en-GB"/>
        </w:rPr>
        <w:t xml:space="preserve"> attacks in November) </w:t>
      </w:r>
      <w:r w:rsidR="003D6E53">
        <w:rPr>
          <w:rFonts w:asciiTheme="minorHAnsi" w:hAnsiTheme="minorHAnsi" w:cstheme="minorHAnsi"/>
          <w:lang w:val="en-GB"/>
        </w:rPr>
        <w:t>in France and the 2016 Berlin Christmas market attack</w:t>
      </w:r>
      <w:r>
        <w:rPr>
          <w:rFonts w:asciiTheme="minorHAnsi" w:hAnsiTheme="minorHAnsi" w:cstheme="minorHAnsi"/>
          <w:lang w:val="en-GB"/>
        </w:rPr>
        <w:t>.</w:t>
      </w:r>
      <w:r w:rsidR="003D6E53">
        <w:rPr>
          <w:rFonts w:asciiTheme="minorHAnsi" w:hAnsiTheme="minorHAnsi" w:cstheme="minorHAnsi"/>
          <w:lang w:val="en-GB"/>
        </w:rPr>
        <w:t xml:space="preserve"> France and Germany displayed remarkably different responses</w:t>
      </w:r>
      <w:r w:rsidR="005153F1">
        <w:rPr>
          <w:rFonts w:asciiTheme="minorHAnsi" w:hAnsiTheme="minorHAnsi" w:cstheme="minorHAnsi"/>
          <w:lang w:val="en-GB"/>
        </w:rPr>
        <w:t xml:space="preserve"> across public discourse, political framing and </w:t>
      </w:r>
      <w:r w:rsidR="004F5EA6">
        <w:rPr>
          <w:rFonts w:asciiTheme="minorHAnsi" w:hAnsiTheme="minorHAnsi" w:cstheme="minorHAnsi"/>
          <w:lang w:val="en-GB"/>
        </w:rPr>
        <w:t xml:space="preserve">security </w:t>
      </w:r>
      <w:r w:rsidR="005153F1">
        <w:rPr>
          <w:rFonts w:asciiTheme="minorHAnsi" w:hAnsiTheme="minorHAnsi" w:cstheme="minorHAnsi"/>
          <w:lang w:val="en-GB"/>
        </w:rPr>
        <w:t>response mechanisms</w:t>
      </w:r>
      <w:r w:rsidR="003D6E53">
        <w:rPr>
          <w:rFonts w:asciiTheme="minorHAnsi" w:hAnsiTheme="minorHAnsi" w:cstheme="minorHAnsi"/>
          <w:lang w:val="en-GB"/>
        </w:rPr>
        <w:t xml:space="preserve"> (Samaan and J</w:t>
      </w:r>
      <w:r w:rsidR="00320659">
        <w:rPr>
          <w:rFonts w:asciiTheme="minorHAnsi" w:hAnsiTheme="minorHAnsi" w:cstheme="minorHAnsi"/>
          <w:lang w:val="en-GB"/>
        </w:rPr>
        <w:t>acobs 2020</w:t>
      </w:r>
      <w:r w:rsidR="003D6E53">
        <w:rPr>
          <w:rFonts w:asciiTheme="minorHAnsi" w:hAnsiTheme="minorHAnsi" w:cstheme="minorHAnsi"/>
          <w:lang w:val="en-GB"/>
        </w:rPr>
        <w:t>)</w:t>
      </w:r>
      <w:r w:rsidR="005153F1">
        <w:rPr>
          <w:rFonts w:asciiTheme="minorHAnsi" w:hAnsiTheme="minorHAnsi" w:cstheme="minorHAnsi"/>
          <w:lang w:val="en-GB"/>
        </w:rPr>
        <w:t>. Notably, whereas France depl</w:t>
      </w:r>
      <w:r w:rsidR="004F5EA6">
        <w:rPr>
          <w:rFonts w:asciiTheme="minorHAnsi" w:hAnsiTheme="minorHAnsi" w:cstheme="minorHAnsi"/>
          <w:lang w:val="en-GB"/>
        </w:rPr>
        <w:t>oyed the armed forces and issued</w:t>
      </w:r>
      <w:r w:rsidR="005153F1">
        <w:rPr>
          <w:rFonts w:asciiTheme="minorHAnsi" w:hAnsiTheme="minorHAnsi" w:cstheme="minorHAnsi"/>
          <w:lang w:val="en-GB"/>
        </w:rPr>
        <w:t xml:space="preserve"> a state of emergency in the wake of the first wave of attacks, </w:t>
      </w:r>
      <w:r>
        <w:rPr>
          <w:rFonts w:asciiTheme="minorHAnsi" w:hAnsiTheme="minorHAnsi" w:cstheme="minorHAnsi"/>
          <w:lang w:val="en-GB"/>
        </w:rPr>
        <w:t>Germany resorted to a regulatory approach where strengthened police and intelligence capacities took centre stage (</w:t>
      </w:r>
      <w:r w:rsidR="00A82532">
        <w:rPr>
          <w:rFonts w:asciiTheme="minorHAnsi" w:hAnsiTheme="minorHAnsi" w:cstheme="minorHAnsi"/>
          <w:lang w:val="en-GB"/>
        </w:rPr>
        <w:t>Samaan and Jacobs</w:t>
      </w:r>
      <w:r w:rsidR="00A82532">
        <w:rPr>
          <w:rFonts w:asciiTheme="minorHAnsi" w:hAnsiTheme="minorHAnsi" w:cstheme="minorHAnsi"/>
          <w:lang w:val="en-GB"/>
        </w:rPr>
        <w:t xml:space="preserve"> 2020:</w:t>
      </w:r>
      <w:r w:rsidR="00E65C32">
        <w:rPr>
          <w:rFonts w:asciiTheme="minorHAnsi" w:hAnsiTheme="minorHAnsi" w:cstheme="minorHAnsi"/>
          <w:lang w:val="en-GB"/>
        </w:rPr>
        <w:t xml:space="preserve"> 407-408). This was partly due to t</w:t>
      </w:r>
      <w:r w:rsidR="005153F1">
        <w:rPr>
          <w:rFonts w:asciiTheme="minorHAnsi" w:hAnsiTheme="minorHAnsi" w:cstheme="minorHAnsi"/>
          <w:lang w:val="en-GB"/>
        </w:rPr>
        <w:t>he G</w:t>
      </w:r>
      <w:r w:rsidR="00674929">
        <w:rPr>
          <w:rFonts w:asciiTheme="minorHAnsi" w:hAnsiTheme="minorHAnsi" w:cstheme="minorHAnsi"/>
          <w:lang w:val="en-GB"/>
        </w:rPr>
        <w:t>erman C</w:t>
      </w:r>
      <w:r w:rsidR="005153F1">
        <w:rPr>
          <w:rFonts w:asciiTheme="minorHAnsi" w:hAnsiTheme="minorHAnsi" w:cstheme="minorHAnsi"/>
          <w:lang w:val="en-GB"/>
        </w:rPr>
        <w:t>ons</w:t>
      </w:r>
      <w:r w:rsidR="00E65C32">
        <w:rPr>
          <w:rFonts w:asciiTheme="minorHAnsi" w:hAnsiTheme="minorHAnsi" w:cstheme="minorHAnsi"/>
          <w:lang w:val="en-GB"/>
        </w:rPr>
        <w:t>titution prohibiting</w:t>
      </w:r>
      <w:r w:rsidR="005153F1">
        <w:rPr>
          <w:rFonts w:asciiTheme="minorHAnsi" w:hAnsiTheme="minorHAnsi" w:cstheme="minorHAnsi"/>
          <w:lang w:val="en-GB"/>
        </w:rPr>
        <w:t xml:space="preserve"> the use of </w:t>
      </w:r>
      <w:r w:rsidR="00930DBD">
        <w:rPr>
          <w:rFonts w:asciiTheme="minorHAnsi" w:hAnsiTheme="minorHAnsi" w:cstheme="minorHAnsi"/>
          <w:lang w:val="en-GB"/>
        </w:rPr>
        <w:t>the armed forces for such a purpose</w:t>
      </w:r>
      <w:r>
        <w:rPr>
          <w:rFonts w:asciiTheme="minorHAnsi" w:hAnsiTheme="minorHAnsi" w:cstheme="minorHAnsi"/>
          <w:lang w:val="en-GB"/>
        </w:rPr>
        <w:t xml:space="preserve">. </w:t>
      </w:r>
    </w:p>
    <w:p w14:paraId="17A619F3" w14:textId="77777777" w:rsidR="00E65C32" w:rsidRDefault="00E65C32" w:rsidP="00A947ED">
      <w:pPr>
        <w:rPr>
          <w:rFonts w:asciiTheme="minorHAnsi" w:hAnsiTheme="minorHAnsi" w:cstheme="minorHAnsi"/>
          <w:lang w:val="en-GB"/>
        </w:rPr>
      </w:pPr>
    </w:p>
    <w:p w14:paraId="47042BA8" w14:textId="05735478" w:rsidR="00F034F9" w:rsidRDefault="00E65C32" w:rsidP="00A947ED">
      <w:pPr>
        <w:rPr>
          <w:rFonts w:asciiTheme="minorHAnsi" w:hAnsiTheme="minorHAnsi" w:cstheme="minorHAnsi"/>
          <w:lang w:val="en-GB"/>
        </w:rPr>
      </w:pPr>
      <w:r>
        <w:rPr>
          <w:rFonts w:asciiTheme="minorHAnsi" w:hAnsiTheme="minorHAnsi" w:cstheme="minorHAnsi"/>
          <w:lang w:val="en-GB"/>
        </w:rPr>
        <w:t>We can also</w:t>
      </w:r>
      <w:r w:rsidR="00DC040C">
        <w:rPr>
          <w:rFonts w:asciiTheme="minorHAnsi" w:hAnsiTheme="minorHAnsi" w:cstheme="minorHAnsi"/>
          <w:lang w:val="en-GB"/>
        </w:rPr>
        <w:t xml:space="preserve"> detect a difference</w:t>
      </w:r>
      <w:r w:rsidR="0070755E">
        <w:rPr>
          <w:rFonts w:asciiTheme="minorHAnsi" w:hAnsiTheme="minorHAnsi" w:cstheme="minorHAnsi"/>
          <w:lang w:val="en-GB"/>
        </w:rPr>
        <w:t xml:space="preserve"> in how politi</w:t>
      </w:r>
      <w:r w:rsidR="00DD04F6">
        <w:rPr>
          <w:rFonts w:asciiTheme="minorHAnsi" w:hAnsiTheme="minorHAnsi" w:cstheme="minorHAnsi"/>
          <w:lang w:val="en-GB"/>
        </w:rPr>
        <w:t>cians and decision-makers frame</w:t>
      </w:r>
      <w:r w:rsidR="0070755E">
        <w:rPr>
          <w:rFonts w:asciiTheme="minorHAnsi" w:hAnsiTheme="minorHAnsi" w:cstheme="minorHAnsi"/>
          <w:lang w:val="en-GB"/>
        </w:rPr>
        <w:t xml:space="preserve"> the problems met.</w:t>
      </w:r>
      <w:r>
        <w:rPr>
          <w:rFonts w:asciiTheme="minorHAnsi" w:hAnsiTheme="minorHAnsi" w:cstheme="minorHAnsi"/>
          <w:lang w:val="en-GB"/>
        </w:rPr>
        <w:t xml:space="preserve"> </w:t>
      </w:r>
      <w:r w:rsidR="00DC040C">
        <w:rPr>
          <w:rFonts w:asciiTheme="minorHAnsi" w:hAnsiTheme="minorHAnsi" w:cstheme="minorHAnsi"/>
          <w:lang w:val="en-GB"/>
        </w:rPr>
        <w:t>France identified the</w:t>
      </w:r>
      <w:r w:rsidR="00DD04F6">
        <w:rPr>
          <w:rFonts w:asciiTheme="minorHAnsi" w:hAnsiTheme="minorHAnsi" w:cstheme="minorHAnsi"/>
          <w:lang w:val="en-GB"/>
        </w:rPr>
        <w:t xml:space="preserve"> 2015</w:t>
      </w:r>
      <w:r w:rsidR="00DC040C">
        <w:rPr>
          <w:rFonts w:asciiTheme="minorHAnsi" w:hAnsiTheme="minorHAnsi" w:cstheme="minorHAnsi"/>
          <w:lang w:val="en-GB"/>
        </w:rPr>
        <w:t xml:space="preserve"> attacks </w:t>
      </w:r>
      <w:r w:rsidR="00FA5D53">
        <w:rPr>
          <w:rFonts w:asciiTheme="minorHAnsi" w:hAnsiTheme="minorHAnsi" w:cstheme="minorHAnsi"/>
          <w:lang w:val="en-GB"/>
        </w:rPr>
        <w:t>as</w:t>
      </w:r>
      <w:r w:rsidR="00DC040C">
        <w:rPr>
          <w:rFonts w:asciiTheme="minorHAnsi" w:hAnsiTheme="minorHAnsi" w:cstheme="minorHAnsi"/>
          <w:lang w:val="en-GB"/>
        </w:rPr>
        <w:t xml:space="preserve"> threat</w:t>
      </w:r>
      <w:r w:rsidR="00FA5D53">
        <w:rPr>
          <w:rFonts w:asciiTheme="minorHAnsi" w:hAnsiTheme="minorHAnsi" w:cstheme="minorHAnsi"/>
          <w:lang w:val="en-GB"/>
        </w:rPr>
        <w:t>s</w:t>
      </w:r>
      <w:r w:rsidR="00DC040C">
        <w:rPr>
          <w:rFonts w:asciiTheme="minorHAnsi" w:hAnsiTheme="minorHAnsi" w:cstheme="minorHAnsi"/>
          <w:lang w:val="en-GB"/>
        </w:rPr>
        <w:t xml:space="preserve"> to its very existence, and public intellectuals </w:t>
      </w:r>
      <w:r>
        <w:rPr>
          <w:rFonts w:asciiTheme="minorHAnsi" w:hAnsiTheme="minorHAnsi" w:cstheme="minorHAnsi"/>
          <w:lang w:val="en-GB"/>
        </w:rPr>
        <w:t>concerned with</w:t>
      </w:r>
      <w:r w:rsidR="00DC040C">
        <w:rPr>
          <w:rFonts w:asciiTheme="minorHAnsi" w:hAnsiTheme="minorHAnsi" w:cstheme="minorHAnsi"/>
          <w:lang w:val="en-GB"/>
        </w:rPr>
        <w:t xml:space="preserve"> Jihadism and Islam in Society were influential in </w:t>
      </w:r>
      <w:r w:rsidR="00DD04F6">
        <w:rPr>
          <w:rFonts w:asciiTheme="minorHAnsi" w:hAnsiTheme="minorHAnsi" w:cstheme="minorHAnsi"/>
          <w:lang w:val="en-GB"/>
        </w:rPr>
        <w:t>this framing</w:t>
      </w:r>
      <w:r w:rsidR="00DC040C">
        <w:rPr>
          <w:rFonts w:asciiTheme="minorHAnsi" w:hAnsiTheme="minorHAnsi" w:cstheme="minorHAnsi"/>
          <w:lang w:val="en-GB"/>
        </w:rPr>
        <w:t xml:space="preserve">. In addition, anchoring the issue in a global struggle allowed the identification of sources of radicalization </w:t>
      </w:r>
      <w:r w:rsidR="00674929">
        <w:rPr>
          <w:rFonts w:asciiTheme="minorHAnsi" w:hAnsiTheme="minorHAnsi" w:cstheme="minorHAnsi"/>
          <w:lang w:val="en-GB"/>
        </w:rPr>
        <w:t>as</w:t>
      </w:r>
      <w:r w:rsidR="00DC040C">
        <w:rPr>
          <w:rFonts w:asciiTheme="minorHAnsi" w:hAnsiTheme="minorHAnsi" w:cstheme="minorHAnsi"/>
          <w:lang w:val="en-GB"/>
        </w:rPr>
        <w:t xml:space="preserve"> located beyond French borders</w:t>
      </w:r>
      <w:r w:rsidR="0070755E">
        <w:rPr>
          <w:rFonts w:asciiTheme="minorHAnsi" w:hAnsiTheme="minorHAnsi" w:cstheme="minorHAnsi"/>
          <w:lang w:val="en-GB"/>
        </w:rPr>
        <w:t xml:space="preserve">. This </w:t>
      </w:r>
      <w:r w:rsidR="00DC040C">
        <w:rPr>
          <w:rFonts w:asciiTheme="minorHAnsi" w:hAnsiTheme="minorHAnsi" w:cstheme="minorHAnsi"/>
          <w:lang w:val="en-GB"/>
        </w:rPr>
        <w:t xml:space="preserve">legitimised French involvement in counter-terror operation in </w:t>
      </w:r>
      <w:r w:rsidR="00674929">
        <w:rPr>
          <w:rFonts w:asciiTheme="minorHAnsi" w:hAnsiTheme="minorHAnsi" w:cstheme="minorHAnsi"/>
          <w:lang w:val="en-GB"/>
        </w:rPr>
        <w:t>the Middle East and the Sahel</w:t>
      </w:r>
      <w:r w:rsidR="00DC040C">
        <w:rPr>
          <w:rFonts w:asciiTheme="minorHAnsi" w:hAnsiTheme="minorHAnsi" w:cstheme="minorHAnsi"/>
          <w:lang w:val="en-GB"/>
        </w:rPr>
        <w:t>. In Germany,</w:t>
      </w:r>
      <w:r w:rsidR="0070755E">
        <w:rPr>
          <w:rFonts w:asciiTheme="minorHAnsi" w:hAnsiTheme="minorHAnsi" w:cstheme="minorHAnsi"/>
          <w:lang w:val="en-GB"/>
        </w:rPr>
        <w:t xml:space="preserve"> </w:t>
      </w:r>
      <w:r w:rsidR="00674929">
        <w:rPr>
          <w:rFonts w:asciiTheme="minorHAnsi" w:hAnsiTheme="minorHAnsi" w:cstheme="minorHAnsi"/>
          <w:lang w:val="en-GB"/>
        </w:rPr>
        <w:t>the contrary</w:t>
      </w:r>
      <w:r w:rsidR="0070755E">
        <w:rPr>
          <w:rFonts w:asciiTheme="minorHAnsi" w:hAnsiTheme="minorHAnsi" w:cstheme="minorHAnsi"/>
          <w:lang w:val="en-GB"/>
        </w:rPr>
        <w:t xml:space="preserve"> reaction took place. T</w:t>
      </w:r>
      <w:r w:rsidR="00DC040C">
        <w:rPr>
          <w:rFonts w:asciiTheme="minorHAnsi" w:hAnsiTheme="minorHAnsi" w:cstheme="minorHAnsi"/>
          <w:lang w:val="en-GB"/>
        </w:rPr>
        <w:t xml:space="preserve">he </w:t>
      </w:r>
      <w:r w:rsidR="00FA5D53">
        <w:rPr>
          <w:rFonts w:asciiTheme="minorHAnsi" w:hAnsiTheme="minorHAnsi" w:cstheme="minorHAnsi"/>
          <w:lang w:val="en-GB"/>
        </w:rPr>
        <w:t xml:space="preserve">Berlin Christmas market </w:t>
      </w:r>
      <w:r w:rsidR="00DC040C">
        <w:rPr>
          <w:rFonts w:asciiTheme="minorHAnsi" w:hAnsiTheme="minorHAnsi" w:cstheme="minorHAnsi"/>
          <w:lang w:val="en-GB"/>
        </w:rPr>
        <w:t>attack and related smaller terror incidents were perpetrated by immigrants</w:t>
      </w:r>
      <w:r w:rsidR="0070755E">
        <w:rPr>
          <w:rFonts w:asciiTheme="minorHAnsi" w:hAnsiTheme="minorHAnsi" w:cstheme="minorHAnsi"/>
          <w:lang w:val="en-GB"/>
        </w:rPr>
        <w:t>.</w:t>
      </w:r>
      <w:r w:rsidR="00F5048A">
        <w:rPr>
          <w:rFonts w:asciiTheme="minorHAnsi" w:hAnsiTheme="minorHAnsi" w:cstheme="minorHAnsi"/>
          <w:lang w:val="en-GB"/>
        </w:rPr>
        <w:t xml:space="preserve"> Coupled with a</w:t>
      </w:r>
      <w:r w:rsidR="00DC040C">
        <w:rPr>
          <w:rFonts w:asciiTheme="minorHAnsi" w:hAnsiTheme="minorHAnsi" w:cstheme="minorHAnsi"/>
          <w:lang w:val="en-GB"/>
        </w:rPr>
        <w:t xml:space="preserve"> general lack of awareness of the role of global Jihad, </w:t>
      </w:r>
      <w:r w:rsidR="00F5048A">
        <w:rPr>
          <w:rFonts w:asciiTheme="minorHAnsi" w:hAnsiTheme="minorHAnsi" w:cstheme="minorHAnsi"/>
          <w:lang w:val="en-GB"/>
        </w:rPr>
        <w:t xml:space="preserve">this </w:t>
      </w:r>
      <w:r w:rsidR="00DC040C">
        <w:rPr>
          <w:rFonts w:asciiTheme="minorHAnsi" w:hAnsiTheme="minorHAnsi" w:cstheme="minorHAnsi"/>
          <w:lang w:val="en-GB"/>
        </w:rPr>
        <w:t>led to a legal and domestic framing of the issue</w:t>
      </w:r>
      <w:r w:rsidR="00F5048A">
        <w:rPr>
          <w:rFonts w:asciiTheme="minorHAnsi" w:hAnsiTheme="minorHAnsi" w:cstheme="minorHAnsi"/>
          <w:lang w:val="en-GB"/>
        </w:rPr>
        <w:t>,</w:t>
      </w:r>
      <w:r w:rsidR="00674929">
        <w:rPr>
          <w:rFonts w:asciiTheme="minorHAnsi" w:hAnsiTheme="minorHAnsi" w:cstheme="minorHAnsi"/>
          <w:lang w:val="en-GB"/>
        </w:rPr>
        <w:t xml:space="preserve"> link</w:t>
      </w:r>
      <w:r w:rsidR="00F5048A">
        <w:rPr>
          <w:rFonts w:asciiTheme="minorHAnsi" w:hAnsiTheme="minorHAnsi" w:cstheme="minorHAnsi"/>
          <w:lang w:val="en-GB"/>
        </w:rPr>
        <w:t>ing it</w:t>
      </w:r>
      <w:r w:rsidR="00674929">
        <w:rPr>
          <w:rFonts w:asciiTheme="minorHAnsi" w:hAnsiTheme="minorHAnsi" w:cstheme="minorHAnsi"/>
          <w:lang w:val="en-GB"/>
        </w:rPr>
        <w:t xml:space="preserve"> to social challenges of migration rather than a global and existential dimension</w:t>
      </w:r>
      <w:r w:rsidR="00DC040C">
        <w:rPr>
          <w:rFonts w:asciiTheme="minorHAnsi" w:hAnsiTheme="minorHAnsi" w:cstheme="minorHAnsi"/>
          <w:lang w:val="en-GB"/>
        </w:rPr>
        <w:t xml:space="preserve">. These differences, the study finds, </w:t>
      </w:r>
      <w:r w:rsidR="00705B8E">
        <w:rPr>
          <w:rFonts w:asciiTheme="minorHAnsi" w:hAnsiTheme="minorHAnsi" w:cstheme="minorHAnsi"/>
          <w:lang w:val="en-GB"/>
        </w:rPr>
        <w:t xml:space="preserve">are likely to provide obstacles and </w:t>
      </w:r>
      <w:r w:rsidR="009A1922">
        <w:rPr>
          <w:rFonts w:asciiTheme="minorHAnsi" w:hAnsiTheme="minorHAnsi" w:cstheme="minorHAnsi"/>
          <w:lang w:val="en-GB"/>
        </w:rPr>
        <w:t xml:space="preserve">disappointment both at </w:t>
      </w:r>
      <w:r w:rsidR="00F5048A">
        <w:rPr>
          <w:rFonts w:asciiTheme="minorHAnsi" w:hAnsiTheme="minorHAnsi" w:cstheme="minorHAnsi"/>
          <w:lang w:val="en-GB"/>
        </w:rPr>
        <w:t xml:space="preserve">the </w:t>
      </w:r>
      <w:r w:rsidR="009A1922">
        <w:rPr>
          <w:rFonts w:asciiTheme="minorHAnsi" w:hAnsiTheme="minorHAnsi" w:cstheme="minorHAnsi"/>
          <w:lang w:val="en-GB"/>
        </w:rPr>
        <w:t>European-</w:t>
      </w:r>
      <w:r w:rsidR="00705B8E">
        <w:rPr>
          <w:rFonts w:asciiTheme="minorHAnsi" w:hAnsiTheme="minorHAnsi" w:cstheme="minorHAnsi"/>
          <w:lang w:val="en-GB"/>
        </w:rPr>
        <w:t xml:space="preserve"> </w:t>
      </w:r>
      <w:r w:rsidR="00FA5D53">
        <w:rPr>
          <w:rFonts w:asciiTheme="minorHAnsi" w:hAnsiTheme="minorHAnsi" w:cstheme="minorHAnsi"/>
          <w:lang w:val="en-GB"/>
        </w:rPr>
        <w:t>and bilateral</w:t>
      </w:r>
      <w:r w:rsidR="009A1922">
        <w:rPr>
          <w:rFonts w:asciiTheme="minorHAnsi" w:hAnsiTheme="minorHAnsi" w:cstheme="minorHAnsi"/>
          <w:lang w:val="en-GB"/>
        </w:rPr>
        <w:t>-level</w:t>
      </w:r>
      <w:r w:rsidR="00FA5D53">
        <w:rPr>
          <w:rFonts w:asciiTheme="minorHAnsi" w:hAnsiTheme="minorHAnsi" w:cstheme="minorHAnsi"/>
          <w:lang w:val="en-GB"/>
        </w:rPr>
        <w:t xml:space="preserve"> </w:t>
      </w:r>
      <w:r w:rsidR="00705B8E">
        <w:rPr>
          <w:rFonts w:asciiTheme="minorHAnsi" w:hAnsiTheme="minorHAnsi" w:cstheme="minorHAnsi"/>
          <w:lang w:val="en-GB"/>
        </w:rPr>
        <w:t>coo</w:t>
      </w:r>
      <w:r w:rsidR="00F77095">
        <w:rPr>
          <w:rFonts w:asciiTheme="minorHAnsi" w:hAnsiTheme="minorHAnsi" w:cstheme="minorHAnsi"/>
          <w:lang w:val="en-GB"/>
        </w:rPr>
        <w:t xml:space="preserve">peration on </w:t>
      </w:r>
      <w:proofErr w:type="gramStart"/>
      <w:r w:rsidR="00F77095">
        <w:rPr>
          <w:rFonts w:asciiTheme="minorHAnsi" w:hAnsiTheme="minorHAnsi" w:cstheme="minorHAnsi"/>
          <w:lang w:val="en-GB"/>
        </w:rPr>
        <w:t>counter-terrorism</w:t>
      </w:r>
      <w:proofErr w:type="gramEnd"/>
      <w:r w:rsidR="00F77095">
        <w:rPr>
          <w:rFonts w:asciiTheme="minorHAnsi" w:hAnsiTheme="minorHAnsi" w:cstheme="minorHAnsi"/>
          <w:lang w:val="en-GB"/>
        </w:rPr>
        <w:t xml:space="preserve"> (Samaan and Jacobs 2020</w:t>
      </w:r>
      <w:r w:rsidR="00705B8E">
        <w:rPr>
          <w:rFonts w:asciiTheme="minorHAnsi" w:hAnsiTheme="minorHAnsi" w:cstheme="minorHAnsi"/>
          <w:lang w:val="en-GB"/>
        </w:rPr>
        <w:t xml:space="preserve">). </w:t>
      </w:r>
      <w:r w:rsidR="00732650">
        <w:rPr>
          <w:rFonts w:asciiTheme="minorHAnsi" w:hAnsiTheme="minorHAnsi" w:cstheme="minorHAnsi"/>
          <w:lang w:val="en-GB"/>
        </w:rPr>
        <w:t xml:space="preserve">This is supported by the divisive issue of linking terrorism in Europe to Islam, which saw renewed debate in the wake of the </w:t>
      </w:r>
      <w:r w:rsidR="00232123">
        <w:rPr>
          <w:rFonts w:asciiTheme="minorHAnsi" w:hAnsiTheme="minorHAnsi" w:cstheme="minorHAnsi"/>
          <w:lang w:val="en-GB"/>
        </w:rPr>
        <w:t xml:space="preserve">deadly </w:t>
      </w:r>
      <w:r w:rsidR="00732650">
        <w:rPr>
          <w:rFonts w:asciiTheme="minorHAnsi" w:hAnsiTheme="minorHAnsi" w:cstheme="minorHAnsi"/>
          <w:lang w:val="en-GB"/>
        </w:rPr>
        <w:t>2020 attacks in Paris, Nice and Vienna. Several governments including the Netherlands, Sweden, Spain, Italy and Luxembourg</w:t>
      </w:r>
      <w:r w:rsidR="00232123">
        <w:rPr>
          <w:rFonts w:asciiTheme="minorHAnsi" w:hAnsiTheme="minorHAnsi" w:cstheme="minorHAnsi"/>
          <w:lang w:val="en-GB"/>
        </w:rPr>
        <w:t xml:space="preserve"> were seen to oppose</w:t>
      </w:r>
      <w:r w:rsidR="00732650">
        <w:rPr>
          <w:rFonts w:asciiTheme="minorHAnsi" w:hAnsiTheme="minorHAnsi" w:cstheme="minorHAnsi"/>
          <w:lang w:val="en-GB"/>
        </w:rPr>
        <w:t xml:space="preserve"> an EU Council Common position, backed by France, Germany and Austria, that would have linked counter-terror policy directly with migration, including a proposed EU Imam training centre (Financial Times 2020). </w:t>
      </w:r>
    </w:p>
    <w:p w14:paraId="472C6462" w14:textId="53F2EE5D" w:rsidR="003C7472" w:rsidRDefault="003C7472" w:rsidP="00A947ED">
      <w:pPr>
        <w:rPr>
          <w:rFonts w:asciiTheme="minorHAnsi" w:hAnsiTheme="minorHAnsi" w:cstheme="minorHAnsi"/>
          <w:lang w:val="en-GB"/>
        </w:rPr>
      </w:pPr>
    </w:p>
    <w:p w14:paraId="7633669E" w14:textId="0D767298" w:rsidR="003F2C28" w:rsidRDefault="00F23683" w:rsidP="00A947ED">
      <w:pPr>
        <w:rPr>
          <w:rFonts w:asciiTheme="minorHAnsi" w:hAnsiTheme="minorHAnsi" w:cstheme="minorHAnsi"/>
          <w:lang w:val="en-GB"/>
        </w:rPr>
      </w:pPr>
      <w:r>
        <w:rPr>
          <w:rFonts w:asciiTheme="minorHAnsi" w:hAnsiTheme="minorHAnsi" w:cstheme="minorHAnsi"/>
          <w:lang w:val="en-GB"/>
        </w:rPr>
        <w:t xml:space="preserve">In addition to different political contexts and national security cultures, </w:t>
      </w:r>
      <w:r w:rsidR="003F2C28">
        <w:rPr>
          <w:rFonts w:asciiTheme="minorHAnsi" w:hAnsiTheme="minorHAnsi" w:cstheme="minorHAnsi"/>
          <w:lang w:val="en-GB"/>
        </w:rPr>
        <w:t>European states</w:t>
      </w:r>
      <w:r w:rsidR="006C7CCF">
        <w:rPr>
          <w:rFonts w:asciiTheme="minorHAnsi" w:hAnsiTheme="minorHAnsi" w:cstheme="minorHAnsi"/>
          <w:lang w:val="en-GB"/>
        </w:rPr>
        <w:t xml:space="preserve"> </w:t>
      </w:r>
      <w:r w:rsidR="003F2C28">
        <w:rPr>
          <w:rFonts w:asciiTheme="minorHAnsi" w:hAnsiTheme="minorHAnsi" w:cstheme="minorHAnsi"/>
          <w:lang w:val="en-GB"/>
        </w:rPr>
        <w:t>have differing laws to deal</w:t>
      </w:r>
      <w:r w:rsidR="003F2C28" w:rsidRPr="000D06D0">
        <w:rPr>
          <w:rFonts w:asciiTheme="minorHAnsi" w:hAnsiTheme="minorHAnsi" w:cstheme="minorHAnsi"/>
          <w:lang w:val="en-GB"/>
        </w:rPr>
        <w:t xml:space="preserve"> </w:t>
      </w:r>
      <w:r w:rsidR="003F2C28">
        <w:rPr>
          <w:rFonts w:asciiTheme="minorHAnsi" w:hAnsiTheme="minorHAnsi" w:cstheme="minorHAnsi"/>
          <w:lang w:val="en-GB"/>
        </w:rPr>
        <w:t xml:space="preserve">with </w:t>
      </w:r>
      <w:r w:rsidR="003F2C28" w:rsidRPr="000D06D0">
        <w:rPr>
          <w:rFonts w:asciiTheme="minorHAnsi" w:hAnsiTheme="minorHAnsi" w:cstheme="minorHAnsi"/>
          <w:lang w:val="en-GB"/>
        </w:rPr>
        <w:t>terrorist offences</w:t>
      </w:r>
      <w:r w:rsidR="00F5048A">
        <w:rPr>
          <w:rFonts w:asciiTheme="minorHAnsi" w:hAnsiTheme="minorHAnsi" w:cstheme="minorHAnsi"/>
          <w:lang w:val="en-GB"/>
        </w:rPr>
        <w:t>. This</w:t>
      </w:r>
      <w:r w:rsidR="003F2C28" w:rsidRPr="000D06D0">
        <w:rPr>
          <w:rFonts w:asciiTheme="minorHAnsi" w:hAnsiTheme="minorHAnsi" w:cstheme="minorHAnsi"/>
          <w:lang w:val="en-GB"/>
        </w:rPr>
        <w:t xml:space="preserve"> makes it difficult to provide a holistic picture of European trends. EU Directive 2017/541</w:t>
      </w:r>
      <w:r w:rsidR="00F5048A">
        <w:rPr>
          <w:rFonts w:asciiTheme="minorHAnsi" w:hAnsiTheme="minorHAnsi" w:cstheme="minorHAnsi"/>
          <w:lang w:val="en-GB"/>
        </w:rPr>
        <w:t xml:space="preserve"> defines</w:t>
      </w:r>
      <w:r w:rsidR="003F2C28" w:rsidRPr="000D06D0">
        <w:rPr>
          <w:rFonts w:asciiTheme="minorHAnsi" w:hAnsiTheme="minorHAnsi" w:cstheme="minorHAnsi"/>
          <w:lang w:val="en-GB"/>
        </w:rPr>
        <w:t xml:space="preserve"> terrorism  as intentional acts that</w:t>
      </w:r>
      <w:r w:rsidR="003F2C28">
        <w:rPr>
          <w:rFonts w:asciiTheme="minorHAnsi" w:hAnsiTheme="minorHAnsi" w:cstheme="minorHAnsi"/>
          <w:lang w:val="en-GB"/>
        </w:rPr>
        <w:t xml:space="preserve"> </w:t>
      </w:r>
      <w:r w:rsidR="003F2C28" w:rsidRPr="00FB5CCD">
        <w:rPr>
          <w:rFonts w:asciiTheme="minorHAnsi" w:hAnsiTheme="minorHAnsi" w:cstheme="minorHAnsi"/>
          <w:lang w:val="en-GB"/>
        </w:rPr>
        <w:t>“seriously intimidate a population, to unduly compel a government or an international organisation to perform or abstain from performing any act, or to seriously destabilise or destroy the fundamental political, constitutional, economic or social structures of a country or an international organ</w:t>
      </w:r>
      <w:r w:rsidR="00BE11CD">
        <w:rPr>
          <w:rFonts w:asciiTheme="minorHAnsi" w:hAnsiTheme="minorHAnsi" w:cstheme="minorHAnsi"/>
          <w:lang w:val="en-GB"/>
        </w:rPr>
        <w:t>isation” (European Council 2017:</w:t>
      </w:r>
      <w:r w:rsidR="003F2C28" w:rsidRPr="00FB5CCD">
        <w:rPr>
          <w:rFonts w:asciiTheme="minorHAnsi" w:hAnsiTheme="minorHAnsi" w:cstheme="minorHAnsi"/>
          <w:lang w:val="en-GB"/>
        </w:rPr>
        <w:t xml:space="preserve"> para. 8).</w:t>
      </w:r>
      <w:r w:rsidR="003F2C28">
        <w:rPr>
          <w:rFonts w:asciiTheme="minorHAnsi" w:hAnsiTheme="minorHAnsi" w:cstheme="minorHAnsi"/>
          <w:lang w:val="en-GB"/>
        </w:rPr>
        <w:t xml:space="preserve"> Yet European states retain the right to flexibility in national legislation within the limits of this definition</w:t>
      </w:r>
      <w:r w:rsidR="00F5048A">
        <w:rPr>
          <w:rFonts w:asciiTheme="minorHAnsi" w:hAnsiTheme="minorHAnsi" w:cstheme="minorHAnsi"/>
          <w:lang w:val="en-GB"/>
        </w:rPr>
        <w:t xml:space="preserve">. This </w:t>
      </w:r>
      <w:r w:rsidR="003F2C28">
        <w:rPr>
          <w:rFonts w:asciiTheme="minorHAnsi" w:hAnsiTheme="minorHAnsi" w:cstheme="minorHAnsi"/>
          <w:lang w:val="en-GB"/>
        </w:rPr>
        <w:t>can</w:t>
      </w:r>
      <w:r w:rsidR="00F5048A">
        <w:rPr>
          <w:rFonts w:asciiTheme="minorHAnsi" w:hAnsiTheme="minorHAnsi" w:cstheme="minorHAnsi"/>
          <w:lang w:val="en-GB"/>
        </w:rPr>
        <w:t xml:space="preserve"> also</w:t>
      </w:r>
      <w:r w:rsidR="003F2C28">
        <w:rPr>
          <w:rFonts w:asciiTheme="minorHAnsi" w:hAnsiTheme="minorHAnsi" w:cstheme="minorHAnsi"/>
          <w:lang w:val="en-GB"/>
        </w:rPr>
        <w:t xml:space="preserve"> be seen also in differences in prosecution across Europe. Germany, for example, prosecutes terrorism only in those cases where the perpetrator is a member of recognised terrorist organisations. This effectively excludes ‘lone wolf’ terrorism</w:t>
      </w:r>
      <w:r w:rsidR="008C27C2">
        <w:rPr>
          <w:rFonts w:asciiTheme="minorHAnsi" w:hAnsiTheme="minorHAnsi" w:cstheme="minorHAnsi"/>
          <w:lang w:val="en-GB"/>
        </w:rPr>
        <w:t xml:space="preserve">, which in other states </w:t>
      </w:r>
      <w:r w:rsidR="003F2C28">
        <w:rPr>
          <w:rFonts w:asciiTheme="minorHAnsi" w:hAnsiTheme="minorHAnsi" w:cstheme="minorHAnsi"/>
          <w:lang w:val="en-GB"/>
        </w:rPr>
        <w:t>can be prosecuted on terrorism charges</w:t>
      </w:r>
      <w:r w:rsidR="00752423">
        <w:rPr>
          <w:rFonts w:asciiTheme="minorHAnsi" w:hAnsiTheme="minorHAnsi" w:cstheme="minorHAnsi"/>
          <w:lang w:val="en-GB"/>
        </w:rPr>
        <w:t xml:space="preserve"> (Europol </w:t>
      </w:r>
      <w:r w:rsidR="00BE11CD">
        <w:rPr>
          <w:rFonts w:asciiTheme="minorHAnsi" w:hAnsiTheme="minorHAnsi" w:cstheme="minorHAnsi"/>
          <w:lang w:val="en-GB"/>
        </w:rPr>
        <w:t xml:space="preserve">2020: </w:t>
      </w:r>
      <w:r w:rsidR="00752423">
        <w:rPr>
          <w:rFonts w:asciiTheme="minorHAnsi" w:hAnsiTheme="minorHAnsi" w:cstheme="minorHAnsi"/>
          <w:lang w:val="en-GB"/>
        </w:rPr>
        <w:t>10)</w:t>
      </w:r>
      <w:r w:rsidR="003F2C28">
        <w:rPr>
          <w:rFonts w:asciiTheme="minorHAnsi" w:hAnsiTheme="minorHAnsi" w:cstheme="minorHAnsi"/>
          <w:lang w:val="en-GB"/>
        </w:rPr>
        <w:t xml:space="preserve">. </w:t>
      </w:r>
    </w:p>
    <w:p w14:paraId="61EB64F5" w14:textId="47DBE636" w:rsidR="0008418C" w:rsidRPr="00155233" w:rsidRDefault="0008418C" w:rsidP="00A947ED">
      <w:pPr>
        <w:rPr>
          <w:rFonts w:asciiTheme="minorHAnsi" w:hAnsiTheme="minorHAnsi" w:cstheme="minorHAnsi"/>
          <w:i/>
          <w:lang w:val="en-GB"/>
        </w:rPr>
      </w:pPr>
    </w:p>
    <w:p w14:paraId="5A1B7CFB" w14:textId="62CE080B" w:rsidR="00155233" w:rsidRPr="00155233" w:rsidRDefault="00155233" w:rsidP="00A947ED">
      <w:pPr>
        <w:rPr>
          <w:rFonts w:asciiTheme="minorHAnsi" w:hAnsiTheme="minorHAnsi" w:cstheme="minorHAnsi"/>
          <w:i/>
          <w:lang w:val="en-GB"/>
        </w:rPr>
      </w:pPr>
      <w:r w:rsidRPr="00155233">
        <w:rPr>
          <w:rFonts w:asciiTheme="minorHAnsi" w:hAnsiTheme="minorHAnsi" w:cstheme="minorHAnsi"/>
          <w:i/>
          <w:lang w:val="en-GB"/>
        </w:rPr>
        <w:t>Organised Crime</w:t>
      </w:r>
    </w:p>
    <w:p w14:paraId="23D48BAE" w14:textId="0FE10F56" w:rsidR="00985395" w:rsidRDefault="00155233" w:rsidP="00A947ED">
      <w:pPr>
        <w:rPr>
          <w:rFonts w:asciiTheme="minorHAnsi" w:hAnsiTheme="minorHAnsi" w:cstheme="minorHAnsi"/>
          <w:lang w:val="en-GB"/>
        </w:rPr>
      </w:pPr>
      <w:r>
        <w:rPr>
          <w:rFonts w:asciiTheme="minorHAnsi" w:hAnsiTheme="minorHAnsi" w:cstheme="minorHAnsi"/>
          <w:lang w:val="en-GB"/>
        </w:rPr>
        <w:lastRenderedPageBreak/>
        <w:t>Organised Crime was largely imported into European securitization discourses</w:t>
      </w:r>
      <w:r w:rsidR="00DE3200">
        <w:rPr>
          <w:rFonts w:asciiTheme="minorHAnsi" w:hAnsiTheme="minorHAnsi" w:cstheme="minorHAnsi"/>
          <w:lang w:val="en-GB"/>
        </w:rPr>
        <w:t xml:space="preserve"> from the United States</w:t>
      </w:r>
      <w:r w:rsidR="00CF5BEC">
        <w:rPr>
          <w:rFonts w:asciiTheme="minorHAnsi" w:hAnsiTheme="minorHAnsi" w:cstheme="minorHAnsi"/>
          <w:lang w:val="en-GB"/>
        </w:rPr>
        <w:t xml:space="preserve"> in the 1980s.</w:t>
      </w:r>
      <w:r>
        <w:rPr>
          <w:rFonts w:asciiTheme="minorHAnsi" w:hAnsiTheme="minorHAnsi" w:cstheme="minorHAnsi"/>
          <w:lang w:val="en-GB"/>
        </w:rPr>
        <w:t xml:space="preserve"> </w:t>
      </w:r>
      <w:r w:rsidR="00CF5BEC">
        <w:rPr>
          <w:rFonts w:asciiTheme="minorHAnsi" w:hAnsiTheme="minorHAnsi" w:cstheme="minorHAnsi"/>
          <w:lang w:val="en-GB"/>
        </w:rPr>
        <w:t>In Europe,</w:t>
      </w:r>
      <w:r>
        <w:rPr>
          <w:rFonts w:asciiTheme="minorHAnsi" w:hAnsiTheme="minorHAnsi" w:cstheme="minorHAnsi"/>
          <w:lang w:val="en-GB"/>
        </w:rPr>
        <w:t xml:space="preserve"> it gradually turned into a vehicle for framing internal security policy and mobilise collective responses according to a European framework (</w:t>
      </w:r>
      <w:proofErr w:type="spellStart"/>
      <w:r>
        <w:rPr>
          <w:rFonts w:asciiTheme="minorHAnsi" w:hAnsiTheme="minorHAnsi" w:cstheme="minorHAnsi"/>
          <w:lang w:val="en-GB"/>
        </w:rPr>
        <w:t>Car</w:t>
      </w:r>
      <w:r w:rsidR="004F5EA6">
        <w:rPr>
          <w:rFonts w:asciiTheme="minorHAnsi" w:hAnsiTheme="minorHAnsi" w:cstheme="minorHAnsi"/>
          <w:lang w:val="en-GB"/>
        </w:rPr>
        <w:t>r</w:t>
      </w:r>
      <w:r>
        <w:rPr>
          <w:rFonts w:asciiTheme="minorHAnsi" w:hAnsiTheme="minorHAnsi" w:cstheme="minorHAnsi"/>
          <w:lang w:val="en-GB"/>
        </w:rPr>
        <w:t>apico</w:t>
      </w:r>
      <w:proofErr w:type="spellEnd"/>
      <w:r>
        <w:rPr>
          <w:rFonts w:asciiTheme="minorHAnsi" w:hAnsiTheme="minorHAnsi" w:cstheme="minorHAnsi"/>
          <w:lang w:val="en-GB"/>
        </w:rPr>
        <w:t xml:space="preserve"> 2014). </w:t>
      </w:r>
      <w:r w:rsidR="00736960">
        <w:rPr>
          <w:rFonts w:asciiTheme="minorHAnsi" w:hAnsiTheme="minorHAnsi" w:cstheme="minorHAnsi"/>
          <w:lang w:val="en-GB"/>
        </w:rPr>
        <w:t>I</w:t>
      </w:r>
      <w:r>
        <w:rPr>
          <w:rFonts w:asciiTheme="minorHAnsi" w:hAnsiTheme="minorHAnsi" w:cstheme="minorHAnsi"/>
          <w:lang w:val="en-GB"/>
        </w:rPr>
        <w:t xml:space="preserve">n the </w:t>
      </w:r>
      <w:r w:rsidR="00736960">
        <w:rPr>
          <w:rFonts w:asciiTheme="minorHAnsi" w:hAnsiTheme="minorHAnsi" w:cstheme="minorHAnsi"/>
          <w:lang w:val="en-GB"/>
        </w:rPr>
        <w:t xml:space="preserve">1980s and </w:t>
      </w:r>
      <w:r>
        <w:rPr>
          <w:rFonts w:asciiTheme="minorHAnsi" w:hAnsiTheme="minorHAnsi" w:cstheme="minorHAnsi"/>
          <w:lang w:val="en-GB"/>
        </w:rPr>
        <w:t>1990s, Italy and Germany became early adopters of securitizing OC</w:t>
      </w:r>
      <w:r w:rsidR="00736960">
        <w:rPr>
          <w:rFonts w:asciiTheme="minorHAnsi" w:hAnsiTheme="minorHAnsi" w:cstheme="minorHAnsi"/>
          <w:lang w:val="en-GB"/>
        </w:rPr>
        <w:t xml:space="preserve">, and </w:t>
      </w:r>
      <w:r w:rsidR="00F5048A">
        <w:rPr>
          <w:rFonts w:asciiTheme="minorHAnsi" w:hAnsiTheme="minorHAnsi" w:cstheme="minorHAnsi"/>
          <w:lang w:val="en-GB"/>
        </w:rPr>
        <w:t xml:space="preserve">the </w:t>
      </w:r>
      <w:r w:rsidR="00736960">
        <w:rPr>
          <w:rFonts w:asciiTheme="minorHAnsi" w:hAnsiTheme="minorHAnsi" w:cstheme="minorHAnsi"/>
          <w:lang w:val="en-GB"/>
        </w:rPr>
        <w:t>protagonists of Europeanisation in the area of Justice and Home Affairs. Germany</w:t>
      </w:r>
      <w:r w:rsidR="00F5048A">
        <w:rPr>
          <w:rFonts w:asciiTheme="minorHAnsi" w:hAnsiTheme="minorHAnsi" w:cstheme="minorHAnsi"/>
          <w:lang w:val="en-GB"/>
        </w:rPr>
        <w:t xml:space="preserve"> was especially </w:t>
      </w:r>
      <w:r w:rsidR="00736960">
        <w:rPr>
          <w:rFonts w:asciiTheme="minorHAnsi" w:hAnsiTheme="minorHAnsi" w:cstheme="minorHAnsi"/>
          <w:lang w:val="en-GB"/>
        </w:rPr>
        <w:t>concern</w:t>
      </w:r>
      <w:r w:rsidR="00F5048A">
        <w:rPr>
          <w:rFonts w:asciiTheme="minorHAnsi" w:hAnsiTheme="minorHAnsi" w:cstheme="minorHAnsi"/>
          <w:lang w:val="en-GB"/>
        </w:rPr>
        <w:t>ed</w:t>
      </w:r>
      <w:r w:rsidR="00736960">
        <w:rPr>
          <w:rFonts w:asciiTheme="minorHAnsi" w:hAnsiTheme="minorHAnsi" w:cstheme="minorHAnsi"/>
          <w:lang w:val="en-GB"/>
        </w:rPr>
        <w:t xml:space="preserve"> with the issue that led to the first mentioning of OC and the setting up of specific European mechanisms to counter OC</w:t>
      </w:r>
      <w:r w:rsidR="004F5EA6">
        <w:rPr>
          <w:rFonts w:asciiTheme="minorHAnsi" w:hAnsiTheme="minorHAnsi" w:cstheme="minorHAnsi"/>
          <w:lang w:val="en-GB"/>
        </w:rPr>
        <w:t xml:space="preserve"> in a Schengen context</w:t>
      </w:r>
      <w:r w:rsidR="00736960">
        <w:rPr>
          <w:rFonts w:asciiTheme="minorHAnsi" w:hAnsiTheme="minorHAnsi" w:cstheme="minorHAnsi"/>
          <w:lang w:val="en-GB"/>
        </w:rPr>
        <w:t xml:space="preserve"> (</w:t>
      </w:r>
      <w:proofErr w:type="spellStart"/>
      <w:r w:rsidR="00736960">
        <w:rPr>
          <w:rFonts w:asciiTheme="minorHAnsi" w:hAnsiTheme="minorHAnsi" w:cstheme="minorHAnsi"/>
          <w:lang w:val="en-GB"/>
        </w:rPr>
        <w:t>Fijnaut</w:t>
      </w:r>
      <w:proofErr w:type="spellEnd"/>
      <w:r w:rsidR="00736960">
        <w:rPr>
          <w:rFonts w:asciiTheme="minorHAnsi" w:hAnsiTheme="minorHAnsi" w:cstheme="minorHAnsi"/>
          <w:lang w:val="en-GB"/>
        </w:rPr>
        <w:t xml:space="preserve"> 1993)</w:t>
      </w:r>
      <w:r w:rsidR="004F5EA6">
        <w:rPr>
          <w:rFonts w:asciiTheme="minorHAnsi" w:hAnsiTheme="minorHAnsi" w:cstheme="minorHAnsi"/>
          <w:lang w:val="en-GB"/>
        </w:rPr>
        <w:t>. T</w:t>
      </w:r>
      <w:r w:rsidR="00DE3200">
        <w:rPr>
          <w:rFonts w:asciiTheme="minorHAnsi" w:hAnsiTheme="minorHAnsi" w:cstheme="minorHAnsi"/>
          <w:lang w:val="en-GB"/>
        </w:rPr>
        <w:t>he killing of Italian judges Giovanni Falcone e Paolo Borsellino</w:t>
      </w:r>
      <w:r w:rsidR="00326082">
        <w:rPr>
          <w:rFonts w:asciiTheme="minorHAnsi" w:hAnsiTheme="minorHAnsi" w:cstheme="minorHAnsi"/>
          <w:lang w:val="en-GB"/>
        </w:rPr>
        <w:t xml:space="preserve"> in 1992</w:t>
      </w:r>
      <w:r w:rsidR="00DE3200">
        <w:rPr>
          <w:rFonts w:asciiTheme="minorHAnsi" w:hAnsiTheme="minorHAnsi" w:cstheme="minorHAnsi"/>
          <w:lang w:val="en-GB"/>
        </w:rPr>
        <w:t>,</w:t>
      </w:r>
      <w:r w:rsidR="00B40D3D">
        <w:rPr>
          <w:rFonts w:asciiTheme="minorHAnsi" w:hAnsiTheme="minorHAnsi" w:cstheme="minorHAnsi"/>
          <w:lang w:val="en-GB"/>
        </w:rPr>
        <w:t xml:space="preserve"> together with that </w:t>
      </w:r>
      <w:r w:rsidR="00DE3200">
        <w:rPr>
          <w:rFonts w:asciiTheme="minorHAnsi" w:hAnsiTheme="minorHAnsi" w:cstheme="minorHAnsi"/>
          <w:lang w:val="en-GB"/>
        </w:rPr>
        <w:t>of Irish journalist</w:t>
      </w:r>
      <w:r w:rsidR="00326082">
        <w:rPr>
          <w:rFonts w:asciiTheme="minorHAnsi" w:hAnsiTheme="minorHAnsi" w:cstheme="minorHAnsi"/>
          <w:lang w:val="en-GB"/>
        </w:rPr>
        <w:t xml:space="preserve"> </w:t>
      </w:r>
      <w:r w:rsidR="004F5EA6">
        <w:rPr>
          <w:rFonts w:asciiTheme="minorHAnsi" w:hAnsiTheme="minorHAnsi" w:cstheme="minorHAnsi"/>
          <w:lang w:val="en-GB"/>
        </w:rPr>
        <w:t>Veronica Guerin</w:t>
      </w:r>
      <w:r w:rsidR="00DE3200" w:rsidRPr="00DE3200">
        <w:rPr>
          <w:rFonts w:asciiTheme="minorHAnsi" w:hAnsiTheme="minorHAnsi" w:cstheme="minorHAnsi"/>
          <w:lang w:val="en-GB"/>
        </w:rPr>
        <w:t xml:space="preserve"> in 1996</w:t>
      </w:r>
      <w:r w:rsidR="00326082">
        <w:rPr>
          <w:rFonts w:asciiTheme="minorHAnsi" w:hAnsiTheme="minorHAnsi" w:cstheme="minorHAnsi"/>
          <w:lang w:val="en-GB"/>
        </w:rPr>
        <w:t>,</w:t>
      </w:r>
      <w:r w:rsidR="004F5EA6">
        <w:rPr>
          <w:rFonts w:asciiTheme="minorHAnsi" w:hAnsiTheme="minorHAnsi" w:cstheme="minorHAnsi"/>
          <w:lang w:val="en-GB"/>
        </w:rPr>
        <w:t xml:space="preserve"> </w:t>
      </w:r>
      <w:r w:rsidR="00326082">
        <w:rPr>
          <w:rFonts w:asciiTheme="minorHAnsi" w:hAnsiTheme="minorHAnsi" w:cstheme="minorHAnsi"/>
          <w:lang w:val="en-GB"/>
        </w:rPr>
        <w:t>led to national governments calling for</w:t>
      </w:r>
      <w:r w:rsidR="00B40D3D">
        <w:rPr>
          <w:rFonts w:asciiTheme="minorHAnsi" w:hAnsiTheme="minorHAnsi" w:cstheme="minorHAnsi"/>
          <w:lang w:val="en-GB"/>
        </w:rPr>
        <w:t xml:space="preserve"> intensified</w:t>
      </w:r>
      <w:r w:rsidR="00326082">
        <w:rPr>
          <w:rFonts w:asciiTheme="minorHAnsi" w:hAnsiTheme="minorHAnsi" w:cstheme="minorHAnsi"/>
          <w:lang w:val="en-GB"/>
        </w:rPr>
        <w:t xml:space="preserve"> European cooperation to counter OC in E</w:t>
      </w:r>
      <w:r w:rsidR="00985395">
        <w:rPr>
          <w:rFonts w:asciiTheme="minorHAnsi" w:hAnsiTheme="minorHAnsi" w:cstheme="minorHAnsi"/>
          <w:lang w:val="en-GB"/>
        </w:rPr>
        <w:t>urope (</w:t>
      </w:r>
      <w:proofErr w:type="spellStart"/>
      <w:r w:rsidR="00985395" w:rsidRPr="000D06D0">
        <w:rPr>
          <w:rFonts w:asciiTheme="minorHAnsi" w:hAnsiTheme="minorHAnsi" w:cstheme="minorHAnsi"/>
          <w:lang w:val="en-GB"/>
        </w:rPr>
        <w:t>Fijnaut</w:t>
      </w:r>
      <w:proofErr w:type="spellEnd"/>
      <w:r w:rsidR="00985395" w:rsidRPr="000D06D0">
        <w:rPr>
          <w:rFonts w:asciiTheme="minorHAnsi" w:hAnsiTheme="minorHAnsi" w:cstheme="minorHAnsi"/>
          <w:lang w:val="en-GB"/>
        </w:rPr>
        <w:t xml:space="preserve"> and Paoli</w:t>
      </w:r>
      <w:r w:rsidR="00BE11CD">
        <w:rPr>
          <w:rFonts w:asciiTheme="minorHAnsi" w:hAnsiTheme="minorHAnsi" w:cstheme="minorHAnsi"/>
          <w:lang w:val="en-GB"/>
        </w:rPr>
        <w:t>:</w:t>
      </w:r>
      <w:r w:rsidR="00985395" w:rsidRPr="000D06D0">
        <w:rPr>
          <w:rFonts w:asciiTheme="minorHAnsi" w:hAnsiTheme="minorHAnsi" w:cstheme="minorHAnsi"/>
          <w:lang w:val="en-GB"/>
        </w:rPr>
        <w:t xml:space="preserve"> 2004).</w:t>
      </w:r>
      <w:r w:rsidR="00985395">
        <w:rPr>
          <w:rFonts w:asciiTheme="minorHAnsi" w:hAnsiTheme="minorHAnsi" w:cstheme="minorHAnsi"/>
          <w:lang w:val="en-GB"/>
        </w:rPr>
        <w:t xml:space="preserve"> </w:t>
      </w:r>
    </w:p>
    <w:p w14:paraId="51F6D4CD" w14:textId="77777777" w:rsidR="00985395" w:rsidRDefault="00985395" w:rsidP="00A947ED">
      <w:pPr>
        <w:rPr>
          <w:rFonts w:asciiTheme="minorHAnsi" w:hAnsiTheme="minorHAnsi" w:cstheme="minorHAnsi"/>
          <w:lang w:val="en-GB"/>
        </w:rPr>
      </w:pPr>
    </w:p>
    <w:p w14:paraId="054E9677" w14:textId="37FE4162" w:rsidR="00985395" w:rsidRPr="008E086B" w:rsidRDefault="00985395" w:rsidP="00A947ED">
      <w:pPr>
        <w:rPr>
          <w:rFonts w:asciiTheme="minorHAnsi" w:hAnsiTheme="minorHAnsi" w:cstheme="minorHAnsi"/>
          <w:lang w:val="en-GB"/>
        </w:rPr>
      </w:pPr>
      <w:r>
        <w:rPr>
          <w:rFonts w:asciiTheme="minorHAnsi" w:hAnsiTheme="minorHAnsi" w:cstheme="minorHAnsi"/>
          <w:lang w:val="en-GB"/>
        </w:rPr>
        <w:t>T</w:t>
      </w:r>
      <w:r w:rsidRPr="000D06D0">
        <w:rPr>
          <w:rFonts w:asciiTheme="minorHAnsi" w:hAnsiTheme="minorHAnsi" w:cstheme="minorHAnsi"/>
          <w:lang w:val="en-GB"/>
        </w:rPr>
        <w:t xml:space="preserve">he EU Council’s Framework Decision 2008/841/JHA </w:t>
      </w:r>
      <w:r w:rsidR="004B149D">
        <w:rPr>
          <w:rFonts w:asciiTheme="minorHAnsi" w:hAnsiTheme="minorHAnsi" w:cstheme="minorHAnsi"/>
          <w:lang w:val="en-GB"/>
        </w:rPr>
        <w:t>applies</w:t>
      </w:r>
      <w:r>
        <w:rPr>
          <w:rFonts w:asciiTheme="minorHAnsi" w:hAnsiTheme="minorHAnsi" w:cstheme="minorHAnsi"/>
          <w:lang w:val="en-GB"/>
        </w:rPr>
        <w:t xml:space="preserve"> the UN Office on Drugs and Crime’s (UNODC)</w:t>
      </w:r>
      <w:r w:rsidRPr="000D06D0">
        <w:rPr>
          <w:rFonts w:asciiTheme="minorHAnsi" w:hAnsiTheme="minorHAnsi" w:cstheme="minorHAnsi"/>
          <w:lang w:val="en-GB"/>
        </w:rPr>
        <w:t xml:space="preserve"> definition </w:t>
      </w:r>
      <w:r w:rsidR="00B40D3D">
        <w:rPr>
          <w:rFonts w:asciiTheme="minorHAnsi" w:hAnsiTheme="minorHAnsi" w:cstheme="minorHAnsi"/>
          <w:lang w:val="en-GB"/>
        </w:rPr>
        <w:t>of</w:t>
      </w:r>
      <w:r>
        <w:rPr>
          <w:rFonts w:asciiTheme="minorHAnsi" w:hAnsiTheme="minorHAnsi" w:cstheme="minorHAnsi"/>
          <w:lang w:val="en-GB"/>
        </w:rPr>
        <w:t xml:space="preserve"> an Organised Crime Group (OCD)</w:t>
      </w:r>
      <w:r w:rsidR="00B40D3D">
        <w:rPr>
          <w:rFonts w:asciiTheme="minorHAnsi" w:hAnsiTheme="minorHAnsi" w:cstheme="minorHAnsi"/>
          <w:lang w:val="en-GB"/>
        </w:rPr>
        <w:t>. An OCD is</w:t>
      </w:r>
      <w:r w:rsidRPr="000D06D0">
        <w:rPr>
          <w:rFonts w:asciiTheme="minorHAnsi" w:hAnsiTheme="minorHAnsi" w:cstheme="minorHAnsi"/>
          <w:lang w:val="en-GB"/>
        </w:rPr>
        <w:t xml:space="preserve"> “a group of three or more persons existing over a period of time acting in concert with the aim of committing crimes for financial or material benefit” (Europol</w:t>
      </w:r>
      <w:r w:rsidR="00BE11CD">
        <w:rPr>
          <w:rFonts w:asciiTheme="minorHAnsi" w:hAnsiTheme="minorHAnsi" w:cstheme="minorHAnsi"/>
          <w:lang w:val="en-GB"/>
        </w:rPr>
        <w:t xml:space="preserve"> 2017: </w:t>
      </w:r>
      <w:r w:rsidRPr="000D06D0">
        <w:rPr>
          <w:rFonts w:asciiTheme="minorHAnsi" w:hAnsiTheme="minorHAnsi" w:cstheme="minorHAnsi"/>
          <w:lang w:val="en-GB"/>
        </w:rPr>
        <w:t>14).</w:t>
      </w:r>
      <w:r w:rsidR="00CF5BEC">
        <w:rPr>
          <w:rFonts w:asciiTheme="minorHAnsi" w:hAnsiTheme="minorHAnsi" w:cstheme="minorHAnsi"/>
          <w:lang w:val="en-GB"/>
        </w:rPr>
        <w:t xml:space="preserve"> </w:t>
      </w:r>
      <w:r w:rsidR="00B40D3D">
        <w:rPr>
          <w:rFonts w:asciiTheme="minorHAnsi" w:hAnsiTheme="minorHAnsi" w:cstheme="minorHAnsi"/>
          <w:lang w:val="en-GB"/>
        </w:rPr>
        <w:t>However,</w:t>
      </w:r>
      <w:r w:rsidRPr="000D06D0">
        <w:rPr>
          <w:rFonts w:asciiTheme="minorHAnsi" w:hAnsiTheme="minorHAnsi" w:cstheme="minorHAnsi"/>
          <w:lang w:val="en-GB"/>
        </w:rPr>
        <w:t xml:space="preserve"> modern organised crime is both more complex and</w:t>
      </w:r>
      <w:r w:rsidR="00B40D3D">
        <w:rPr>
          <w:rFonts w:asciiTheme="minorHAnsi" w:hAnsiTheme="minorHAnsi" w:cstheme="minorHAnsi"/>
          <w:lang w:val="en-GB"/>
        </w:rPr>
        <w:t xml:space="preserve"> more</w:t>
      </w:r>
      <w:r w:rsidRPr="000D06D0">
        <w:rPr>
          <w:rFonts w:asciiTheme="minorHAnsi" w:hAnsiTheme="minorHAnsi" w:cstheme="minorHAnsi"/>
          <w:lang w:val="en-GB"/>
        </w:rPr>
        <w:t xml:space="preserve"> flexible than this definition indicates</w:t>
      </w:r>
      <w:r w:rsidR="00DF5448">
        <w:rPr>
          <w:rFonts w:asciiTheme="minorHAnsi" w:hAnsiTheme="minorHAnsi" w:cstheme="minorHAnsi"/>
          <w:lang w:val="en-GB"/>
        </w:rPr>
        <w:t>. Moreover, t</w:t>
      </w:r>
      <w:r>
        <w:rPr>
          <w:rFonts w:asciiTheme="minorHAnsi" w:hAnsiTheme="minorHAnsi" w:cstheme="minorHAnsi"/>
          <w:lang w:val="en-GB"/>
        </w:rPr>
        <w:t xml:space="preserve">he EU definition remains very vague, </w:t>
      </w:r>
      <w:r w:rsidR="00B40D3D">
        <w:rPr>
          <w:rFonts w:asciiTheme="minorHAnsi" w:hAnsiTheme="minorHAnsi" w:cstheme="minorHAnsi"/>
          <w:lang w:val="en-GB"/>
        </w:rPr>
        <w:t>leading some</w:t>
      </w:r>
      <w:r>
        <w:rPr>
          <w:rFonts w:asciiTheme="minorHAnsi" w:hAnsiTheme="minorHAnsi" w:cstheme="minorHAnsi"/>
          <w:lang w:val="en-GB"/>
        </w:rPr>
        <w:t xml:space="preserve"> observers </w:t>
      </w:r>
      <w:r w:rsidR="00B40D3D">
        <w:rPr>
          <w:rFonts w:asciiTheme="minorHAnsi" w:hAnsiTheme="minorHAnsi" w:cstheme="minorHAnsi"/>
          <w:lang w:val="en-GB"/>
        </w:rPr>
        <w:t xml:space="preserve">to </w:t>
      </w:r>
      <w:r>
        <w:rPr>
          <w:rFonts w:asciiTheme="minorHAnsi" w:hAnsiTheme="minorHAnsi" w:cstheme="minorHAnsi"/>
          <w:lang w:val="en-GB"/>
        </w:rPr>
        <w:t>claim</w:t>
      </w:r>
      <w:r w:rsidR="00B40D3D">
        <w:rPr>
          <w:rFonts w:asciiTheme="minorHAnsi" w:hAnsiTheme="minorHAnsi" w:cstheme="minorHAnsi"/>
          <w:lang w:val="en-GB"/>
        </w:rPr>
        <w:t xml:space="preserve"> it</w:t>
      </w:r>
      <w:r w:rsidR="00DF182D">
        <w:rPr>
          <w:rFonts w:asciiTheme="minorHAnsi" w:hAnsiTheme="minorHAnsi" w:cstheme="minorHAnsi"/>
          <w:lang w:val="en-GB"/>
        </w:rPr>
        <w:t xml:space="preserve"> </w:t>
      </w:r>
      <w:r>
        <w:rPr>
          <w:rFonts w:asciiTheme="minorHAnsi" w:hAnsiTheme="minorHAnsi" w:cstheme="minorHAnsi"/>
          <w:lang w:val="en-GB"/>
        </w:rPr>
        <w:t>risks being</w:t>
      </w:r>
      <w:r w:rsidR="00CF5BEC">
        <w:rPr>
          <w:rFonts w:asciiTheme="minorHAnsi" w:hAnsiTheme="minorHAnsi" w:cstheme="minorHAnsi"/>
          <w:lang w:val="en-GB"/>
        </w:rPr>
        <w:t xml:space="preserve"> </w:t>
      </w:r>
      <w:r w:rsidR="00B40D3D">
        <w:rPr>
          <w:rFonts w:asciiTheme="minorHAnsi" w:hAnsiTheme="minorHAnsi" w:cstheme="minorHAnsi"/>
          <w:lang w:val="en-GB"/>
        </w:rPr>
        <w:t xml:space="preserve">dysfunctional, and an </w:t>
      </w:r>
      <w:r>
        <w:rPr>
          <w:rFonts w:asciiTheme="minorHAnsi" w:hAnsiTheme="minorHAnsi" w:cstheme="minorHAnsi"/>
          <w:lang w:val="en-GB"/>
        </w:rPr>
        <w:t>empty signifier</w:t>
      </w:r>
      <w:r w:rsidR="00B40D3D">
        <w:rPr>
          <w:rFonts w:asciiTheme="minorHAnsi" w:hAnsiTheme="minorHAnsi" w:cstheme="minorHAnsi"/>
          <w:lang w:val="en-GB"/>
        </w:rPr>
        <w:t xml:space="preserve"> that</w:t>
      </w:r>
      <w:r w:rsidRPr="009D7823">
        <w:rPr>
          <w:rFonts w:asciiTheme="minorHAnsi" w:hAnsiTheme="minorHAnsi" w:cstheme="minorHAnsi"/>
          <w:lang w:val="en-GB"/>
        </w:rPr>
        <w:t xml:space="preserve"> </w:t>
      </w:r>
      <w:r>
        <w:rPr>
          <w:rFonts w:asciiTheme="minorHAnsi" w:hAnsiTheme="minorHAnsi" w:cstheme="minorHAnsi"/>
          <w:lang w:val="en-GB"/>
        </w:rPr>
        <w:t>“</w:t>
      </w:r>
      <w:r w:rsidRPr="009D7823">
        <w:rPr>
          <w:rFonts w:asciiTheme="minorHAnsi" w:hAnsiTheme="minorHAnsi" w:cstheme="minorHAnsi"/>
          <w:lang w:val="en-GB"/>
        </w:rPr>
        <w:t>opens the door to the inclusion of phenomena a</w:t>
      </w:r>
      <w:r w:rsidR="00B40D3D">
        <w:rPr>
          <w:rFonts w:asciiTheme="minorHAnsi" w:hAnsiTheme="minorHAnsi" w:cstheme="minorHAnsi"/>
          <w:lang w:val="en-GB"/>
        </w:rPr>
        <w:t>s</w:t>
      </w:r>
      <w:r w:rsidRPr="009D7823">
        <w:rPr>
          <w:rFonts w:asciiTheme="minorHAnsi" w:hAnsiTheme="minorHAnsi" w:cstheme="minorHAnsi"/>
          <w:lang w:val="en-GB"/>
        </w:rPr>
        <w:t xml:space="preserve"> different as the Italian ‘Ndrangheta, a group of hooligans or a teenage street gang</w:t>
      </w:r>
      <w:r>
        <w:rPr>
          <w:rFonts w:asciiTheme="minorHAnsi" w:hAnsiTheme="minorHAnsi" w:cstheme="minorHAnsi"/>
          <w:lang w:val="en-GB"/>
        </w:rPr>
        <w:t>” (</w:t>
      </w:r>
      <w:proofErr w:type="spellStart"/>
      <w:r>
        <w:rPr>
          <w:rFonts w:asciiTheme="minorHAnsi" w:hAnsiTheme="minorHAnsi" w:cstheme="minorHAnsi"/>
          <w:lang w:val="en-GB"/>
        </w:rPr>
        <w:t>Car</w:t>
      </w:r>
      <w:r w:rsidR="00F77095">
        <w:rPr>
          <w:rFonts w:asciiTheme="minorHAnsi" w:hAnsiTheme="minorHAnsi" w:cstheme="minorHAnsi"/>
          <w:lang w:val="en-GB"/>
        </w:rPr>
        <w:t>r</w:t>
      </w:r>
      <w:r w:rsidR="00BE11CD">
        <w:rPr>
          <w:rFonts w:asciiTheme="minorHAnsi" w:hAnsiTheme="minorHAnsi" w:cstheme="minorHAnsi"/>
          <w:lang w:val="en-GB"/>
        </w:rPr>
        <w:t>apico</w:t>
      </w:r>
      <w:proofErr w:type="spellEnd"/>
      <w:r w:rsidR="00BE11CD">
        <w:rPr>
          <w:rFonts w:asciiTheme="minorHAnsi" w:hAnsiTheme="minorHAnsi" w:cstheme="minorHAnsi"/>
          <w:lang w:val="en-GB"/>
        </w:rPr>
        <w:t xml:space="preserve"> 2014:</w:t>
      </w:r>
      <w:r>
        <w:rPr>
          <w:rFonts w:asciiTheme="minorHAnsi" w:hAnsiTheme="minorHAnsi" w:cstheme="minorHAnsi"/>
          <w:lang w:val="en-GB"/>
        </w:rPr>
        <w:t xml:space="preserve"> </w:t>
      </w:r>
      <w:r w:rsidR="00AD55C1">
        <w:rPr>
          <w:rFonts w:asciiTheme="minorHAnsi" w:hAnsiTheme="minorHAnsi" w:cstheme="minorHAnsi"/>
          <w:lang w:val="en-GB"/>
        </w:rPr>
        <w:t>611</w:t>
      </w:r>
      <w:r>
        <w:rPr>
          <w:rFonts w:asciiTheme="minorHAnsi" w:hAnsiTheme="minorHAnsi" w:cstheme="minorHAnsi"/>
          <w:lang w:val="en-GB"/>
        </w:rPr>
        <w:t>)</w:t>
      </w:r>
      <w:r w:rsidRPr="009D7823">
        <w:rPr>
          <w:rFonts w:asciiTheme="minorHAnsi" w:hAnsiTheme="minorHAnsi" w:cstheme="minorHAnsi"/>
          <w:lang w:val="en-GB"/>
        </w:rPr>
        <w:t>.</w:t>
      </w:r>
      <w:r w:rsidR="008E086B">
        <w:rPr>
          <w:rFonts w:asciiTheme="minorHAnsi" w:hAnsiTheme="minorHAnsi" w:cstheme="minorHAnsi"/>
          <w:lang w:val="en-GB"/>
        </w:rPr>
        <w:t xml:space="preserve"> </w:t>
      </w:r>
    </w:p>
    <w:p w14:paraId="53C01FF2" w14:textId="33D8DA77" w:rsidR="00125022" w:rsidRPr="000D06D0" w:rsidRDefault="00125022" w:rsidP="00A947ED">
      <w:pPr>
        <w:rPr>
          <w:rFonts w:asciiTheme="minorHAnsi" w:hAnsiTheme="minorHAnsi" w:cstheme="minorHAnsi"/>
          <w:lang w:val="en-GB"/>
        </w:rPr>
      </w:pPr>
    </w:p>
    <w:p w14:paraId="406B3C8A" w14:textId="0B360794" w:rsidR="00154805" w:rsidRDefault="00D86A20" w:rsidP="00A947ED">
      <w:pPr>
        <w:rPr>
          <w:rFonts w:asciiTheme="minorHAnsi" w:hAnsiTheme="minorHAnsi" w:cstheme="minorHAnsi"/>
          <w:lang w:val="en-GB"/>
        </w:rPr>
      </w:pPr>
      <w:r w:rsidRPr="000D06D0">
        <w:rPr>
          <w:rFonts w:asciiTheme="minorHAnsi" w:hAnsiTheme="minorHAnsi" w:cstheme="minorHAnsi"/>
          <w:lang w:val="en-GB"/>
        </w:rPr>
        <w:t>Having presented a snapshot of the</w:t>
      </w:r>
      <w:r w:rsidR="003839E6">
        <w:rPr>
          <w:rFonts w:asciiTheme="minorHAnsi" w:hAnsiTheme="minorHAnsi" w:cstheme="minorHAnsi"/>
          <w:lang w:val="en-GB"/>
        </w:rPr>
        <w:t xml:space="preserve"> emergence of</w:t>
      </w:r>
      <w:r w:rsidRPr="000D06D0">
        <w:rPr>
          <w:rFonts w:asciiTheme="minorHAnsi" w:hAnsiTheme="minorHAnsi" w:cstheme="minorHAnsi"/>
          <w:lang w:val="en-GB"/>
        </w:rPr>
        <w:t xml:space="preserve"> threats posed by terrorism and</w:t>
      </w:r>
      <w:r w:rsidR="003839E6">
        <w:rPr>
          <w:rFonts w:asciiTheme="minorHAnsi" w:hAnsiTheme="minorHAnsi" w:cstheme="minorHAnsi"/>
          <w:lang w:val="en-GB"/>
        </w:rPr>
        <w:t xml:space="preserve"> organised crime in Europe</w:t>
      </w:r>
      <w:r w:rsidRPr="000D06D0">
        <w:rPr>
          <w:rFonts w:asciiTheme="minorHAnsi" w:hAnsiTheme="minorHAnsi" w:cstheme="minorHAnsi"/>
          <w:lang w:val="en-GB"/>
        </w:rPr>
        <w:t xml:space="preserve">, the next section will provide an overview of the Europe-level </w:t>
      </w:r>
      <w:r w:rsidR="00007678">
        <w:rPr>
          <w:rFonts w:asciiTheme="minorHAnsi" w:hAnsiTheme="minorHAnsi" w:cstheme="minorHAnsi"/>
          <w:lang w:val="en-GB"/>
        </w:rPr>
        <w:t xml:space="preserve">and bilateral </w:t>
      </w:r>
      <w:r w:rsidRPr="000D06D0">
        <w:rPr>
          <w:rFonts w:asciiTheme="minorHAnsi" w:hAnsiTheme="minorHAnsi" w:cstheme="minorHAnsi"/>
          <w:lang w:val="en-GB"/>
        </w:rPr>
        <w:t>responses, strategies and agencies developed to tackle these threats.</w:t>
      </w:r>
    </w:p>
    <w:p w14:paraId="4D5536D1" w14:textId="11CB543C" w:rsidR="00074B48" w:rsidRPr="00154805" w:rsidRDefault="00D86A20" w:rsidP="00A947ED">
      <w:pPr>
        <w:rPr>
          <w:rFonts w:asciiTheme="minorHAnsi" w:hAnsiTheme="minorHAnsi" w:cstheme="minorHAnsi"/>
          <w:color w:val="000000" w:themeColor="text1"/>
          <w:lang w:val="en-GB"/>
        </w:rPr>
      </w:pPr>
      <w:r w:rsidRPr="000D06D0">
        <w:rPr>
          <w:rFonts w:asciiTheme="minorHAnsi" w:hAnsiTheme="minorHAnsi" w:cstheme="minorHAnsi"/>
          <w:lang w:val="en-GB"/>
        </w:rPr>
        <w:t xml:space="preserve"> </w:t>
      </w:r>
    </w:p>
    <w:p w14:paraId="5924D6E0" w14:textId="571EFA82" w:rsidR="00332565" w:rsidRPr="0089670F" w:rsidRDefault="00332565" w:rsidP="00A947ED">
      <w:pPr>
        <w:pStyle w:val="Heading1"/>
        <w:rPr>
          <w:lang w:val="en-GB"/>
        </w:rPr>
      </w:pPr>
      <w:r w:rsidRPr="0089670F">
        <w:rPr>
          <w:lang w:val="en-GB"/>
        </w:rPr>
        <w:t>European Responses: Bilateral and European</w:t>
      </w:r>
      <w:r w:rsidR="00CC40E2">
        <w:rPr>
          <w:lang w:val="en-GB"/>
        </w:rPr>
        <w:t>-level</w:t>
      </w:r>
      <w:r w:rsidRPr="0089670F">
        <w:rPr>
          <w:lang w:val="en-GB"/>
        </w:rPr>
        <w:t xml:space="preserve"> Coordination </w:t>
      </w:r>
    </w:p>
    <w:p w14:paraId="36FE1D4A" w14:textId="14ABE2CA" w:rsidR="00332565" w:rsidRPr="0089670F" w:rsidRDefault="00332565" w:rsidP="00A947ED">
      <w:pPr>
        <w:rPr>
          <w:rFonts w:asciiTheme="minorHAnsi" w:hAnsiTheme="minorHAnsi" w:cstheme="minorHAnsi"/>
          <w:b/>
          <w:bCs/>
          <w:i/>
          <w:iCs/>
          <w:color w:val="000000" w:themeColor="text1"/>
          <w:lang w:val="en-GB"/>
        </w:rPr>
      </w:pPr>
    </w:p>
    <w:p w14:paraId="4DB66C16" w14:textId="77777777" w:rsidR="00332565" w:rsidRPr="002120D0" w:rsidRDefault="00332565" w:rsidP="00A947ED">
      <w:pPr>
        <w:pStyle w:val="Heading2"/>
        <w:rPr>
          <w:rFonts w:asciiTheme="minorHAnsi" w:hAnsiTheme="minorHAnsi" w:cstheme="minorHAnsi"/>
          <w:lang w:val="en-GB"/>
        </w:rPr>
      </w:pPr>
      <w:r w:rsidRPr="002120D0">
        <w:rPr>
          <w:rFonts w:asciiTheme="minorHAnsi" w:hAnsiTheme="minorHAnsi" w:cstheme="minorHAnsi"/>
          <w:lang w:val="en-GB"/>
        </w:rPr>
        <w:t xml:space="preserve">EU Level Mechanisms: An Ever-More Secure Union? </w:t>
      </w:r>
    </w:p>
    <w:p w14:paraId="31644659" w14:textId="5A0024D9" w:rsidR="00332565"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The EU has consistently sought to tackle terrorism and OC through a criminal justice approach, rather than a militarised or foreign policy-oriented approach often associated with other Western states such as the US (</w:t>
      </w:r>
      <w:proofErr w:type="spellStart"/>
      <w:r w:rsidRPr="0089670F">
        <w:rPr>
          <w:rFonts w:asciiTheme="minorHAnsi" w:hAnsiTheme="minorHAnsi" w:cstheme="minorHAnsi"/>
          <w:color w:val="000000" w:themeColor="text1"/>
          <w:lang w:val="en-GB"/>
        </w:rPr>
        <w:t>Cost</w:t>
      </w:r>
      <w:r w:rsidR="00A06AB6">
        <w:rPr>
          <w:rFonts w:asciiTheme="minorHAnsi" w:hAnsiTheme="minorHAnsi" w:cstheme="minorHAnsi"/>
          <w:color w:val="000000" w:themeColor="text1"/>
          <w:lang w:val="en-GB"/>
        </w:rPr>
        <w:t>i</w:t>
      </w:r>
      <w:proofErr w:type="spellEnd"/>
      <w:r w:rsidRPr="0089670F">
        <w:rPr>
          <w:rFonts w:asciiTheme="minorHAnsi" w:hAnsiTheme="minorHAnsi" w:cstheme="minorHAnsi"/>
          <w:color w:val="000000" w:themeColor="text1"/>
          <w:lang w:val="en-GB"/>
        </w:rPr>
        <w:t xml:space="preserve"> 2019</w:t>
      </w:r>
      <w:r w:rsidR="00A06AB6">
        <w:rPr>
          <w:rFonts w:asciiTheme="minorHAnsi" w:hAnsiTheme="minorHAnsi" w:cstheme="minorHAnsi"/>
          <w:color w:val="000000" w:themeColor="text1"/>
          <w:lang w:val="en-GB"/>
        </w:rPr>
        <w:t>:</w:t>
      </w:r>
      <w:r w:rsidR="00BE11CD">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167). Member States have been hesitant to concede sovereignty over security and defence matters, </w:t>
      </w:r>
      <w:r w:rsidR="004C1C28" w:rsidRPr="0089670F">
        <w:rPr>
          <w:rFonts w:asciiTheme="minorHAnsi" w:hAnsiTheme="minorHAnsi" w:cstheme="minorHAnsi"/>
          <w:color w:val="000000" w:themeColor="text1"/>
          <w:lang w:val="en-GB"/>
        </w:rPr>
        <w:t xml:space="preserve">but </w:t>
      </w:r>
      <w:r w:rsidRPr="0089670F">
        <w:rPr>
          <w:rFonts w:asciiTheme="minorHAnsi" w:hAnsiTheme="minorHAnsi" w:cstheme="minorHAnsi"/>
          <w:color w:val="000000" w:themeColor="text1"/>
          <w:lang w:val="en-GB"/>
        </w:rPr>
        <w:t>they have been more willing to cooperate in terms of fighting criminality across Europe (Davis-Cross</w:t>
      </w:r>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2007; </w:t>
      </w:r>
      <w:proofErr w:type="spellStart"/>
      <w:r w:rsidRPr="0089670F">
        <w:rPr>
          <w:rFonts w:asciiTheme="minorHAnsi" w:hAnsiTheme="minorHAnsi" w:cstheme="minorHAnsi"/>
          <w:color w:val="000000" w:themeColor="text1"/>
          <w:lang w:val="en-GB"/>
        </w:rPr>
        <w:t>Costi</w:t>
      </w:r>
      <w:proofErr w:type="spellEnd"/>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2019). The EU has focused on mechanisms that facilitate greater judicial and police cooperation, intelligence sharing and harmonisation of substantive criminal law (</w:t>
      </w:r>
      <w:proofErr w:type="spellStart"/>
      <w:r w:rsidRPr="0089670F">
        <w:rPr>
          <w:rFonts w:asciiTheme="minorHAnsi" w:hAnsiTheme="minorHAnsi" w:cstheme="minorHAnsi"/>
          <w:color w:val="000000" w:themeColor="text1"/>
          <w:lang w:val="en-GB"/>
        </w:rPr>
        <w:t>Monar</w:t>
      </w:r>
      <w:proofErr w:type="spellEnd"/>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2014</w:t>
      </w:r>
      <w:r w:rsidR="00A06AB6">
        <w:rPr>
          <w:rFonts w:asciiTheme="minorHAnsi" w:hAnsiTheme="minorHAnsi" w:cstheme="minorHAnsi"/>
          <w:color w:val="000000" w:themeColor="text1"/>
          <w:lang w:val="en-GB"/>
        </w:rPr>
        <w:t>:</w:t>
      </w:r>
      <w:r w:rsidR="00BE11CD">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202-3). This depoliticised criminal-justice-orientated paradigm aims to secure the Area of Security, Freedom and Justice across Europe. </w:t>
      </w:r>
      <w:r w:rsidR="00F07E2C">
        <w:rPr>
          <w:rFonts w:asciiTheme="minorHAnsi" w:hAnsiTheme="minorHAnsi" w:cstheme="minorHAnsi"/>
          <w:color w:val="000000" w:themeColor="text1"/>
          <w:lang w:val="en-GB"/>
        </w:rPr>
        <w:t xml:space="preserve">Despite the </w:t>
      </w:r>
      <w:r w:rsidR="00FA5876">
        <w:rPr>
          <w:rFonts w:asciiTheme="minorHAnsi" w:hAnsiTheme="minorHAnsi" w:cstheme="minorHAnsi"/>
          <w:color w:val="000000" w:themeColor="text1"/>
          <w:lang w:val="en-GB"/>
        </w:rPr>
        <w:t>hesitancy</w:t>
      </w:r>
      <w:r w:rsidR="00F07E2C">
        <w:rPr>
          <w:rFonts w:asciiTheme="minorHAnsi" w:hAnsiTheme="minorHAnsi" w:cstheme="minorHAnsi"/>
          <w:color w:val="000000" w:themeColor="text1"/>
          <w:lang w:val="en-GB"/>
        </w:rPr>
        <w:t xml:space="preserve"> of member states, </w:t>
      </w:r>
      <w:r w:rsidR="00FA5876">
        <w:rPr>
          <w:rFonts w:asciiTheme="minorHAnsi" w:hAnsiTheme="minorHAnsi" w:cstheme="minorHAnsi"/>
          <w:color w:val="000000" w:themeColor="text1"/>
          <w:lang w:val="en-GB"/>
        </w:rPr>
        <w:t xml:space="preserve">the security </w:t>
      </w:r>
      <w:r w:rsidR="009B4166">
        <w:rPr>
          <w:rFonts w:asciiTheme="minorHAnsi" w:hAnsiTheme="minorHAnsi" w:cstheme="minorHAnsi"/>
          <w:color w:val="000000" w:themeColor="text1"/>
          <w:lang w:val="en-GB"/>
        </w:rPr>
        <w:t xml:space="preserve">threats faced by Europe </w:t>
      </w:r>
      <w:r w:rsidR="009854DA">
        <w:rPr>
          <w:rFonts w:asciiTheme="minorHAnsi" w:hAnsiTheme="minorHAnsi" w:cstheme="minorHAnsi"/>
          <w:color w:val="000000" w:themeColor="text1"/>
          <w:lang w:val="en-GB"/>
        </w:rPr>
        <w:t>in the last decade</w:t>
      </w:r>
      <w:r w:rsidR="00FA5876">
        <w:rPr>
          <w:rFonts w:asciiTheme="minorHAnsi" w:hAnsiTheme="minorHAnsi" w:cstheme="minorHAnsi"/>
          <w:color w:val="000000" w:themeColor="text1"/>
          <w:lang w:val="en-GB"/>
        </w:rPr>
        <w:t xml:space="preserve"> </w:t>
      </w:r>
      <w:r w:rsidR="004347E9">
        <w:rPr>
          <w:rFonts w:asciiTheme="minorHAnsi" w:hAnsiTheme="minorHAnsi" w:cstheme="minorHAnsi"/>
          <w:color w:val="000000" w:themeColor="text1"/>
          <w:lang w:val="en-GB"/>
        </w:rPr>
        <w:t>and the p</w:t>
      </w:r>
      <w:r w:rsidR="00F07E2C">
        <w:rPr>
          <w:rFonts w:asciiTheme="minorHAnsi" w:hAnsiTheme="minorHAnsi" w:cstheme="minorHAnsi"/>
          <w:color w:val="000000" w:themeColor="text1"/>
          <w:lang w:val="en-GB"/>
        </w:rPr>
        <w:t>roliferation of EU level mechanisms</w:t>
      </w:r>
      <w:r w:rsidR="00704B4A">
        <w:rPr>
          <w:rFonts w:asciiTheme="minorHAnsi" w:hAnsiTheme="minorHAnsi" w:cstheme="minorHAnsi"/>
          <w:color w:val="000000" w:themeColor="text1"/>
          <w:lang w:val="en-GB"/>
        </w:rPr>
        <w:t xml:space="preserve"> to deal with those,</w:t>
      </w:r>
      <w:r w:rsidR="00F07E2C">
        <w:rPr>
          <w:rFonts w:asciiTheme="minorHAnsi" w:hAnsiTheme="minorHAnsi" w:cstheme="minorHAnsi"/>
          <w:color w:val="000000" w:themeColor="text1"/>
          <w:lang w:val="en-GB"/>
        </w:rPr>
        <w:t xml:space="preserve"> has resulted in the EU becoming a</w:t>
      </w:r>
      <w:r w:rsidR="007C4DF0">
        <w:rPr>
          <w:rFonts w:asciiTheme="minorHAnsi" w:hAnsiTheme="minorHAnsi" w:cstheme="minorHAnsi"/>
          <w:color w:val="000000" w:themeColor="text1"/>
          <w:lang w:val="en-GB"/>
        </w:rPr>
        <w:t xml:space="preserve"> more independent</w:t>
      </w:r>
      <w:r w:rsidR="00F07E2C">
        <w:rPr>
          <w:rFonts w:asciiTheme="minorHAnsi" w:hAnsiTheme="minorHAnsi" w:cstheme="minorHAnsi"/>
          <w:color w:val="000000" w:themeColor="text1"/>
          <w:lang w:val="en-GB"/>
        </w:rPr>
        <w:t xml:space="preserve"> </w:t>
      </w:r>
      <w:r w:rsidR="007C4DF0">
        <w:rPr>
          <w:rFonts w:asciiTheme="minorHAnsi" w:hAnsiTheme="minorHAnsi" w:cstheme="minorHAnsi"/>
          <w:color w:val="000000" w:themeColor="text1"/>
          <w:lang w:val="en-GB"/>
        </w:rPr>
        <w:t>and self</w:t>
      </w:r>
      <w:r w:rsidR="00BB0B01">
        <w:rPr>
          <w:rFonts w:asciiTheme="minorHAnsi" w:hAnsiTheme="minorHAnsi" w:cstheme="minorHAnsi"/>
          <w:color w:val="000000" w:themeColor="text1"/>
          <w:lang w:val="en-GB"/>
        </w:rPr>
        <w:t>-</w:t>
      </w:r>
      <w:r w:rsidR="007C4DF0">
        <w:rPr>
          <w:rFonts w:asciiTheme="minorHAnsi" w:hAnsiTheme="minorHAnsi" w:cstheme="minorHAnsi"/>
          <w:color w:val="000000" w:themeColor="text1"/>
          <w:lang w:val="en-GB"/>
        </w:rPr>
        <w:t xml:space="preserve">reliant </w:t>
      </w:r>
      <w:r w:rsidR="00F07E2C">
        <w:rPr>
          <w:rFonts w:asciiTheme="minorHAnsi" w:hAnsiTheme="minorHAnsi" w:cstheme="minorHAnsi"/>
          <w:color w:val="000000" w:themeColor="text1"/>
          <w:lang w:val="en-GB"/>
        </w:rPr>
        <w:t>security actor</w:t>
      </w:r>
      <w:r w:rsidR="004347E9">
        <w:rPr>
          <w:rFonts w:asciiTheme="minorHAnsi" w:hAnsiTheme="minorHAnsi" w:cstheme="minorHAnsi"/>
          <w:color w:val="000000" w:themeColor="text1"/>
          <w:lang w:val="en-GB"/>
        </w:rPr>
        <w:t xml:space="preserve"> </w:t>
      </w:r>
      <w:r w:rsidR="00F4117E">
        <w:rPr>
          <w:rFonts w:asciiTheme="minorHAnsi" w:hAnsiTheme="minorHAnsi" w:cstheme="minorHAnsi"/>
          <w:color w:val="000000" w:themeColor="text1"/>
          <w:lang w:val="en-US"/>
        </w:rPr>
        <w:t>(</w:t>
      </w:r>
      <w:proofErr w:type="spellStart"/>
      <w:r w:rsidR="00F4117E">
        <w:rPr>
          <w:rFonts w:asciiTheme="minorHAnsi" w:hAnsiTheme="minorHAnsi" w:cstheme="minorHAnsi"/>
          <w:color w:val="000000" w:themeColor="text1"/>
          <w:lang w:val="en-US"/>
        </w:rPr>
        <w:t>Kaunert</w:t>
      </w:r>
      <w:proofErr w:type="spellEnd"/>
      <w:r w:rsidR="00F4117E">
        <w:rPr>
          <w:rFonts w:asciiTheme="minorHAnsi" w:hAnsiTheme="minorHAnsi" w:cstheme="minorHAnsi"/>
          <w:color w:val="000000" w:themeColor="text1"/>
          <w:lang w:val="en-US"/>
        </w:rPr>
        <w:t xml:space="preserve"> and Léonard 2015</w:t>
      </w:r>
      <w:r w:rsidR="004347E9">
        <w:rPr>
          <w:rFonts w:asciiTheme="minorHAnsi" w:hAnsiTheme="minorHAnsi" w:cstheme="minorHAnsi"/>
          <w:color w:val="000000" w:themeColor="text1"/>
          <w:lang w:val="en-US"/>
        </w:rPr>
        <w:t>)</w:t>
      </w:r>
      <w:r w:rsidR="00F07E2C">
        <w:rPr>
          <w:rFonts w:asciiTheme="minorHAnsi" w:hAnsiTheme="minorHAnsi" w:cstheme="minorHAnsi"/>
          <w:color w:val="000000" w:themeColor="text1"/>
          <w:lang w:val="en-GB"/>
        </w:rPr>
        <w:t>.</w:t>
      </w:r>
      <w:r w:rsidR="004347E9" w:rsidRPr="004347E9">
        <w:rPr>
          <w:rFonts w:asciiTheme="minorHAnsi" w:hAnsiTheme="minorHAnsi" w:cstheme="minorHAnsi"/>
          <w:color w:val="000000" w:themeColor="text1"/>
          <w:lang w:val="en-GB"/>
        </w:rPr>
        <w:t xml:space="preserve"> </w:t>
      </w:r>
      <w:r w:rsidR="004347E9">
        <w:rPr>
          <w:rFonts w:asciiTheme="minorHAnsi" w:hAnsiTheme="minorHAnsi" w:cstheme="minorHAnsi"/>
          <w:color w:val="000000" w:themeColor="text1"/>
          <w:lang w:val="en-GB"/>
        </w:rPr>
        <w:t>At the same time, some Member Stat</w:t>
      </w:r>
      <w:r w:rsidR="007970C0">
        <w:rPr>
          <w:rFonts w:asciiTheme="minorHAnsi" w:hAnsiTheme="minorHAnsi" w:cstheme="minorHAnsi"/>
          <w:color w:val="000000" w:themeColor="text1"/>
          <w:lang w:val="en-GB"/>
        </w:rPr>
        <w:t xml:space="preserve">es are also increasingly mobilised to counter </w:t>
      </w:r>
      <w:r w:rsidR="00763D3B">
        <w:rPr>
          <w:rFonts w:asciiTheme="minorHAnsi" w:hAnsiTheme="minorHAnsi" w:cstheme="minorHAnsi"/>
          <w:color w:val="000000" w:themeColor="text1"/>
          <w:lang w:val="en-GB"/>
        </w:rPr>
        <w:t>this</w:t>
      </w:r>
      <w:r w:rsidR="007970C0">
        <w:rPr>
          <w:rFonts w:asciiTheme="minorHAnsi" w:hAnsiTheme="minorHAnsi" w:cstheme="minorHAnsi"/>
          <w:color w:val="000000" w:themeColor="text1"/>
          <w:lang w:val="en-GB"/>
        </w:rPr>
        <w:t xml:space="preserve"> posture, </w:t>
      </w:r>
      <w:r w:rsidR="00763D3B">
        <w:rPr>
          <w:rFonts w:asciiTheme="minorHAnsi" w:hAnsiTheme="minorHAnsi" w:cstheme="minorHAnsi"/>
          <w:color w:val="000000" w:themeColor="text1"/>
          <w:lang w:val="en-GB"/>
        </w:rPr>
        <w:t>notably</w:t>
      </w:r>
      <w:r w:rsidR="00F42533">
        <w:rPr>
          <w:rFonts w:asciiTheme="minorHAnsi" w:hAnsiTheme="minorHAnsi" w:cstheme="minorHAnsi"/>
          <w:color w:val="000000" w:themeColor="text1"/>
          <w:lang w:val="en-GB"/>
        </w:rPr>
        <w:t xml:space="preserve"> the </w:t>
      </w:r>
      <w:proofErr w:type="spellStart"/>
      <w:r w:rsidR="00F42533">
        <w:rPr>
          <w:rFonts w:asciiTheme="minorHAnsi" w:hAnsiTheme="minorHAnsi" w:cstheme="minorHAnsi"/>
          <w:color w:val="000000" w:themeColor="text1"/>
          <w:lang w:val="en-GB"/>
        </w:rPr>
        <w:t>Visegrad</w:t>
      </w:r>
      <w:proofErr w:type="spellEnd"/>
      <w:r w:rsidR="00F42533">
        <w:rPr>
          <w:rFonts w:asciiTheme="minorHAnsi" w:hAnsiTheme="minorHAnsi" w:cstheme="minorHAnsi"/>
          <w:color w:val="000000" w:themeColor="text1"/>
          <w:lang w:val="en-GB"/>
        </w:rPr>
        <w:t xml:space="preserve"> group of 4 (Poland, Hungary, Czech Republic and Slovakia)</w:t>
      </w:r>
      <w:r w:rsidR="007970C0">
        <w:rPr>
          <w:rFonts w:asciiTheme="minorHAnsi" w:hAnsiTheme="minorHAnsi" w:cstheme="minorHAnsi"/>
          <w:color w:val="000000" w:themeColor="text1"/>
          <w:lang w:val="en-GB"/>
        </w:rPr>
        <w:t xml:space="preserve"> in the area of border control. </w:t>
      </w:r>
      <w:r w:rsidR="004347E9">
        <w:rPr>
          <w:rFonts w:asciiTheme="minorHAnsi" w:hAnsiTheme="minorHAnsi" w:cstheme="minorHAnsi"/>
          <w:color w:val="000000" w:themeColor="text1"/>
          <w:lang w:val="en-GB"/>
        </w:rPr>
        <w:t xml:space="preserve"> </w:t>
      </w:r>
    </w:p>
    <w:p w14:paraId="232C2115" w14:textId="5918C44D" w:rsidR="00763D3B" w:rsidRDefault="00763D3B" w:rsidP="00A947ED">
      <w:pPr>
        <w:rPr>
          <w:rFonts w:asciiTheme="minorHAnsi" w:hAnsiTheme="minorHAnsi" w:cstheme="minorHAnsi"/>
          <w:color w:val="000000" w:themeColor="text1"/>
          <w:lang w:val="en-GB"/>
        </w:rPr>
      </w:pPr>
    </w:p>
    <w:p w14:paraId="68666980" w14:textId="536D2B03" w:rsidR="00332565" w:rsidRPr="0089670F" w:rsidRDefault="00763D3B"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Europol, Eurojust, the European Arrest Warrant and The Security Union are among some of the key EU level mechanisms at the heart of the fight against terrorism and OC</w:t>
      </w:r>
      <w:r>
        <w:rPr>
          <w:rFonts w:asciiTheme="minorHAnsi" w:hAnsiTheme="minorHAnsi" w:cstheme="minorHAnsi"/>
          <w:color w:val="000000" w:themeColor="text1"/>
          <w:lang w:val="en-GB"/>
        </w:rPr>
        <w:t xml:space="preserve">. </w:t>
      </w:r>
      <w:r w:rsidR="00332565" w:rsidRPr="0089670F">
        <w:rPr>
          <w:rFonts w:asciiTheme="minorHAnsi" w:hAnsiTheme="minorHAnsi" w:cstheme="minorHAnsi"/>
          <w:b/>
          <w:bCs/>
          <w:color w:val="000000" w:themeColor="text1"/>
          <w:lang w:val="en-GB"/>
        </w:rPr>
        <w:t>Europol,</w:t>
      </w:r>
      <w:r w:rsidR="00332565" w:rsidRPr="0089670F">
        <w:rPr>
          <w:rFonts w:asciiTheme="minorHAnsi" w:hAnsiTheme="minorHAnsi" w:cstheme="minorHAnsi"/>
          <w:color w:val="000000" w:themeColor="text1"/>
          <w:lang w:val="en-GB"/>
        </w:rPr>
        <w:t xml:space="preserve"> the </w:t>
      </w:r>
      <w:r w:rsidR="00332565" w:rsidRPr="0089670F">
        <w:rPr>
          <w:rFonts w:asciiTheme="minorHAnsi" w:hAnsiTheme="minorHAnsi" w:cstheme="minorHAnsi"/>
          <w:color w:val="000000" w:themeColor="text1"/>
          <w:lang w:val="en-GB"/>
        </w:rPr>
        <w:lastRenderedPageBreak/>
        <w:t>law enforcement agency of the European Union, created in 1998 to facilitate police cooperation between and support Memb</w:t>
      </w:r>
      <w:r w:rsidR="00020EAD">
        <w:rPr>
          <w:rFonts w:asciiTheme="minorHAnsi" w:hAnsiTheme="minorHAnsi" w:cstheme="minorHAnsi"/>
          <w:color w:val="000000" w:themeColor="text1"/>
          <w:lang w:val="en-GB"/>
        </w:rPr>
        <w:t>er States</w:t>
      </w:r>
      <w:r>
        <w:rPr>
          <w:rFonts w:asciiTheme="minorHAnsi" w:hAnsiTheme="minorHAnsi" w:cstheme="minorHAnsi"/>
          <w:color w:val="000000" w:themeColor="text1"/>
          <w:lang w:val="en-GB"/>
        </w:rPr>
        <w:t>,</w:t>
      </w:r>
      <w:r w:rsidR="00332565" w:rsidRPr="0089670F">
        <w:rPr>
          <w:rFonts w:asciiTheme="minorHAnsi" w:hAnsiTheme="minorHAnsi" w:cstheme="minorHAnsi"/>
          <w:color w:val="000000" w:themeColor="text1"/>
          <w:lang w:val="en-GB"/>
        </w:rPr>
        <w:t xml:space="preserve"> can act only at the request of the </w:t>
      </w:r>
      <w:r w:rsidR="004C1C28" w:rsidRPr="0089670F">
        <w:rPr>
          <w:rFonts w:asciiTheme="minorHAnsi" w:hAnsiTheme="minorHAnsi" w:cstheme="minorHAnsi"/>
          <w:color w:val="000000" w:themeColor="text1"/>
          <w:lang w:val="en-GB"/>
        </w:rPr>
        <w:t>Member States</w:t>
      </w:r>
      <w:r w:rsidR="00332565" w:rsidRPr="0089670F">
        <w:rPr>
          <w:rFonts w:asciiTheme="minorHAnsi" w:hAnsiTheme="minorHAnsi" w:cstheme="minorHAnsi"/>
          <w:color w:val="000000" w:themeColor="text1"/>
          <w:lang w:val="en-GB"/>
        </w:rPr>
        <w:t>, but it can demand investigat</w:t>
      </w:r>
      <w:r w:rsidR="00DF7E80">
        <w:rPr>
          <w:rFonts w:asciiTheme="minorHAnsi" w:hAnsiTheme="minorHAnsi" w:cstheme="minorHAnsi"/>
          <w:color w:val="000000" w:themeColor="text1"/>
          <w:lang w:val="en-GB"/>
        </w:rPr>
        <w:t xml:space="preserve">ions by competent authorities. </w:t>
      </w:r>
      <w:r w:rsidR="00332565" w:rsidRPr="0089670F">
        <w:rPr>
          <w:rFonts w:asciiTheme="minorHAnsi" w:hAnsiTheme="minorHAnsi" w:cstheme="minorHAnsi"/>
          <w:color w:val="000000" w:themeColor="text1"/>
          <w:lang w:val="en-GB"/>
        </w:rPr>
        <w:t>Europol has made considerable steps in terms of police cooperation and information sharing between Member States. However, Europol’s exceptionally close collaboration with third party states, particularly the United States, is criticised for lacking accountability and transparency (</w:t>
      </w:r>
      <w:proofErr w:type="spellStart"/>
      <w:r w:rsidR="00332565" w:rsidRPr="0089670F">
        <w:rPr>
          <w:rFonts w:asciiTheme="minorHAnsi" w:hAnsiTheme="minorHAnsi" w:cstheme="minorHAnsi"/>
          <w:color w:val="000000" w:themeColor="text1"/>
          <w:lang w:val="en-GB"/>
        </w:rPr>
        <w:t>Jannson</w:t>
      </w:r>
      <w:proofErr w:type="spellEnd"/>
      <w:r w:rsidR="00A06AB6">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2018</w:t>
      </w:r>
      <w:r w:rsidR="00A06AB6">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436). In addition, growing levels of bureaucratic powers transferred to Europol raise fundamental questions about a lack of oversight and democratic control of Europol’s investigations and activities by both EU institutions and those of Member States (</w:t>
      </w:r>
      <w:proofErr w:type="spellStart"/>
      <w:r w:rsidR="00332565" w:rsidRPr="0089670F">
        <w:rPr>
          <w:rFonts w:asciiTheme="minorHAnsi" w:hAnsiTheme="minorHAnsi" w:cstheme="minorHAnsi"/>
          <w:color w:val="000000" w:themeColor="text1"/>
          <w:lang w:val="en-GB"/>
        </w:rPr>
        <w:t>Gruszczak</w:t>
      </w:r>
      <w:proofErr w:type="spellEnd"/>
      <w:r w:rsidR="00A06AB6">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2016</w:t>
      </w:r>
      <w:r w:rsidR="00A06AB6">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 xml:space="preserve">15-6). </w:t>
      </w:r>
    </w:p>
    <w:p w14:paraId="10B5488D" w14:textId="476966A2" w:rsidR="00332565" w:rsidRPr="0089670F" w:rsidRDefault="00332565" w:rsidP="00A947ED">
      <w:pPr>
        <w:rPr>
          <w:rFonts w:asciiTheme="minorHAnsi" w:hAnsiTheme="minorHAnsi" w:cstheme="minorHAnsi"/>
          <w:color w:val="000000" w:themeColor="text1"/>
          <w:lang w:val="en-GB"/>
        </w:rPr>
      </w:pPr>
    </w:p>
    <w:p w14:paraId="2A895821" w14:textId="193375EA" w:rsidR="00332565" w:rsidRPr="0089670F"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The European Union Agency for Criminal Justice Cooperation (</w:t>
      </w:r>
      <w:r w:rsidRPr="00D03403">
        <w:rPr>
          <w:rFonts w:asciiTheme="minorHAnsi" w:hAnsiTheme="minorHAnsi" w:cstheme="minorHAnsi"/>
          <w:b/>
          <w:color w:val="000000" w:themeColor="text1"/>
          <w:lang w:val="en-GB"/>
        </w:rPr>
        <w:t>Eurojust</w:t>
      </w:r>
      <w:r w:rsidRPr="0089670F">
        <w:rPr>
          <w:rFonts w:asciiTheme="minorHAnsi" w:hAnsiTheme="minorHAnsi" w:cstheme="minorHAnsi"/>
          <w:color w:val="000000" w:themeColor="text1"/>
          <w:lang w:val="en-GB"/>
        </w:rPr>
        <w:t>) was established in 2002 to coordinate national investigations and prosecut</w:t>
      </w:r>
      <w:r w:rsidR="00E164DC">
        <w:rPr>
          <w:rFonts w:asciiTheme="minorHAnsi" w:hAnsiTheme="minorHAnsi" w:cstheme="minorHAnsi"/>
          <w:color w:val="000000" w:themeColor="text1"/>
          <w:lang w:val="en-GB"/>
        </w:rPr>
        <w:t>e</w:t>
      </w:r>
      <w:r w:rsidRPr="0089670F">
        <w:rPr>
          <w:rFonts w:asciiTheme="minorHAnsi" w:hAnsiTheme="minorHAnsi" w:cstheme="minorHAnsi"/>
          <w:color w:val="000000" w:themeColor="text1"/>
          <w:lang w:val="en-GB"/>
        </w:rPr>
        <w:t xml:space="preserve"> authorities where more than one Member State is involved. Its facilitation of judicial cooperation has been an integral part of EU attempts to better coordinate OC and counter-terrorism policy. In September 2019, Eurojust launched a </w:t>
      </w:r>
      <w:proofErr w:type="gramStart"/>
      <w:r w:rsidRPr="0089670F">
        <w:rPr>
          <w:rFonts w:asciiTheme="minorHAnsi" w:hAnsiTheme="minorHAnsi" w:cstheme="minorHAnsi"/>
          <w:color w:val="000000" w:themeColor="text1"/>
          <w:lang w:val="en-GB"/>
        </w:rPr>
        <w:t>counter-terrorism</w:t>
      </w:r>
      <w:proofErr w:type="gramEnd"/>
      <w:r w:rsidRPr="0089670F">
        <w:rPr>
          <w:rFonts w:asciiTheme="minorHAnsi" w:hAnsiTheme="minorHAnsi" w:cstheme="minorHAnsi"/>
          <w:color w:val="000000" w:themeColor="text1"/>
          <w:lang w:val="en-GB"/>
        </w:rPr>
        <w:t xml:space="preserve"> register to enable prosecutors across the EU to work together to strengthening</w:t>
      </w:r>
      <w:r w:rsidR="00DF7E80">
        <w:rPr>
          <w:rFonts w:asciiTheme="minorHAnsi" w:hAnsiTheme="minorHAnsi" w:cstheme="minorHAnsi"/>
          <w:color w:val="000000" w:themeColor="text1"/>
          <w:lang w:val="en-GB"/>
        </w:rPr>
        <w:t xml:space="preserve"> and speeding up investigations</w:t>
      </w:r>
      <w:r w:rsidRPr="0089670F">
        <w:rPr>
          <w:rFonts w:asciiTheme="minorHAnsi" w:hAnsiTheme="minorHAnsi" w:cstheme="minorHAnsi"/>
          <w:color w:val="000000" w:themeColor="text1"/>
          <w:lang w:val="en-GB"/>
        </w:rPr>
        <w:t>. During 2019, Eurojust’s judicial support ensured more than two billion euros of criminal assets were frozen</w:t>
      </w:r>
      <w:r w:rsidR="00CE5651" w:rsidRPr="0089670F">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and 2,800 suspects were arrested and handed over to the relevant member state authorities. The number of cases coordinated through national desks at Eurojust (7804) was double that </w:t>
      </w:r>
      <w:r w:rsidR="00CE5651" w:rsidRPr="0089670F">
        <w:rPr>
          <w:rFonts w:asciiTheme="minorHAnsi" w:hAnsiTheme="minorHAnsi" w:cstheme="minorHAnsi"/>
          <w:color w:val="000000" w:themeColor="text1"/>
          <w:lang w:val="en-GB"/>
        </w:rPr>
        <w:t>of</w:t>
      </w:r>
      <w:r w:rsidRPr="0089670F">
        <w:rPr>
          <w:rFonts w:asciiTheme="minorHAnsi" w:hAnsiTheme="minorHAnsi" w:cstheme="minorHAnsi"/>
          <w:color w:val="000000" w:themeColor="text1"/>
          <w:lang w:val="en-GB"/>
        </w:rPr>
        <w:t xml:space="preserve"> 2014 (Eurojust</w:t>
      </w:r>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2020). </w:t>
      </w:r>
    </w:p>
    <w:p w14:paraId="062689A0" w14:textId="39F197FC" w:rsidR="00332565" w:rsidRPr="0089670F" w:rsidRDefault="00332565" w:rsidP="00A947ED">
      <w:pPr>
        <w:rPr>
          <w:rFonts w:asciiTheme="minorHAnsi" w:hAnsiTheme="minorHAnsi" w:cstheme="minorHAnsi"/>
          <w:color w:val="000000" w:themeColor="text1"/>
          <w:lang w:val="en-GB"/>
        </w:rPr>
      </w:pPr>
    </w:p>
    <w:p w14:paraId="545A1113" w14:textId="13E913AB" w:rsidR="00734F43" w:rsidRPr="0089670F" w:rsidRDefault="00332565" w:rsidP="00A947ED">
      <w:pPr>
        <w:rPr>
          <w:rFonts w:asciiTheme="minorHAnsi" w:hAnsiTheme="minorHAnsi" w:cstheme="minorHAnsi"/>
          <w:color w:val="000000" w:themeColor="text1"/>
          <w:lang w:val="en-GB"/>
        </w:rPr>
      </w:pPr>
      <w:r w:rsidRPr="00D03403">
        <w:rPr>
          <w:rFonts w:asciiTheme="minorHAnsi" w:hAnsiTheme="minorHAnsi" w:cstheme="minorHAnsi"/>
          <w:b/>
          <w:color w:val="000000" w:themeColor="text1"/>
          <w:lang w:val="en-GB"/>
        </w:rPr>
        <w:t>The European Arrest Warrant</w:t>
      </w:r>
      <w:r w:rsidRPr="0089670F">
        <w:rPr>
          <w:rFonts w:asciiTheme="minorHAnsi" w:hAnsiTheme="minorHAnsi" w:cstheme="minorHAnsi"/>
          <w:color w:val="000000" w:themeColor="text1"/>
          <w:lang w:val="en-GB"/>
        </w:rPr>
        <w:t xml:space="preserve"> (EAW), introduced in January 2004, represents a deeper level of judicial cooperation than traditional extradition (</w:t>
      </w:r>
      <w:proofErr w:type="spellStart"/>
      <w:r w:rsidR="004F347B">
        <w:rPr>
          <w:rFonts w:asciiTheme="minorHAnsi" w:hAnsiTheme="minorHAnsi" w:cstheme="minorHAnsi"/>
          <w:color w:val="000000" w:themeColor="text1"/>
          <w:lang w:val="en-GB"/>
        </w:rPr>
        <w:t>Rusu</w:t>
      </w:r>
      <w:proofErr w:type="spellEnd"/>
      <w:r w:rsidR="004F347B">
        <w:rPr>
          <w:rFonts w:asciiTheme="minorHAnsi" w:hAnsiTheme="minorHAnsi" w:cstheme="minorHAnsi"/>
          <w:color w:val="000000" w:themeColor="text1"/>
          <w:lang w:val="en-GB"/>
        </w:rPr>
        <w:t xml:space="preserve"> 2012</w:t>
      </w:r>
      <w:r w:rsidR="00A06AB6">
        <w:rPr>
          <w:rFonts w:asciiTheme="minorHAnsi" w:hAnsiTheme="minorHAnsi" w:cstheme="minorHAnsi"/>
          <w:color w:val="000000" w:themeColor="text1"/>
          <w:lang w:val="en-GB"/>
        </w:rPr>
        <w:t>:</w:t>
      </w:r>
      <w:r w:rsidR="004F347B">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1). An EAW issued by the judicial authority of an EU member state is automatically valid in every other member state. Decisions on EAWs are made by judicial authorities without any political interference, speeding up the process of bringing an individual back to another Member State (European Council</w:t>
      </w:r>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2002).</w:t>
      </w:r>
      <w:r w:rsidR="005D3E26">
        <w:rPr>
          <w:rFonts w:asciiTheme="minorHAnsi" w:hAnsiTheme="minorHAnsi" w:cstheme="minorHAnsi"/>
          <w:color w:val="000000" w:themeColor="text1"/>
          <w:lang w:val="en-GB"/>
        </w:rPr>
        <w:t xml:space="preserve"> T</w:t>
      </w:r>
      <w:r w:rsidRPr="0089670F">
        <w:rPr>
          <w:rFonts w:asciiTheme="minorHAnsi" w:hAnsiTheme="minorHAnsi" w:cstheme="minorHAnsi"/>
          <w:color w:val="000000" w:themeColor="text1"/>
          <w:lang w:val="en-GB"/>
        </w:rPr>
        <w:t>he European Court of Justice (ECJ) is responsible for resolving EAW disputes, which seems at odds with the initial motivation to avoid political disagreements and speed up extradition of suspected terrorists and those involved in OC (</w:t>
      </w:r>
      <w:proofErr w:type="spellStart"/>
      <w:r w:rsidRPr="0089670F">
        <w:rPr>
          <w:rFonts w:asciiTheme="minorHAnsi" w:hAnsiTheme="minorHAnsi" w:cstheme="minorHAnsi"/>
          <w:color w:val="000000" w:themeColor="text1"/>
          <w:lang w:val="en-GB"/>
        </w:rPr>
        <w:t>Mortera</w:t>
      </w:r>
      <w:proofErr w:type="spellEnd"/>
      <w:r w:rsidRPr="0089670F">
        <w:rPr>
          <w:rFonts w:asciiTheme="minorHAnsi" w:hAnsiTheme="minorHAnsi" w:cstheme="minorHAnsi"/>
          <w:color w:val="000000" w:themeColor="text1"/>
          <w:lang w:val="en-GB"/>
        </w:rPr>
        <w:t>-Martinez</w:t>
      </w:r>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2019a). The need for the ECJ to step in and arbitrate in such disputes </w:t>
      </w:r>
      <w:r w:rsidR="00CE5651" w:rsidRPr="0089670F">
        <w:rPr>
          <w:rFonts w:asciiTheme="minorHAnsi" w:hAnsiTheme="minorHAnsi" w:cstheme="minorHAnsi"/>
          <w:color w:val="000000" w:themeColor="text1"/>
          <w:lang w:val="en-GB"/>
        </w:rPr>
        <w:t>demonstrates</w:t>
      </w:r>
      <w:r w:rsidRPr="0089670F">
        <w:rPr>
          <w:rFonts w:asciiTheme="minorHAnsi" w:hAnsiTheme="minorHAnsi" w:cstheme="minorHAnsi"/>
          <w:color w:val="000000" w:themeColor="text1"/>
          <w:lang w:val="en-GB"/>
        </w:rPr>
        <w:t xml:space="preserve"> there has been </w:t>
      </w:r>
      <w:r w:rsidRPr="00734F43">
        <w:rPr>
          <w:rFonts w:asciiTheme="minorHAnsi" w:hAnsiTheme="minorHAnsi" w:cstheme="minorHAnsi"/>
          <w:color w:val="000000" w:themeColor="text1"/>
          <w:lang w:val="en-GB"/>
        </w:rPr>
        <w:t>push back from Member States</w:t>
      </w:r>
      <w:r w:rsidRPr="0089670F">
        <w:rPr>
          <w:rFonts w:asciiTheme="minorHAnsi" w:hAnsiTheme="minorHAnsi" w:cstheme="minorHAnsi"/>
          <w:color w:val="000000" w:themeColor="text1"/>
          <w:lang w:val="en-GB"/>
        </w:rPr>
        <w:t xml:space="preserve"> who are keen to maintain the primacy of national efforts to combat terr</w:t>
      </w:r>
      <w:r w:rsidR="004F347B">
        <w:rPr>
          <w:rFonts w:asciiTheme="minorHAnsi" w:hAnsiTheme="minorHAnsi" w:cstheme="minorHAnsi"/>
          <w:color w:val="000000" w:themeColor="text1"/>
          <w:lang w:val="en-GB"/>
        </w:rPr>
        <w:t>orism and OC.</w:t>
      </w:r>
      <w:r w:rsidRPr="0089670F">
        <w:rPr>
          <w:rFonts w:asciiTheme="minorHAnsi" w:hAnsiTheme="minorHAnsi" w:cstheme="minorHAnsi"/>
          <w:color w:val="000000" w:themeColor="text1"/>
          <w:lang w:val="en-GB"/>
        </w:rPr>
        <w:t xml:space="preserve"> Furthermore, disputes over EAWs have revealed some of the complexities that arise from judicial and police cooperation between states in vastly different legal tradit</w:t>
      </w:r>
      <w:r w:rsidR="00D03403">
        <w:rPr>
          <w:rFonts w:asciiTheme="minorHAnsi" w:hAnsiTheme="minorHAnsi" w:cstheme="minorHAnsi"/>
          <w:color w:val="000000" w:themeColor="text1"/>
          <w:lang w:val="en-GB"/>
        </w:rPr>
        <w:t xml:space="preserve">ions and cultures of policing. </w:t>
      </w:r>
      <w:r w:rsidR="00CE5651" w:rsidRPr="0089670F">
        <w:rPr>
          <w:rFonts w:asciiTheme="minorHAnsi" w:hAnsiTheme="minorHAnsi" w:cstheme="minorHAnsi"/>
          <w:color w:val="000000" w:themeColor="text1"/>
          <w:lang w:val="en-GB"/>
        </w:rPr>
        <w:t xml:space="preserve">In </w:t>
      </w:r>
      <w:r w:rsidRPr="0089670F">
        <w:rPr>
          <w:rFonts w:asciiTheme="minorHAnsi" w:hAnsiTheme="minorHAnsi" w:cstheme="minorHAnsi"/>
          <w:color w:val="000000" w:themeColor="text1"/>
          <w:lang w:val="en-GB"/>
        </w:rPr>
        <w:t xml:space="preserve">2018, </w:t>
      </w:r>
      <w:r w:rsidR="00CE5651" w:rsidRPr="0089670F">
        <w:rPr>
          <w:rFonts w:asciiTheme="minorHAnsi" w:hAnsiTheme="minorHAnsi" w:cstheme="minorHAnsi"/>
          <w:color w:val="000000" w:themeColor="text1"/>
          <w:lang w:val="en-GB"/>
        </w:rPr>
        <w:t>for</w:t>
      </w:r>
      <w:r w:rsidR="00205D14">
        <w:rPr>
          <w:rFonts w:asciiTheme="minorHAnsi" w:hAnsiTheme="minorHAnsi" w:cstheme="minorHAnsi"/>
          <w:color w:val="000000" w:themeColor="text1"/>
          <w:lang w:val="en-GB"/>
        </w:rPr>
        <w:t xml:space="preserve"> instance,</w:t>
      </w:r>
      <w:r w:rsidR="00CE5651" w:rsidRPr="0089670F">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the Irish High Court refused to automatically grant the surrender of a man wanted on drug trafficking charges in Poland</w:t>
      </w:r>
      <w:r w:rsidR="00232DD3">
        <w:rPr>
          <w:rFonts w:asciiTheme="minorHAnsi" w:hAnsiTheme="minorHAnsi" w:cstheme="minorHAnsi"/>
          <w:color w:val="000000" w:themeColor="text1"/>
          <w:lang w:val="en-GB"/>
        </w:rPr>
        <w:t>.</w:t>
      </w:r>
      <w:r w:rsidRPr="0089670F">
        <w:rPr>
          <w:rFonts w:asciiTheme="minorHAnsi" w:hAnsiTheme="minorHAnsi" w:cstheme="minorHAnsi"/>
          <w:color w:val="000000" w:themeColor="text1"/>
          <w:lang w:val="en-GB"/>
        </w:rPr>
        <w:t xml:space="preserve"> </w:t>
      </w:r>
      <w:r w:rsidR="00232DD3">
        <w:rPr>
          <w:rFonts w:asciiTheme="minorHAnsi" w:hAnsiTheme="minorHAnsi" w:cstheme="minorHAnsi"/>
          <w:color w:val="000000" w:themeColor="text1"/>
          <w:lang w:val="en-GB"/>
        </w:rPr>
        <w:t>This was due to a set</w:t>
      </w:r>
      <w:r w:rsidR="00232DD3" w:rsidRPr="0089670F">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of </w:t>
      </w:r>
      <w:r w:rsidR="00F80D53" w:rsidRPr="0089670F">
        <w:rPr>
          <w:rFonts w:asciiTheme="minorHAnsi" w:hAnsiTheme="minorHAnsi" w:cstheme="minorHAnsi"/>
          <w:color w:val="000000" w:themeColor="text1"/>
          <w:lang w:val="en-GB"/>
        </w:rPr>
        <w:t xml:space="preserve">Polish </w:t>
      </w:r>
      <w:r w:rsidRPr="0089670F">
        <w:rPr>
          <w:rFonts w:asciiTheme="minorHAnsi" w:hAnsiTheme="minorHAnsi" w:cstheme="minorHAnsi"/>
          <w:color w:val="000000" w:themeColor="text1"/>
          <w:lang w:val="en-GB"/>
        </w:rPr>
        <w:t xml:space="preserve">laws </w:t>
      </w:r>
      <w:r w:rsidR="00232DD3">
        <w:rPr>
          <w:rFonts w:asciiTheme="minorHAnsi" w:hAnsiTheme="minorHAnsi" w:cstheme="minorHAnsi"/>
          <w:color w:val="000000" w:themeColor="text1"/>
          <w:lang w:val="en-GB"/>
        </w:rPr>
        <w:t>deemed by High Court</w:t>
      </w:r>
      <w:r w:rsidR="00232DD3" w:rsidRPr="0089670F">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Justice </w:t>
      </w:r>
      <w:r w:rsidR="00232DD3">
        <w:rPr>
          <w:rFonts w:asciiTheme="minorHAnsi" w:hAnsiTheme="minorHAnsi" w:cstheme="minorHAnsi"/>
          <w:color w:val="000000" w:themeColor="text1"/>
          <w:lang w:val="en-GB"/>
        </w:rPr>
        <w:t xml:space="preserve">Aileen </w:t>
      </w:r>
      <w:r w:rsidRPr="0089670F">
        <w:rPr>
          <w:rFonts w:asciiTheme="minorHAnsi" w:hAnsiTheme="minorHAnsi" w:cstheme="minorHAnsi"/>
          <w:color w:val="000000" w:themeColor="text1"/>
          <w:lang w:val="en-GB"/>
        </w:rPr>
        <w:t xml:space="preserve">Donnelly </w:t>
      </w:r>
      <w:r w:rsidR="00232DD3">
        <w:rPr>
          <w:rFonts w:asciiTheme="minorHAnsi" w:hAnsiTheme="minorHAnsi" w:cstheme="minorHAnsi"/>
          <w:color w:val="000000" w:themeColor="text1"/>
          <w:lang w:val="en-GB"/>
        </w:rPr>
        <w:t>to</w:t>
      </w:r>
      <w:r w:rsidRPr="0089670F">
        <w:rPr>
          <w:rFonts w:asciiTheme="minorHAnsi" w:hAnsiTheme="minorHAnsi" w:cstheme="minorHAnsi"/>
          <w:color w:val="000000" w:themeColor="text1"/>
          <w:lang w:val="en-GB"/>
        </w:rPr>
        <w:t xml:space="preserve"> undermine the independence of the Polish judiciary (Barrett</w:t>
      </w:r>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2018). The ECJ subsequently ruled that Member States had the right to refuse or postpone EAWs issued by Poland because of concerns about breaches </w:t>
      </w:r>
      <w:r w:rsidR="00F80D53" w:rsidRPr="0089670F">
        <w:rPr>
          <w:rFonts w:asciiTheme="minorHAnsi" w:hAnsiTheme="minorHAnsi" w:cstheme="minorHAnsi"/>
          <w:color w:val="000000" w:themeColor="text1"/>
          <w:lang w:val="en-GB"/>
        </w:rPr>
        <w:t xml:space="preserve">of </w:t>
      </w:r>
      <w:r w:rsidRPr="0089670F">
        <w:rPr>
          <w:rFonts w:asciiTheme="minorHAnsi" w:hAnsiTheme="minorHAnsi" w:cstheme="minorHAnsi"/>
          <w:color w:val="000000" w:themeColor="text1"/>
          <w:lang w:val="en-GB"/>
        </w:rPr>
        <w:t xml:space="preserve">human </w:t>
      </w:r>
      <w:r w:rsidR="00F80D53" w:rsidRPr="0089670F">
        <w:rPr>
          <w:rFonts w:asciiTheme="minorHAnsi" w:hAnsiTheme="minorHAnsi" w:cstheme="minorHAnsi"/>
          <w:color w:val="000000" w:themeColor="text1"/>
          <w:lang w:val="en-GB"/>
        </w:rPr>
        <w:t xml:space="preserve">rights </w:t>
      </w:r>
      <w:r w:rsidRPr="0089670F">
        <w:rPr>
          <w:rFonts w:asciiTheme="minorHAnsi" w:hAnsiTheme="minorHAnsi" w:cstheme="minorHAnsi"/>
          <w:color w:val="000000" w:themeColor="text1"/>
          <w:lang w:val="en-GB"/>
        </w:rPr>
        <w:t>(EC</w:t>
      </w:r>
      <w:r w:rsidR="00A06AB6">
        <w:rPr>
          <w:rFonts w:asciiTheme="minorHAnsi" w:hAnsiTheme="minorHAnsi" w:cstheme="minorHAnsi"/>
          <w:color w:val="000000" w:themeColor="text1"/>
          <w:lang w:val="en-GB"/>
        </w:rPr>
        <w:t>J</w:t>
      </w:r>
      <w:r w:rsidRPr="0089670F">
        <w:rPr>
          <w:rFonts w:asciiTheme="minorHAnsi" w:hAnsiTheme="minorHAnsi" w:cstheme="minorHAnsi"/>
          <w:color w:val="000000" w:themeColor="text1"/>
          <w:lang w:val="en-GB"/>
        </w:rPr>
        <w:t xml:space="preserve"> 2018).</w:t>
      </w:r>
    </w:p>
    <w:p w14:paraId="020268BC" w14:textId="49A552F6" w:rsidR="00332565" w:rsidRDefault="00763D3B" w:rsidP="00A947ED">
      <w:p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 </w:t>
      </w:r>
    </w:p>
    <w:p w14:paraId="7BF8C3B4" w14:textId="5E2C7F9B" w:rsidR="00D03403" w:rsidRPr="0089670F" w:rsidRDefault="00D03403"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In 2016, th</w:t>
      </w:r>
      <w:r>
        <w:rPr>
          <w:rFonts w:asciiTheme="minorHAnsi" w:hAnsiTheme="minorHAnsi" w:cstheme="minorHAnsi"/>
          <w:color w:val="000000" w:themeColor="text1"/>
          <w:lang w:val="en-GB"/>
        </w:rPr>
        <w:t>e European Commission launched t</w:t>
      </w:r>
      <w:r w:rsidRPr="00D03403">
        <w:rPr>
          <w:rFonts w:asciiTheme="minorHAnsi" w:hAnsiTheme="minorHAnsi" w:cstheme="minorHAnsi"/>
          <w:color w:val="000000" w:themeColor="text1"/>
          <w:lang w:val="en-GB"/>
        </w:rPr>
        <w:t>he</w:t>
      </w:r>
      <w:r w:rsidRPr="00D03403">
        <w:rPr>
          <w:rFonts w:asciiTheme="minorHAnsi" w:hAnsiTheme="minorHAnsi" w:cstheme="minorHAnsi"/>
          <w:b/>
          <w:color w:val="000000" w:themeColor="text1"/>
          <w:lang w:val="en-GB"/>
        </w:rPr>
        <w:t xml:space="preserve"> Security Union</w:t>
      </w:r>
      <w:r w:rsidRPr="0089670F">
        <w:rPr>
          <w:rFonts w:asciiTheme="minorHAnsi" w:hAnsiTheme="minorHAnsi" w:cstheme="minorHAnsi"/>
          <w:color w:val="000000" w:themeColor="text1"/>
          <w:lang w:val="en-GB"/>
        </w:rPr>
        <w:t xml:space="preserve"> after a wave of terrorist attacks across Europe and the so-called migrant crisis had exposed ‘cracks’ in the European  </w:t>
      </w:r>
      <w:r w:rsidR="00232123">
        <w:rPr>
          <w:rFonts w:asciiTheme="minorHAnsi" w:hAnsiTheme="minorHAnsi" w:cstheme="minorHAnsi"/>
          <w:color w:val="000000" w:themeColor="text1"/>
          <w:lang w:val="en-GB"/>
        </w:rPr>
        <w:t>security structures</w:t>
      </w:r>
      <w:r w:rsidRPr="0089670F">
        <w:rPr>
          <w:rFonts w:asciiTheme="minorHAnsi" w:hAnsiTheme="minorHAnsi" w:cstheme="minorHAnsi"/>
          <w:color w:val="000000" w:themeColor="text1"/>
          <w:lang w:val="en-GB"/>
        </w:rPr>
        <w:t>. It is tasked with improving coordination between EU frameworks and Member States in five key policy areas including terrorism and OC (EU Commission</w:t>
      </w:r>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2019; </w:t>
      </w:r>
      <w:proofErr w:type="spellStart"/>
      <w:r w:rsidRPr="0089670F">
        <w:rPr>
          <w:rFonts w:asciiTheme="minorHAnsi" w:hAnsiTheme="minorHAnsi" w:cstheme="minorHAnsi"/>
          <w:color w:val="000000" w:themeColor="text1"/>
          <w:lang w:val="en-GB"/>
        </w:rPr>
        <w:t>Mortera</w:t>
      </w:r>
      <w:proofErr w:type="spellEnd"/>
      <w:r w:rsidRPr="0089670F">
        <w:rPr>
          <w:rFonts w:asciiTheme="minorHAnsi" w:hAnsiTheme="minorHAnsi" w:cstheme="minorHAnsi"/>
          <w:color w:val="000000" w:themeColor="text1"/>
          <w:lang w:val="en-GB"/>
        </w:rPr>
        <w:t xml:space="preserve">-Martinez 2019b). The Security Union is perceived to have achieved tangible progress in policy areas often marred by fragmentation such as coordinating databases, </w:t>
      </w:r>
      <w:r w:rsidRPr="0089670F">
        <w:rPr>
          <w:rFonts w:asciiTheme="minorHAnsi" w:hAnsiTheme="minorHAnsi" w:cstheme="minorHAnsi"/>
          <w:color w:val="000000" w:themeColor="text1"/>
          <w:lang w:val="en-GB"/>
        </w:rPr>
        <w:lastRenderedPageBreak/>
        <w:t xml:space="preserve">information sharing and, significantly, </w:t>
      </w:r>
      <w:proofErr w:type="gramStart"/>
      <w:r w:rsidRPr="0089670F">
        <w:rPr>
          <w:rFonts w:asciiTheme="minorHAnsi" w:hAnsiTheme="minorHAnsi" w:cstheme="minorHAnsi"/>
          <w:color w:val="000000" w:themeColor="text1"/>
          <w:lang w:val="en-GB"/>
        </w:rPr>
        <w:t>counter-terrorism</w:t>
      </w:r>
      <w:proofErr w:type="gramEnd"/>
      <w:r w:rsidRPr="0089670F">
        <w:rPr>
          <w:rFonts w:asciiTheme="minorHAnsi" w:hAnsiTheme="minorHAnsi" w:cstheme="minorHAnsi"/>
          <w:color w:val="000000" w:themeColor="text1"/>
          <w:lang w:val="en-GB"/>
        </w:rPr>
        <w:t xml:space="preserve"> (</w:t>
      </w:r>
      <w:proofErr w:type="spellStart"/>
      <w:r w:rsidRPr="0089670F">
        <w:rPr>
          <w:rFonts w:asciiTheme="minorHAnsi" w:hAnsiTheme="minorHAnsi" w:cstheme="minorHAnsi"/>
          <w:color w:val="000000" w:themeColor="text1"/>
          <w:lang w:val="en-GB"/>
        </w:rPr>
        <w:t>Volpicelli</w:t>
      </w:r>
      <w:proofErr w:type="spellEnd"/>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2019; </w:t>
      </w:r>
      <w:proofErr w:type="spellStart"/>
      <w:r w:rsidR="00A06AB6">
        <w:rPr>
          <w:rFonts w:asciiTheme="minorHAnsi" w:hAnsiTheme="minorHAnsi" w:cstheme="minorHAnsi"/>
          <w:color w:val="000000" w:themeColor="text1"/>
          <w:lang w:val="en-GB"/>
        </w:rPr>
        <w:t>Mortera</w:t>
      </w:r>
      <w:proofErr w:type="spellEnd"/>
      <w:r w:rsidR="00A06AB6">
        <w:rPr>
          <w:rFonts w:asciiTheme="minorHAnsi" w:hAnsiTheme="minorHAnsi" w:cstheme="minorHAnsi"/>
          <w:color w:val="000000" w:themeColor="text1"/>
          <w:lang w:val="en-GB"/>
        </w:rPr>
        <w:t>-Martinez 2019b</w:t>
      </w:r>
      <w:r w:rsidRPr="0089670F">
        <w:rPr>
          <w:rFonts w:asciiTheme="minorHAnsi" w:hAnsiTheme="minorHAnsi" w:cstheme="minorHAnsi"/>
          <w:color w:val="000000" w:themeColor="text1"/>
          <w:lang w:val="en-GB"/>
        </w:rPr>
        <w:t>). The Security Union ensured almost all Member States implemented the Passenger Name Record (PNR) Directive, which identifies and tracks dangerous individuals, including terror suspects, flying around and into Europe (</w:t>
      </w:r>
      <w:proofErr w:type="spellStart"/>
      <w:r w:rsidRPr="0089670F">
        <w:rPr>
          <w:rFonts w:asciiTheme="minorHAnsi" w:hAnsiTheme="minorHAnsi" w:cstheme="minorHAnsi"/>
          <w:color w:val="000000" w:themeColor="text1"/>
          <w:lang w:val="en-GB"/>
        </w:rPr>
        <w:t>Volpicelli</w:t>
      </w:r>
      <w:proofErr w:type="spellEnd"/>
      <w:r w:rsidRPr="0089670F">
        <w:rPr>
          <w:rFonts w:asciiTheme="minorHAnsi" w:hAnsiTheme="minorHAnsi" w:cstheme="minorHAnsi"/>
          <w:color w:val="000000" w:themeColor="text1"/>
          <w:lang w:val="en-GB"/>
        </w:rPr>
        <w:t xml:space="preserve"> 2019). By November 2019, 16 of the 22 legislative initiatives supported by the Security Union put to the European Parliament and the Council of the European Union had been accepted (European Commission</w:t>
      </w:r>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2019</w:t>
      </w:r>
      <w:r w:rsidR="00A06AB6">
        <w:rPr>
          <w:rFonts w:asciiTheme="minorHAnsi" w:hAnsiTheme="minorHAnsi" w:cstheme="minorHAnsi"/>
          <w:color w:val="000000" w:themeColor="text1"/>
          <w:lang w:val="en-GB"/>
        </w:rPr>
        <w:t>:</w:t>
      </w:r>
      <w:r w:rsidRPr="0089670F">
        <w:rPr>
          <w:rFonts w:asciiTheme="minorHAnsi" w:hAnsiTheme="minorHAnsi" w:cstheme="minorHAnsi"/>
          <w:color w:val="000000" w:themeColor="text1"/>
          <w:lang w:val="en-GB"/>
        </w:rPr>
        <w:t xml:space="preserve"> 1). </w:t>
      </w:r>
    </w:p>
    <w:p w14:paraId="33463DA9" w14:textId="77777777" w:rsidR="00D03403" w:rsidRPr="0089670F" w:rsidRDefault="00D03403" w:rsidP="00A947ED">
      <w:pPr>
        <w:rPr>
          <w:rFonts w:asciiTheme="minorHAnsi" w:hAnsiTheme="minorHAnsi" w:cstheme="minorHAnsi"/>
          <w:color w:val="000000" w:themeColor="text1"/>
          <w:lang w:val="en-GB"/>
        </w:rPr>
      </w:pPr>
    </w:p>
    <w:p w14:paraId="1CEDB06B" w14:textId="213DEE10" w:rsidR="00332565" w:rsidRPr="0089670F"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Despite the growing number of European level organisations and frameworks to tackle organised crime and terrorism, there has been resistance to the Europeanisation of these</w:t>
      </w:r>
      <w:r w:rsidR="004F347B">
        <w:rPr>
          <w:rFonts w:asciiTheme="minorHAnsi" w:hAnsiTheme="minorHAnsi" w:cstheme="minorHAnsi"/>
          <w:color w:val="000000" w:themeColor="text1"/>
          <w:lang w:val="en-GB"/>
        </w:rPr>
        <w:t xml:space="preserve"> policy areas over the last decade.</w:t>
      </w:r>
      <w:r w:rsidRPr="0089670F">
        <w:rPr>
          <w:rFonts w:asciiTheme="minorHAnsi" w:hAnsiTheme="minorHAnsi" w:cstheme="minorHAnsi"/>
          <w:color w:val="000000" w:themeColor="text1"/>
          <w:lang w:val="en-GB"/>
        </w:rPr>
        <w:t xml:space="preserve"> For example, evidence of the resistance of </w:t>
      </w:r>
      <w:r w:rsidR="00734F43">
        <w:rPr>
          <w:rFonts w:asciiTheme="minorHAnsi" w:hAnsiTheme="minorHAnsi" w:cstheme="minorHAnsi"/>
          <w:color w:val="000000" w:themeColor="text1"/>
          <w:lang w:val="en-GB"/>
        </w:rPr>
        <w:t>some</w:t>
      </w:r>
      <w:r w:rsidRPr="0089670F">
        <w:rPr>
          <w:rFonts w:asciiTheme="minorHAnsi" w:hAnsiTheme="minorHAnsi" w:cstheme="minorHAnsi"/>
          <w:color w:val="000000" w:themeColor="text1"/>
          <w:lang w:val="en-GB"/>
        </w:rPr>
        <w:t xml:space="preserve"> Member States to incremental Europeanisation of </w:t>
      </w:r>
      <w:proofErr w:type="gramStart"/>
      <w:r w:rsidRPr="0089670F">
        <w:rPr>
          <w:rFonts w:asciiTheme="minorHAnsi" w:hAnsiTheme="minorHAnsi" w:cstheme="minorHAnsi"/>
          <w:color w:val="000000" w:themeColor="text1"/>
          <w:lang w:val="en-GB"/>
        </w:rPr>
        <w:t>counter-terrorism</w:t>
      </w:r>
      <w:proofErr w:type="gramEnd"/>
      <w:r w:rsidRPr="0089670F">
        <w:rPr>
          <w:rFonts w:asciiTheme="minorHAnsi" w:hAnsiTheme="minorHAnsi" w:cstheme="minorHAnsi"/>
          <w:color w:val="000000" w:themeColor="text1"/>
          <w:lang w:val="en-GB"/>
        </w:rPr>
        <w:t xml:space="preserve"> and OC policies can be seen in their response to the creation of The European Public Prosecutor’s Office (EPPO). Scheduled to start operations in late 2020, the EPPO </w:t>
      </w:r>
      <w:r w:rsidR="009806B8">
        <w:rPr>
          <w:rFonts w:asciiTheme="minorHAnsi" w:hAnsiTheme="minorHAnsi" w:cstheme="minorHAnsi"/>
          <w:color w:val="000000" w:themeColor="text1"/>
          <w:lang w:val="en-GB"/>
        </w:rPr>
        <w:t xml:space="preserve">would be </w:t>
      </w:r>
      <w:r w:rsidRPr="0089670F">
        <w:rPr>
          <w:rFonts w:asciiTheme="minorHAnsi" w:hAnsiTheme="minorHAnsi" w:cstheme="minorHAnsi"/>
          <w:color w:val="000000" w:themeColor="text1"/>
          <w:lang w:val="en-GB"/>
        </w:rPr>
        <w:t>‘an independent and decentralised prosecution office of the European Union, with the competence to investigate, prosecute and bring to judgment crimes against the EU budget, such as fraud, corruption or serious cross-border VAT fraud’ (EU Commission 2020). Citing reasons such as a desire to maintain sovereign control of such affairs and the principle of subsidiarity</w:t>
      </w:r>
      <w:r w:rsidR="009806B8">
        <w:rPr>
          <w:rFonts w:asciiTheme="minorHAnsi" w:hAnsiTheme="minorHAnsi" w:cstheme="minorHAnsi"/>
          <w:color w:val="000000" w:themeColor="text1"/>
          <w:lang w:val="en-GB"/>
        </w:rPr>
        <w:t>,</w:t>
      </w:r>
      <w:r w:rsidRPr="0089670F">
        <w:rPr>
          <w:rFonts w:asciiTheme="minorHAnsi" w:hAnsiTheme="minorHAnsi" w:cstheme="minorHAnsi"/>
          <w:color w:val="000000" w:themeColor="text1"/>
          <w:lang w:val="en-GB"/>
        </w:rPr>
        <w:t xml:space="preserve"> several Member States have opted out of the EPPO, including Great Britain, Irel</w:t>
      </w:r>
      <w:r w:rsidR="003B58A9">
        <w:rPr>
          <w:rFonts w:asciiTheme="minorHAnsi" w:hAnsiTheme="minorHAnsi" w:cstheme="minorHAnsi"/>
          <w:color w:val="000000" w:themeColor="text1"/>
          <w:lang w:val="en-GB"/>
        </w:rPr>
        <w:t xml:space="preserve">and, </w:t>
      </w:r>
      <w:r w:rsidRPr="0089670F">
        <w:rPr>
          <w:rFonts w:asciiTheme="minorHAnsi" w:hAnsiTheme="minorHAnsi" w:cstheme="minorHAnsi"/>
          <w:color w:val="000000" w:themeColor="text1"/>
          <w:lang w:val="en-GB"/>
        </w:rPr>
        <w:t>Denmark, Poland and Hungary (</w:t>
      </w:r>
      <w:proofErr w:type="spellStart"/>
      <w:r w:rsidRPr="0089670F">
        <w:rPr>
          <w:rFonts w:asciiTheme="minorHAnsi" w:hAnsiTheme="minorHAnsi" w:cstheme="minorHAnsi"/>
          <w:color w:val="000000" w:themeColor="text1"/>
          <w:lang w:val="en-GB"/>
        </w:rPr>
        <w:t>Ljubas</w:t>
      </w:r>
      <w:proofErr w:type="spellEnd"/>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2020). Sweden has asserted that its national systems are robust enough </w:t>
      </w:r>
      <w:r w:rsidR="009806B8">
        <w:rPr>
          <w:rFonts w:asciiTheme="minorHAnsi" w:hAnsiTheme="minorHAnsi" w:cstheme="minorHAnsi"/>
          <w:color w:val="000000" w:themeColor="text1"/>
          <w:lang w:val="en-GB"/>
        </w:rPr>
        <w:t>without the EPPO</w:t>
      </w:r>
      <w:r w:rsidRPr="0089670F">
        <w:rPr>
          <w:rFonts w:asciiTheme="minorHAnsi" w:hAnsiTheme="minorHAnsi" w:cstheme="minorHAnsi"/>
          <w:color w:val="000000" w:themeColor="text1"/>
          <w:lang w:val="en-GB"/>
        </w:rPr>
        <w:t xml:space="preserve">. </w:t>
      </w:r>
      <w:r w:rsidR="009806B8">
        <w:rPr>
          <w:rFonts w:asciiTheme="minorHAnsi" w:hAnsiTheme="minorHAnsi" w:cstheme="minorHAnsi"/>
          <w:color w:val="000000" w:themeColor="text1"/>
          <w:lang w:val="en-GB"/>
        </w:rPr>
        <w:t>T</w:t>
      </w:r>
      <w:r w:rsidRPr="0089670F">
        <w:rPr>
          <w:rFonts w:asciiTheme="minorHAnsi" w:hAnsiTheme="minorHAnsi" w:cstheme="minorHAnsi"/>
          <w:color w:val="000000" w:themeColor="text1"/>
          <w:lang w:val="en-GB"/>
        </w:rPr>
        <w:t xml:space="preserve">his </w:t>
      </w:r>
      <w:r w:rsidR="009806B8">
        <w:rPr>
          <w:rFonts w:asciiTheme="minorHAnsi" w:hAnsiTheme="minorHAnsi" w:cstheme="minorHAnsi"/>
          <w:color w:val="000000" w:themeColor="text1"/>
          <w:lang w:val="en-GB"/>
        </w:rPr>
        <w:t xml:space="preserve"> substantiates claims of a</w:t>
      </w:r>
      <w:r w:rsidRPr="0089670F">
        <w:rPr>
          <w:rFonts w:asciiTheme="minorHAnsi" w:hAnsiTheme="minorHAnsi" w:cstheme="minorHAnsi"/>
          <w:color w:val="000000" w:themeColor="text1"/>
          <w:lang w:val="en-GB"/>
        </w:rPr>
        <w:t xml:space="preserve"> trend </w:t>
      </w:r>
      <w:r w:rsidR="009806B8">
        <w:rPr>
          <w:rFonts w:asciiTheme="minorHAnsi" w:hAnsiTheme="minorHAnsi" w:cstheme="minorHAnsi"/>
          <w:color w:val="000000" w:themeColor="text1"/>
          <w:lang w:val="en-GB"/>
        </w:rPr>
        <w:t>towards</w:t>
      </w:r>
      <w:r w:rsidRPr="0089670F">
        <w:rPr>
          <w:rFonts w:asciiTheme="minorHAnsi" w:hAnsiTheme="minorHAnsi" w:cstheme="minorHAnsi"/>
          <w:color w:val="000000" w:themeColor="text1"/>
          <w:lang w:val="en-GB"/>
        </w:rPr>
        <w:t xml:space="preserve"> </w:t>
      </w:r>
      <w:r w:rsidR="009806B8">
        <w:rPr>
          <w:rFonts w:asciiTheme="minorHAnsi" w:hAnsiTheme="minorHAnsi" w:cstheme="minorHAnsi"/>
          <w:color w:val="000000" w:themeColor="text1"/>
          <w:lang w:val="en-GB"/>
        </w:rPr>
        <w:t xml:space="preserve">a </w:t>
      </w:r>
      <w:r w:rsidRPr="0089670F">
        <w:rPr>
          <w:rFonts w:asciiTheme="minorHAnsi" w:hAnsiTheme="minorHAnsi" w:cstheme="minorHAnsi"/>
          <w:color w:val="000000" w:themeColor="text1"/>
          <w:lang w:val="en-GB"/>
        </w:rPr>
        <w:t>multi-speed Europe or differentiated integration in the realm of security (</w:t>
      </w:r>
      <w:proofErr w:type="spellStart"/>
      <w:r w:rsidRPr="0089670F">
        <w:rPr>
          <w:rFonts w:asciiTheme="minorHAnsi" w:hAnsiTheme="minorHAnsi" w:cstheme="minorHAnsi"/>
          <w:color w:val="000000" w:themeColor="text1"/>
          <w:lang w:val="en-GB"/>
        </w:rPr>
        <w:t>Wolfstadter</w:t>
      </w:r>
      <w:proofErr w:type="spellEnd"/>
      <w:r w:rsidRPr="0089670F">
        <w:rPr>
          <w:rFonts w:asciiTheme="minorHAnsi" w:hAnsiTheme="minorHAnsi" w:cstheme="minorHAnsi"/>
          <w:color w:val="000000" w:themeColor="text1"/>
          <w:lang w:val="en-GB"/>
        </w:rPr>
        <w:t xml:space="preserve"> </w:t>
      </w:r>
      <w:r w:rsidR="00A06AB6">
        <w:rPr>
          <w:rFonts w:asciiTheme="minorHAnsi" w:hAnsiTheme="minorHAnsi" w:cstheme="minorHAnsi"/>
          <w:color w:val="000000" w:themeColor="text1"/>
          <w:lang w:val="en-GB"/>
        </w:rPr>
        <w:t xml:space="preserve">and </w:t>
      </w:r>
      <w:proofErr w:type="spellStart"/>
      <w:r w:rsidRPr="0089670F">
        <w:rPr>
          <w:rFonts w:asciiTheme="minorHAnsi" w:hAnsiTheme="minorHAnsi" w:cstheme="minorHAnsi"/>
          <w:color w:val="000000" w:themeColor="text1"/>
          <w:lang w:val="en-GB"/>
        </w:rPr>
        <w:t>Kreilinger</w:t>
      </w:r>
      <w:proofErr w:type="spellEnd"/>
      <w:r w:rsidR="00A06AB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2017). However, Malta and the Netherlands</w:t>
      </w:r>
      <w:r w:rsidR="00BC5F1D" w:rsidRPr="0089670F">
        <w:rPr>
          <w:rFonts w:asciiTheme="minorHAnsi" w:hAnsiTheme="minorHAnsi" w:cstheme="minorHAnsi"/>
          <w:color w:val="000000" w:themeColor="text1"/>
          <w:lang w:val="en-GB"/>
        </w:rPr>
        <w:t>,</w:t>
      </w:r>
      <w:r w:rsidRPr="0089670F">
        <w:rPr>
          <w:rFonts w:asciiTheme="minorHAnsi" w:hAnsiTheme="minorHAnsi" w:cstheme="minorHAnsi"/>
          <w:color w:val="000000" w:themeColor="text1"/>
          <w:lang w:val="en-GB"/>
        </w:rPr>
        <w:t xml:space="preserve"> who originally opted-out, subsequently decided to join the EPPO in 2018 (EU </w:t>
      </w:r>
      <w:r w:rsidR="00961B9E" w:rsidRPr="0089670F">
        <w:rPr>
          <w:rFonts w:asciiTheme="minorHAnsi" w:hAnsiTheme="minorHAnsi" w:cstheme="minorHAnsi"/>
          <w:color w:val="000000" w:themeColor="text1"/>
          <w:lang w:val="en-GB"/>
        </w:rPr>
        <w:t>C</w:t>
      </w:r>
      <w:r w:rsidRPr="0089670F">
        <w:rPr>
          <w:rFonts w:asciiTheme="minorHAnsi" w:hAnsiTheme="minorHAnsi" w:cstheme="minorHAnsi"/>
          <w:color w:val="000000" w:themeColor="text1"/>
          <w:lang w:val="en-GB"/>
        </w:rPr>
        <w:t>ommission</w:t>
      </w:r>
      <w:r w:rsidR="00A06AB6">
        <w:rPr>
          <w:rFonts w:asciiTheme="minorHAnsi" w:hAnsiTheme="minorHAnsi" w:cstheme="minorHAnsi"/>
          <w:color w:val="000000" w:themeColor="text1"/>
          <w:lang w:val="en-GB"/>
        </w:rPr>
        <w:t xml:space="preserve"> </w:t>
      </w:r>
      <w:r w:rsidR="004F347B">
        <w:rPr>
          <w:rFonts w:asciiTheme="minorHAnsi" w:hAnsiTheme="minorHAnsi" w:cstheme="minorHAnsi"/>
          <w:color w:val="000000" w:themeColor="text1"/>
          <w:lang w:val="en-GB"/>
        </w:rPr>
        <w:t>2020).</w:t>
      </w:r>
      <w:r w:rsidRPr="0089670F">
        <w:rPr>
          <w:rFonts w:asciiTheme="minorHAnsi" w:hAnsiTheme="minorHAnsi" w:cstheme="minorHAnsi"/>
          <w:color w:val="000000" w:themeColor="text1"/>
          <w:lang w:val="en-GB"/>
        </w:rPr>
        <w:t xml:space="preserve"> This demonstrates that while Member States may be opposed to the growing security personality of the EU in principle, they are also lured by the potential benefits of intergovernmental security cooperation. </w:t>
      </w:r>
    </w:p>
    <w:p w14:paraId="6595B6FC" w14:textId="77777777" w:rsidR="00332565" w:rsidRPr="0089670F" w:rsidRDefault="00332565" w:rsidP="00A947ED">
      <w:pPr>
        <w:rPr>
          <w:rFonts w:asciiTheme="minorHAnsi" w:hAnsiTheme="minorHAnsi" w:cstheme="minorHAnsi"/>
          <w:color w:val="000000" w:themeColor="text1"/>
          <w:lang w:val="en-GB"/>
        </w:rPr>
      </w:pPr>
    </w:p>
    <w:p w14:paraId="170C503B" w14:textId="0AD17445" w:rsidR="00332565" w:rsidRPr="004347E9"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EU</w:t>
      </w:r>
      <w:r w:rsidR="00F80D53" w:rsidRPr="0089670F">
        <w:rPr>
          <w:rFonts w:asciiTheme="minorHAnsi" w:hAnsiTheme="minorHAnsi" w:cstheme="minorHAnsi"/>
          <w:color w:val="000000" w:themeColor="text1"/>
          <w:lang w:val="en-GB"/>
        </w:rPr>
        <w:t>-</w:t>
      </w:r>
      <w:r w:rsidRPr="0089670F">
        <w:rPr>
          <w:rFonts w:asciiTheme="minorHAnsi" w:hAnsiTheme="minorHAnsi" w:cstheme="minorHAnsi"/>
          <w:color w:val="000000" w:themeColor="text1"/>
          <w:lang w:val="en-GB"/>
        </w:rPr>
        <w:t xml:space="preserve">level mechanisms represent increasing importance in the European fight against terrorism and OC. </w:t>
      </w:r>
      <w:r w:rsidR="004347E9">
        <w:rPr>
          <w:rFonts w:asciiTheme="minorHAnsi" w:hAnsiTheme="minorHAnsi" w:cstheme="minorHAnsi"/>
          <w:color w:val="000000" w:themeColor="text1"/>
          <w:lang w:val="en-GB"/>
        </w:rPr>
        <w:t>Still, security remains an intergovernmental competence area, and t</w:t>
      </w:r>
      <w:r w:rsidR="003B58A9">
        <w:rPr>
          <w:rFonts w:asciiTheme="minorHAnsi" w:hAnsiTheme="minorHAnsi" w:cstheme="minorHAnsi"/>
          <w:color w:val="000000" w:themeColor="text1"/>
          <w:lang w:val="en-GB"/>
        </w:rPr>
        <w:t>he overall picture is that</w:t>
      </w:r>
      <w:r w:rsidRPr="0089670F">
        <w:rPr>
          <w:rFonts w:asciiTheme="minorHAnsi" w:hAnsiTheme="minorHAnsi" w:cstheme="minorHAnsi"/>
          <w:color w:val="000000" w:themeColor="text1"/>
          <w:lang w:val="en-GB"/>
        </w:rPr>
        <w:t xml:space="preserve"> </w:t>
      </w:r>
      <w:r w:rsidR="00FB263A">
        <w:rPr>
          <w:rFonts w:asciiTheme="minorHAnsi" w:hAnsiTheme="minorHAnsi" w:cstheme="minorHAnsi"/>
          <w:color w:val="000000" w:themeColor="text1"/>
          <w:lang w:val="en-GB"/>
        </w:rPr>
        <w:t xml:space="preserve">in many internal security policy matters, </w:t>
      </w:r>
      <w:r w:rsidRPr="0089670F">
        <w:rPr>
          <w:rFonts w:asciiTheme="minorHAnsi" w:hAnsiTheme="minorHAnsi" w:cstheme="minorHAnsi"/>
          <w:color w:val="000000" w:themeColor="text1"/>
          <w:lang w:val="en-GB"/>
        </w:rPr>
        <w:t>EU level mechanisms</w:t>
      </w:r>
      <w:r w:rsidR="00FB263A">
        <w:rPr>
          <w:rFonts w:asciiTheme="minorHAnsi" w:hAnsiTheme="minorHAnsi" w:cstheme="minorHAnsi"/>
          <w:color w:val="000000" w:themeColor="text1"/>
          <w:lang w:val="en-GB"/>
        </w:rPr>
        <w:t xml:space="preserve"> continue</w:t>
      </w:r>
      <w:r w:rsidRPr="0089670F">
        <w:rPr>
          <w:rFonts w:asciiTheme="minorHAnsi" w:hAnsiTheme="minorHAnsi" w:cstheme="minorHAnsi"/>
          <w:color w:val="000000" w:themeColor="text1"/>
          <w:lang w:val="en-GB"/>
        </w:rPr>
        <w:t xml:space="preserve"> to coordinate and supplement rather than replace existing national and bilateral mechanisms in these areas. </w:t>
      </w:r>
    </w:p>
    <w:p w14:paraId="4E6E9E21" w14:textId="77777777" w:rsidR="00332565" w:rsidRPr="007C4DF0" w:rsidRDefault="00332565" w:rsidP="00A947ED">
      <w:pPr>
        <w:rPr>
          <w:rFonts w:asciiTheme="minorHAnsi" w:hAnsiTheme="minorHAnsi" w:cstheme="minorHAnsi"/>
          <w:b/>
          <w:bCs/>
          <w:i/>
          <w:iCs/>
          <w:color w:val="000000" w:themeColor="text1"/>
          <w:lang w:val="en-US"/>
        </w:rPr>
      </w:pPr>
    </w:p>
    <w:p w14:paraId="04B548C2" w14:textId="77777777" w:rsidR="00332565" w:rsidRPr="002120D0" w:rsidRDefault="00332565" w:rsidP="00A947ED">
      <w:pPr>
        <w:pStyle w:val="Heading2"/>
        <w:rPr>
          <w:rFonts w:asciiTheme="minorHAnsi" w:hAnsiTheme="minorHAnsi" w:cstheme="minorHAnsi"/>
          <w:lang w:val="en-GB"/>
        </w:rPr>
      </w:pPr>
      <w:r w:rsidRPr="002120D0">
        <w:rPr>
          <w:rFonts w:asciiTheme="minorHAnsi" w:hAnsiTheme="minorHAnsi" w:cstheme="minorHAnsi"/>
          <w:lang w:val="en-GB"/>
        </w:rPr>
        <w:t xml:space="preserve">Bilateral Cooperation in </w:t>
      </w:r>
      <w:proofErr w:type="gramStart"/>
      <w:r w:rsidRPr="002120D0">
        <w:rPr>
          <w:rFonts w:asciiTheme="minorHAnsi" w:hAnsiTheme="minorHAnsi" w:cstheme="minorHAnsi"/>
          <w:lang w:val="en-GB"/>
        </w:rPr>
        <w:t>Counter-Terrorism</w:t>
      </w:r>
      <w:proofErr w:type="gramEnd"/>
      <w:r w:rsidRPr="002120D0">
        <w:rPr>
          <w:rFonts w:asciiTheme="minorHAnsi" w:hAnsiTheme="minorHAnsi" w:cstheme="minorHAnsi"/>
          <w:lang w:val="en-GB"/>
        </w:rPr>
        <w:t xml:space="preserve"> and Counter-Organised Crime</w:t>
      </w:r>
    </w:p>
    <w:p w14:paraId="6F38C2DE" w14:textId="2D34CE56" w:rsidR="00332565" w:rsidRPr="0089670F"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Bilateral cooperation in intelligence sharing and police cooperation is considered vital to any efforts to tackle terrorism and OC in Europe</w:t>
      </w:r>
      <w:r w:rsidR="00FD7AA2">
        <w:rPr>
          <w:rFonts w:asciiTheme="minorHAnsi" w:hAnsiTheme="minorHAnsi" w:cstheme="minorHAnsi"/>
          <w:color w:val="000000" w:themeColor="text1"/>
          <w:lang w:val="en-GB"/>
        </w:rPr>
        <w:t>. These strategies of cooperation</w:t>
      </w:r>
      <w:r w:rsidRPr="0089670F">
        <w:rPr>
          <w:rFonts w:asciiTheme="minorHAnsi" w:hAnsiTheme="minorHAnsi" w:cstheme="minorHAnsi"/>
          <w:color w:val="000000" w:themeColor="text1"/>
          <w:lang w:val="en-GB"/>
        </w:rPr>
        <w:t xml:space="preserve"> have existed informally at least since the 1970s. Case studies suggest that, in terms of police cooperation, European states prefer to work bilaterally rather than through EU level </w:t>
      </w:r>
      <w:proofErr w:type="gramStart"/>
      <w:r w:rsidRPr="0089670F">
        <w:rPr>
          <w:rFonts w:asciiTheme="minorHAnsi" w:hAnsiTheme="minorHAnsi" w:cstheme="minorHAnsi"/>
          <w:color w:val="000000" w:themeColor="text1"/>
          <w:lang w:val="en-GB"/>
        </w:rPr>
        <w:t>mechanisms</w:t>
      </w:r>
      <w:r w:rsidR="003B58A9">
        <w:rPr>
          <w:rFonts w:asciiTheme="minorHAnsi" w:hAnsiTheme="minorHAnsi" w:cstheme="minorHAnsi"/>
          <w:color w:val="000000" w:themeColor="text1"/>
          <w:lang w:val="en-GB"/>
        </w:rPr>
        <w:t>, and</w:t>
      </w:r>
      <w:proofErr w:type="gramEnd"/>
      <w:r w:rsidR="003B58A9">
        <w:rPr>
          <w:rFonts w:asciiTheme="minorHAnsi" w:hAnsiTheme="minorHAnsi" w:cstheme="minorHAnsi"/>
          <w:color w:val="000000" w:themeColor="text1"/>
          <w:lang w:val="en-GB"/>
        </w:rPr>
        <w:t xml:space="preserve"> have developed long-term cooperation practices</w:t>
      </w:r>
      <w:r w:rsidR="00FD7AA2">
        <w:rPr>
          <w:rFonts w:asciiTheme="minorHAnsi" w:hAnsiTheme="minorHAnsi" w:cstheme="minorHAnsi"/>
          <w:color w:val="000000" w:themeColor="text1"/>
          <w:lang w:val="en-GB"/>
        </w:rPr>
        <w:t xml:space="preserve"> at this level</w:t>
      </w:r>
      <w:r w:rsidRPr="0089670F">
        <w:rPr>
          <w:rFonts w:asciiTheme="minorHAnsi" w:hAnsiTheme="minorHAnsi" w:cstheme="minorHAnsi"/>
          <w:color w:val="000000" w:themeColor="text1"/>
          <w:lang w:val="en-GB"/>
        </w:rPr>
        <w:t xml:space="preserve"> (Boer</w:t>
      </w:r>
      <w:r w:rsidR="00232123">
        <w:rPr>
          <w:rFonts w:asciiTheme="minorHAnsi" w:hAnsiTheme="minorHAnsi" w:cstheme="minorHAnsi"/>
          <w:color w:val="000000" w:themeColor="text1"/>
          <w:lang w:val="en-GB"/>
        </w:rPr>
        <w:t>,</w:t>
      </w:r>
      <w:r w:rsidRPr="0089670F">
        <w:rPr>
          <w:rFonts w:asciiTheme="minorHAnsi" w:hAnsiTheme="minorHAnsi" w:cstheme="minorHAnsi"/>
          <w:color w:val="000000" w:themeColor="text1"/>
          <w:lang w:val="en-GB"/>
        </w:rPr>
        <w:t xml:space="preserve"> Hillebrand and </w:t>
      </w:r>
      <w:proofErr w:type="spellStart"/>
      <w:r w:rsidRPr="0089670F">
        <w:rPr>
          <w:rFonts w:asciiTheme="minorHAnsi" w:hAnsiTheme="minorHAnsi" w:cstheme="minorHAnsi"/>
          <w:color w:val="000000" w:themeColor="text1"/>
          <w:lang w:val="en-GB"/>
        </w:rPr>
        <w:t>Nölke</w:t>
      </w:r>
      <w:proofErr w:type="spellEnd"/>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2018; </w:t>
      </w:r>
      <w:proofErr w:type="spellStart"/>
      <w:r w:rsidRPr="0089670F">
        <w:rPr>
          <w:rFonts w:asciiTheme="minorHAnsi" w:hAnsiTheme="minorHAnsi" w:cstheme="minorHAnsi"/>
          <w:color w:val="000000" w:themeColor="text1"/>
          <w:lang w:val="en-GB"/>
        </w:rPr>
        <w:t>Jaffel</w:t>
      </w:r>
      <w:proofErr w:type="spellEnd"/>
      <w:r w:rsidRPr="0089670F">
        <w:rPr>
          <w:rFonts w:asciiTheme="minorHAnsi" w:hAnsiTheme="minorHAnsi" w:cstheme="minorHAnsi"/>
          <w:color w:val="000000" w:themeColor="text1"/>
          <w:lang w:val="en-GB"/>
        </w:rPr>
        <w:t xml:space="preserve"> 2019). Given that European</w:t>
      </w:r>
      <w:r w:rsidR="003B58A9">
        <w:rPr>
          <w:rFonts w:asciiTheme="minorHAnsi" w:hAnsiTheme="minorHAnsi" w:cstheme="minorHAnsi"/>
          <w:color w:val="000000" w:themeColor="text1"/>
          <w:lang w:val="en-GB"/>
        </w:rPr>
        <w:t>-level</w:t>
      </w:r>
      <w:r w:rsidRPr="0089670F">
        <w:rPr>
          <w:rFonts w:asciiTheme="minorHAnsi" w:hAnsiTheme="minorHAnsi" w:cstheme="minorHAnsi"/>
          <w:color w:val="000000" w:themeColor="text1"/>
          <w:lang w:val="en-GB"/>
        </w:rPr>
        <w:t xml:space="preserve"> police cooperation is a relatively new practice, one could suggest that such preferences to w</w:t>
      </w:r>
      <w:r w:rsidR="003B58A9">
        <w:rPr>
          <w:rFonts w:asciiTheme="minorHAnsi" w:hAnsiTheme="minorHAnsi" w:cstheme="minorHAnsi"/>
          <w:color w:val="000000" w:themeColor="text1"/>
          <w:lang w:val="en-GB"/>
        </w:rPr>
        <w:t>ork bilaterally are simply due to habit</w:t>
      </w:r>
      <w:r w:rsidRPr="0089670F">
        <w:rPr>
          <w:rFonts w:asciiTheme="minorHAnsi" w:hAnsiTheme="minorHAnsi" w:cstheme="minorHAnsi"/>
          <w:color w:val="000000" w:themeColor="text1"/>
          <w:lang w:val="en-GB"/>
        </w:rPr>
        <w:t>. However, various studies suggest</w:t>
      </w:r>
      <w:r w:rsidR="00FD7AA2">
        <w:rPr>
          <w:rFonts w:asciiTheme="minorHAnsi" w:hAnsiTheme="minorHAnsi" w:cstheme="minorHAnsi"/>
          <w:color w:val="000000" w:themeColor="text1"/>
          <w:lang w:val="en-GB"/>
        </w:rPr>
        <w:t xml:space="preserve"> that</w:t>
      </w:r>
      <w:r w:rsidRPr="0089670F">
        <w:rPr>
          <w:rFonts w:asciiTheme="minorHAnsi" w:hAnsiTheme="minorHAnsi" w:cstheme="minorHAnsi"/>
          <w:color w:val="000000" w:themeColor="text1"/>
          <w:lang w:val="en-GB"/>
        </w:rPr>
        <w:t xml:space="preserve"> </w:t>
      </w:r>
      <w:r w:rsidR="00D03403">
        <w:rPr>
          <w:rFonts w:asciiTheme="minorHAnsi" w:hAnsiTheme="minorHAnsi" w:cstheme="minorHAnsi"/>
          <w:color w:val="000000" w:themeColor="text1"/>
          <w:lang w:val="en-GB"/>
        </w:rPr>
        <w:t>the preference</w:t>
      </w:r>
      <w:r w:rsidRPr="0089670F">
        <w:rPr>
          <w:rFonts w:asciiTheme="minorHAnsi" w:hAnsiTheme="minorHAnsi" w:cstheme="minorHAnsi"/>
          <w:color w:val="000000" w:themeColor="text1"/>
          <w:lang w:val="en-GB"/>
        </w:rPr>
        <w:t xml:space="preserve"> to work with certain trusted partners </w:t>
      </w:r>
      <w:r w:rsidR="00825752" w:rsidRPr="0089670F">
        <w:rPr>
          <w:rFonts w:asciiTheme="minorHAnsi" w:hAnsiTheme="minorHAnsi" w:cstheme="minorHAnsi"/>
          <w:color w:val="000000" w:themeColor="text1"/>
          <w:lang w:val="en-GB"/>
        </w:rPr>
        <w:t xml:space="preserve">is </w:t>
      </w:r>
      <w:r w:rsidRPr="0089670F">
        <w:rPr>
          <w:rFonts w:asciiTheme="minorHAnsi" w:hAnsiTheme="minorHAnsi" w:cstheme="minorHAnsi"/>
          <w:color w:val="000000" w:themeColor="text1"/>
          <w:lang w:val="en-GB"/>
        </w:rPr>
        <w:t>linked to notions of common threats, cultural similarity as well as shared values (</w:t>
      </w:r>
      <w:r w:rsidR="00647BE6">
        <w:rPr>
          <w:rFonts w:asciiTheme="minorHAnsi" w:hAnsiTheme="minorHAnsi" w:cstheme="minorHAnsi"/>
          <w:color w:val="000000" w:themeColor="text1"/>
          <w:lang w:val="en-GB"/>
        </w:rPr>
        <w:t>Anderson 2002</w:t>
      </w:r>
      <w:r w:rsidRPr="0089670F">
        <w:rPr>
          <w:rFonts w:asciiTheme="minorHAnsi" w:hAnsiTheme="minorHAnsi" w:cstheme="minorHAnsi"/>
          <w:color w:val="000000" w:themeColor="text1"/>
          <w:lang w:val="en-GB"/>
        </w:rPr>
        <w:t>). Indeed, despite European enlargement</w:t>
      </w:r>
      <w:r w:rsidR="005E71C8">
        <w:rPr>
          <w:rFonts w:asciiTheme="minorHAnsi" w:hAnsiTheme="minorHAnsi" w:cstheme="minorHAnsi"/>
          <w:color w:val="000000" w:themeColor="text1"/>
          <w:lang w:val="en-GB"/>
        </w:rPr>
        <w:t xml:space="preserve"> and deepening integration</w:t>
      </w:r>
      <w:r w:rsidRPr="0089670F">
        <w:rPr>
          <w:rFonts w:asciiTheme="minorHAnsi" w:hAnsiTheme="minorHAnsi" w:cstheme="minorHAnsi"/>
          <w:color w:val="000000" w:themeColor="text1"/>
          <w:lang w:val="en-GB"/>
        </w:rPr>
        <w:t xml:space="preserve">, </w:t>
      </w:r>
      <w:r w:rsidR="00825752" w:rsidRPr="0089670F">
        <w:rPr>
          <w:rFonts w:asciiTheme="minorHAnsi" w:hAnsiTheme="minorHAnsi" w:cstheme="minorHAnsi"/>
          <w:color w:val="000000" w:themeColor="text1"/>
          <w:lang w:val="en-GB"/>
        </w:rPr>
        <w:t>this preference</w:t>
      </w:r>
      <w:r w:rsidRPr="0089670F">
        <w:rPr>
          <w:rFonts w:asciiTheme="minorHAnsi" w:hAnsiTheme="minorHAnsi" w:cstheme="minorHAnsi"/>
          <w:color w:val="000000" w:themeColor="text1"/>
          <w:lang w:val="en-GB"/>
        </w:rPr>
        <w:t xml:space="preserve"> </w:t>
      </w:r>
      <w:r w:rsidR="005E71C8">
        <w:rPr>
          <w:rFonts w:asciiTheme="minorHAnsi" w:hAnsiTheme="minorHAnsi" w:cstheme="minorHAnsi"/>
          <w:color w:val="000000" w:themeColor="text1"/>
          <w:lang w:val="en-GB"/>
        </w:rPr>
        <w:t xml:space="preserve">to work with a small number of trusted partners </w:t>
      </w:r>
      <w:r w:rsidRPr="0089670F">
        <w:rPr>
          <w:rFonts w:asciiTheme="minorHAnsi" w:hAnsiTheme="minorHAnsi" w:cstheme="minorHAnsi"/>
          <w:color w:val="000000" w:themeColor="text1"/>
          <w:lang w:val="en-GB"/>
        </w:rPr>
        <w:t>persist</w:t>
      </w:r>
      <w:r w:rsidR="00825752" w:rsidRPr="0089670F">
        <w:rPr>
          <w:rFonts w:asciiTheme="minorHAnsi" w:hAnsiTheme="minorHAnsi" w:cstheme="minorHAnsi"/>
          <w:color w:val="000000" w:themeColor="text1"/>
          <w:lang w:val="en-GB"/>
        </w:rPr>
        <w:t>s</w:t>
      </w:r>
      <w:r w:rsidRPr="0089670F">
        <w:rPr>
          <w:rFonts w:asciiTheme="minorHAnsi" w:hAnsiTheme="minorHAnsi" w:cstheme="minorHAnsi"/>
          <w:color w:val="000000" w:themeColor="text1"/>
          <w:lang w:val="en-GB"/>
        </w:rPr>
        <w:t xml:space="preserve">. </w:t>
      </w:r>
    </w:p>
    <w:p w14:paraId="6F98B2C9" w14:textId="77777777" w:rsidR="00332565" w:rsidRPr="0089670F" w:rsidRDefault="00332565" w:rsidP="00A947ED">
      <w:pPr>
        <w:rPr>
          <w:rFonts w:asciiTheme="minorHAnsi" w:hAnsiTheme="minorHAnsi" w:cstheme="minorHAnsi"/>
          <w:color w:val="000000" w:themeColor="text1"/>
          <w:lang w:val="en-GB"/>
        </w:rPr>
      </w:pPr>
    </w:p>
    <w:p w14:paraId="500FB7D6" w14:textId="3AE635C0" w:rsidR="00332565" w:rsidRPr="0089670F"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 xml:space="preserve">Interviews with police forces in France, Germany, the UK and Spain suggest that many forms of bilateral police cooperation take place informally between trusted established contacts on </w:t>
      </w:r>
      <w:r w:rsidRPr="0089670F">
        <w:rPr>
          <w:rFonts w:asciiTheme="minorHAnsi" w:hAnsiTheme="minorHAnsi" w:cstheme="minorHAnsi"/>
          <w:color w:val="000000" w:themeColor="text1"/>
          <w:lang w:val="en-GB"/>
        </w:rPr>
        <w:lastRenderedPageBreak/>
        <w:t>an individual case-by-case basis rather than through formalised mechanisms (</w:t>
      </w:r>
      <w:proofErr w:type="spellStart"/>
      <w:r w:rsidRPr="0089670F">
        <w:rPr>
          <w:rFonts w:asciiTheme="minorHAnsi" w:hAnsiTheme="minorHAnsi" w:cstheme="minorHAnsi"/>
          <w:color w:val="000000" w:themeColor="text1"/>
          <w:lang w:val="en-GB"/>
        </w:rPr>
        <w:t>Guille</w:t>
      </w:r>
      <w:proofErr w:type="spellEnd"/>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2010</w:t>
      </w:r>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27). A key advantage </w:t>
      </w:r>
      <w:r w:rsidR="00FD7AA2">
        <w:rPr>
          <w:rFonts w:asciiTheme="minorHAnsi" w:hAnsiTheme="minorHAnsi" w:cstheme="minorHAnsi"/>
          <w:color w:val="000000" w:themeColor="text1"/>
          <w:lang w:val="en-GB"/>
        </w:rPr>
        <w:t>to</w:t>
      </w:r>
      <w:r w:rsidRPr="0089670F">
        <w:rPr>
          <w:rFonts w:asciiTheme="minorHAnsi" w:hAnsiTheme="minorHAnsi" w:cstheme="minorHAnsi"/>
          <w:color w:val="000000" w:themeColor="text1"/>
          <w:lang w:val="en-GB"/>
        </w:rPr>
        <w:t xml:space="preserve"> bilateral police cooperation is the speed with which forces can communicate and work together. EU level mechanisms, in contrast, can be more cumbersome, bureaucratic and lengthy (</w:t>
      </w:r>
      <w:proofErr w:type="spellStart"/>
      <w:r w:rsidR="00647BE6">
        <w:rPr>
          <w:rFonts w:asciiTheme="minorHAnsi" w:hAnsiTheme="minorHAnsi" w:cstheme="minorHAnsi"/>
          <w:color w:val="000000" w:themeColor="text1"/>
          <w:lang w:val="en-GB"/>
        </w:rPr>
        <w:t>Guille</w:t>
      </w:r>
      <w:proofErr w:type="spellEnd"/>
      <w:r w:rsidR="00647BE6">
        <w:rPr>
          <w:rFonts w:asciiTheme="minorHAnsi" w:hAnsiTheme="minorHAnsi" w:cstheme="minorHAnsi"/>
          <w:color w:val="000000" w:themeColor="text1"/>
          <w:lang w:val="en-GB"/>
        </w:rPr>
        <w:t xml:space="preserve"> 2010</w:t>
      </w:r>
      <w:r w:rsidRPr="0089670F">
        <w:rPr>
          <w:rFonts w:asciiTheme="minorHAnsi" w:hAnsiTheme="minorHAnsi" w:cstheme="minorHAnsi"/>
          <w:color w:val="000000" w:themeColor="text1"/>
          <w:lang w:val="en-GB"/>
        </w:rPr>
        <w:t>). However, challenges to effective cooperation arise because informal bilateral police cooperation practices are not institutionalised. Bilateral cooperation, therefore, relies on personal contacts</w:t>
      </w:r>
      <w:r w:rsidR="00825752" w:rsidRPr="0089670F">
        <w:rPr>
          <w:rFonts w:asciiTheme="minorHAnsi" w:hAnsiTheme="minorHAnsi" w:cstheme="minorHAnsi"/>
          <w:color w:val="000000" w:themeColor="text1"/>
          <w:lang w:val="en-GB"/>
        </w:rPr>
        <w:t>,</w:t>
      </w:r>
      <w:r w:rsidR="003C388F" w:rsidRPr="0089670F">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the willingness of individuals to cooperate</w:t>
      </w:r>
      <w:r w:rsidR="003C388F" w:rsidRPr="0089670F">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as well as a sense of mutual benefit arising from potential cooperation (</w:t>
      </w:r>
      <w:proofErr w:type="spellStart"/>
      <w:r w:rsidRPr="0089670F">
        <w:rPr>
          <w:rFonts w:asciiTheme="minorHAnsi" w:hAnsiTheme="minorHAnsi" w:cstheme="minorHAnsi"/>
          <w:color w:val="000000" w:themeColor="text1"/>
          <w:lang w:val="en-GB"/>
        </w:rPr>
        <w:t>Sheptyck</w:t>
      </w:r>
      <w:r w:rsidR="00647BE6">
        <w:rPr>
          <w:rFonts w:asciiTheme="minorHAnsi" w:hAnsiTheme="minorHAnsi" w:cstheme="minorHAnsi"/>
          <w:color w:val="000000" w:themeColor="text1"/>
          <w:lang w:val="en-GB"/>
        </w:rPr>
        <w:t>i</w:t>
      </w:r>
      <w:proofErr w:type="spellEnd"/>
      <w:r w:rsidRPr="0089670F">
        <w:rPr>
          <w:rFonts w:asciiTheme="minorHAnsi" w:hAnsiTheme="minorHAnsi" w:cstheme="minorHAnsi"/>
          <w:color w:val="000000" w:themeColor="text1"/>
          <w:lang w:val="en-GB"/>
        </w:rPr>
        <w:t xml:space="preserve"> 2002). </w:t>
      </w:r>
    </w:p>
    <w:p w14:paraId="060C7F76" w14:textId="77777777" w:rsidR="00332565" w:rsidRPr="0089670F" w:rsidRDefault="00332565" w:rsidP="00A947ED">
      <w:pPr>
        <w:rPr>
          <w:rFonts w:asciiTheme="minorHAnsi" w:hAnsiTheme="minorHAnsi" w:cstheme="minorHAnsi"/>
          <w:color w:val="000000" w:themeColor="text1"/>
          <w:lang w:val="en-GB"/>
        </w:rPr>
      </w:pPr>
    </w:p>
    <w:p w14:paraId="288288DE" w14:textId="69EC2876" w:rsidR="00332565" w:rsidRPr="0089670F"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 xml:space="preserve">Before 9/11, bilateral practices were often considered by policymakers to be the most effective form of intelligence sharing in </w:t>
      </w:r>
      <w:proofErr w:type="gramStart"/>
      <w:r w:rsidRPr="0089670F">
        <w:rPr>
          <w:rFonts w:asciiTheme="minorHAnsi" w:hAnsiTheme="minorHAnsi" w:cstheme="minorHAnsi"/>
          <w:color w:val="000000" w:themeColor="text1"/>
          <w:lang w:val="en-GB"/>
        </w:rPr>
        <w:t>counter-terrorism</w:t>
      </w:r>
      <w:proofErr w:type="gramEnd"/>
      <w:r w:rsidRPr="0089670F">
        <w:rPr>
          <w:rFonts w:asciiTheme="minorHAnsi" w:hAnsiTheme="minorHAnsi" w:cstheme="minorHAnsi"/>
          <w:color w:val="000000" w:themeColor="text1"/>
          <w:lang w:val="en-GB"/>
        </w:rPr>
        <w:t xml:space="preserve"> (Lefebvre</w:t>
      </w:r>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2003</w:t>
      </w:r>
      <w:r w:rsidR="00647BE6">
        <w:rPr>
          <w:rFonts w:asciiTheme="minorHAnsi" w:hAnsiTheme="minorHAnsi" w:cstheme="minorHAnsi"/>
          <w:color w:val="000000" w:themeColor="text1"/>
          <w:lang w:val="en-GB"/>
        </w:rPr>
        <w:t>:</w:t>
      </w:r>
      <w:r w:rsidR="007970C0">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529). The need to protect intelligence sources and methods is the principal reason for the preference of bilateral liaisons in counter-terrorism intelligence sharing (</w:t>
      </w:r>
      <w:r w:rsidR="00FA6A33">
        <w:rPr>
          <w:rFonts w:asciiTheme="minorHAnsi" w:hAnsiTheme="minorHAnsi" w:cstheme="minorHAnsi"/>
          <w:color w:val="000000" w:themeColor="text1"/>
          <w:lang w:val="en-GB"/>
        </w:rPr>
        <w:t>Lefebvre 2003: 529</w:t>
      </w:r>
      <w:r w:rsidRPr="0089670F">
        <w:rPr>
          <w:rFonts w:asciiTheme="minorHAnsi" w:hAnsiTheme="minorHAnsi" w:cstheme="minorHAnsi"/>
          <w:color w:val="000000" w:themeColor="text1"/>
          <w:lang w:val="en-GB"/>
        </w:rPr>
        <w:t xml:space="preserve">). </w:t>
      </w:r>
      <w:r w:rsidR="00FD7AA2">
        <w:rPr>
          <w:rFonts w:asciiTheme="minorHAnsi" w:hAnsiTheme="minorHAnsi" w:cstheme="minorHAnsi"/>
          <w:color w:val="000000" w:themeColor="text1"/>
          <w:lang w:val="en-GB"/>
        </w:rPr>
        <w:t>D</w:t>
      </w:r>
      <w:r w:rsidRPr="0089670F">
        <w:rPr>
          <w:rFonts w:asciiTheme="minorHAnsi" w:hAnsiTheme="minorHAnsi" w:cstheme="minorHAnsi"/>
          <w:color w:val="000000" w:themeColor="text1"/>
          <w:lang w:val="en-GB"/>
        </w:rPr>
        <w:t xml:space="preserve">espite increasing numbers of EU-level intelligence-sharing mechanisms, </w:t>
      </w:r>
      <w:r w:rsidR="00FD7AA2">
        <w:rPr>
          <w:rFonts w:asciiTheme="minorHAnsi" w:hAnsiTheme="minorHAnsi" w:cstheme="minorHAnsi"/>
          <w:color w:val="000000" w:themeColor="text1"/>
          <w:lang w:val="en-GB"/>
        </w:rPr>
        <w:t>Member States maintain the</w:t>
      </w:r>
      <w:r w:rsidRPr="0089670F">
        <w:rPr>
          <w:rFonts w:asciiTheme="minorHAnsi" w:hAnsiTheme="minorHAnsi" w:cstheme="minorHAnsi"/>
          <w:color w:val="000000" w:themeColor="text1"/>
          <w:lang w:val="en-GB"/>
        </w:rPr>
        <w:t xml:space="preserve"> fear that widening the intelligence circle increases the threat of unauthorised disclosure</w:t>
      </w:r>
      <w:r w:rsidR="0010399E">
        <w:rPr>
          <w:rFonts w:asciiTheme="minorHAnsi" w:hAnsiTheme="minorHAnsi" w:cstheme="minorHAnsi"/>
          <w:color w:val="000000" w:themeColor="text1"/>
          <w:lang w:val="en-GB"/>
        </w:rPr>
        <w:t xml:space="preserve"> and privilege certain </w:t>
      </w:r>
      <w:r w:rsidRPr="0089670F">
        <w:rPr>
          <w:rFonts w:asciiTheme="minorHAnsi" w:hAnsiTheme="minorHAnsi" w:cstheme="minorHAnsi"/>
          <w:color w:val="000000" w:themeColor="text1"/>
          <w:lang w:val="en-GB"/>
        </w:rPr>
        <w:t xml:space="preserve">partnerships and counter-terrorism networks </w:t>
      </w:r>
      <w:r w:rsidR="0010399E">
        <w:rPr>
          <w:rFonts w:asciiTheme="minorHAnsi" w:hAnsiTheme="minorHAnsi" w:cstheme="minorHAnsi"/>
          <w:color w:val="000000" w:themeColor="text1"/>
          <w:lang w:val="en-GB"/>
        </w:rPr>
        <w:t xml:space="preserve">over others </w:t>
      </w:r>
      <w:r w:rsidRPr="0089670F">
        <w:rPr>
          <w:rFonts w:asciiTheme="minorHAnsi" w:hAnsiTheme="minorHAnsi" w:cstheme="minorHAnsi"/>
          <w:color w:val="000000" w:themeColor="text1"/>
          <w:lang w:val="en-GB"/>
        </w:rPr>
        <w:t xml:space="preserve">(Boer, Hillebrand and </w:t>
      </w:r>
      <w:proofErr w:type="spellStart"/>
      <w:r w:rsidRPr="0089670F">
        <w:rPr>
          <w:rFonts w:asciiTheme="minorHAnsi" w:hAnsiTheme="minorHAnsi" w:cstheme="minorHAnsi"/>
          <w:color w:val="000000" w:themeColor="text1"/>
          <w:lang w:val="en-GB"/>
        </w:rPr>
        <w:t>Nölke</w:t>
      </w:r>
      <w:proofErr w:type="spellEnd"/>
      <w:r w:rsidRPr="0089670F">
        <w:rPr>
          <w:rFonts w:asciiTheme="minorHAnsi" w:hAnsiTheme="minorHAnsi" w:cstheme="minorHAnsi"/>
          <w:color w:val="000000" w:themeColor="text1"/>
          <w:lang w:val="en-GB"/>
        </w:rPr>
        <w:t>, 2018).</w:t>
      </w:r>
    </w:p>
    <w:p w14:paraId="32C96C90" w14:textId="77777777" w:rsidR="00332565" w:rsidRPr="0089670F" w:rsidRDefault="00332565" w:rsidP="00A947ED">
      <w:pPr>
        <w:rPr>
          <w:rFonts w:asciiTheme="minorHAnsi" w:hAnsiTheme="minorHAnsi" w:cstheme="minorHAnsi"/>
          <w:color w:val="000000" w:themeColor="text1"/>
          <w:lang w:val="en-GB"/>
        </w:rPr>
      </w:pPr>
    </w:p>
    <w:p w14:paraId="7456A7D3" w14:textId="40D872C4" w:rsidR="00332565" w:rsidRPr="0089670F"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 xml:space="preserve">Franco-British intelligence-sharing practices are among the most developed in </w:t>
      </w:r>
      <w:proofErr w:type="gramStart"/>
      <w:r w:rsidRPr="0089670F">
        <w:rPr>
          <w:rFonts w:asciiTheme="minorHAnsi" w:hAnsiTheme="minorHAnsi" w:cstheme="minorHAnsi"/>
          <w:color w:val="000000" w:themeColor="text1"/>
          <w:lang w:val="en-GB"/>
        </w:rPr>
        <w:t>Europe, and</w:t>
      </w:r>
      <w:proofErr w:type="gramEnd"/>
      <w:r w:rsidRPr="0089670F">
        <w:rPr>
          <w:rFonts w:asciiTheme="minorHAnsi" w:hAnsiTheme="minorHAnsi" w:cstheme="minorHAnsi"/>
          <w:color w:val="000000" w:themeColor="text1"/>
          <w:lang w:val="en-GB"/>
        </w:rPr>
        <w:t xml:space="preserve"> considered especially valuable since the UK has not opted-in to the EU Justice and Home Affairs (JHA) cooperation (</w:t>
      </w:r>
      <w:proofErr w:type="spellStart"/>
      <w:r w:rsidRPr="0089670F">
        <w:rPr>
          <w:rFonts w:asciiTheme="minorHAnsi" w:hAnsiTheme="minorHAnsi" w:cstheme="minorHAnsi"/>
          <w:color w:val="000000" w:themeColor="text1"/>
          <w:lang w:val="en-GB"/>
        </w:rPr>
        <w:t>Jaffel</w:t>
      </w:r>
      <w:proofErr w:type="spellEnd"/>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2019). While </w:t>
      </w:r>
      <w:r w:rsidR="00825752" w:rsidRPr="0089670F">
        <w:rPr>
          <w:rFonts w:asciiTheme="minorHAnsi" w:hAnsiTheme="minorHAnsi" w:cstheme="minorHAnsi"/>
          <w:color w:val="000000" w:themeColor="text1"/>
          <w:lang w:val="en-GB"/>
        </w:rPr>
        <w:t>most</w:t>
      </w:r>
      <w:r w:rsidRPr="0089670F">
        <w:rPr>
          <w:rFonts w:asciiTheme="minorHAnsi" w:hAnsiTheme="minorHAnsi" w:cstheme="minorHAnsi"/>
          <w:color w:val="000000" w:themeColor="text1"/>
          <w:lang w:val="en-GB"/>
        </w:rPr>
        <w:t xml:space="preserve"> bilateral intelligence sharing between the two nations is informal and shrouded in secrecy, intelligence sharing, particularly in the realm of </w:t>
      </w:r>
      <w:proofErr w:type="gramStart"/>
      <w:r w:rsidRPr="0089670F">
        <w:rPr>
          <w:rFonts w:asciiTheme="minorHAnsi" w:hAnsiTheme="minorHAnsi" w:cstheme="minorHAnsi"/>
          <w:color w:val="000000" w:themeColor="text1"/>
          <w:lang w:val="en-GB"/>
        </w:rPr>
        <w:t>counter-terrorism</w:t>
      </w:r>
      <w:proofErr w:type="gramEnd"/>
      <w:r w:rsidRPr="0089670F">
        <w:rPr>
          <w:rFonts w:asciiTheme="minorHAnsi" w:hAnsiTheme="minorHAnsi" w:cstheme="minorHAnsi"/>
          <w:color w:val="000000" w:themeColor="text1"/>
          <w:lang w:val="en-GB"/>
        </w:rPr>
        <w:t>, is enshrined in the Lancaster Treaties signed between the two-nations in 2010 (</w:t>
      </w:r>
      <w:proofErr w:type="spellStart"/>
      <w:r w:rsidRPr="0089670F">
        <w:rPr>
          <w:rFonts w:asciiTheme="minorHAnsi" w:hAnsiTheme="minorHAnsi" w:cstheme="minorHAnsi"/>
          <w:color w:val="000000" w:themeColor="text1"/>
          <w:lang w:val="en-GB"/>
        </w:rPr>
        <w:t>Burguburu</w:t>
      </w:r>
      <w:proofErr w:type="spellEnd"/>
      <w:r w:rsidRPr="0089670F">
        <w:rPr>
          <w:rFonts w:asciiTheme="minorHAnsi" w:hAnsiTheme="minorHAnsi" w:cstheme="minorHAnsi"/>
          <w:color w:val="000000" w:themeColor="text1"/>
          <w:lang w:val="en-GB"/>
        </w:rPr>
        <w:t xml:space="preserve"> et al</w:t>
      </w:r>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2018). These bilateral intelligence-sharing mechanisms bec</w:t>
      </w:r>
      <w:r w:rsidR="008F164C">
        <w:rPr>
          <w:rFonts w:asciiTheme="minorHAnsi" w:hAnsiTheme="minorHAnsi" w:cstheme="minorHAnsi"/>
          <w:color w:val="000000" w:themeColor="text1"/>
          <w:lang w:val="en-GB"/>
        </w:rPr>
        <w:t>a</w:t>
      </w:r>
      <w:r w:rsidRPr="0089670F">
        <w:rPr>
          <w:rFonts w:asciiTheme="minorHAnsi" w:hAnsiTheme="minorHAnsi" w:cstheme="minorHAnsi"/>
          <w:color w:val="000000" w:themeColor="text1"/>
          <w:lang w:val="en-GB"/>
        </w:rPr>
        <w:t xml:space="preserve">me even more important in maintaining the European defence against terrorism and OC </w:t>
      </w:r>
      <w:r w:rsidR="008F164C">
        <w:rPr>
          <w:rFonts w:asciiTheme="minorHAnsi" w:hAnsiTheme="minorHAnsi" w:cstheme="minorHAnsi"/>
          <w:color w:val="000000" w:themeColor="text1"/>
          <w:lang w:val="en-GB"/>
        </w:rPr>
        <w:t>in the context of Brexit</w:t>
      </w:r>
      <w:r w:rsidR="008F164C" w:rsidRPr="0089670F">
        <w:rPr>
          <w:rFonts w:asciiTheme="minorHAnsi" w:hAnsiTheme="minorHAnsi" w:cstheme="minorHAnsi"/>
          <w:color w:val="000000" w:themeColor="text1"/>
          <w:lang w:val="en-GB"/>
        </w:rPr>
        <w:t>.</w:t>
      </w:r>
      <w:r w:rsidR="008F164C">
        <w:rPr>
          <w:rFonts w:asciiTheme="minorHAnsi" w:hAnsiTheme="minorHAnsi" w:cstheme="minorHAnsi"/>
          <w:color w:val="000000" w:themeColor="text1"/>
          <w:lang w:val="en-GB"/>
        </w:rPr>
        <w:t xml:space="preserve"> </w:t>
      </w:r>
      <w:r w:rsidR="008D5F58">
        <w:rPr>
          <w:rFonts w:asciiTheme="minorHAnsi" w:hAnsiTheme="minorHAnsi" w:cstheme="minorHAnsi"/>
          <w:color w:val="000000" w:themeColor="text1"/>
          <w:lang w:val="en-GB"/>
        </w:rPr>
        <w:t xml:space="preserve">Despite the Brexit agreement being reached in December 2020, the future of </w:t>
      </w:r>
      <w:r w:rsidR="009B71F7">
        <w:rPr>
          <w:rFonts w:asciiTheme="minorHAnsi" w:hAnsiTheme="minorHAnsi" w:cstheme="minorHAnsi"/>
          <w:color w:val="000000" w:themeColor="text1"/>
          <w:lang w:val="en-GB"/>
        </w:rPr>
        <w:t xml:space="preserve">European security cooperation </w:t>
      </w:r>
      <w:r w:rsidR="008D5F58">
        <w:rPr>
          <w:rFonts w:asciiTheme="minorHAnsi" w:hAnsiTheme="minorHAnsi" w:cstheme="minorHAnsi"/>
          <w:color w:val="000000" w:themeColor="text1"/>
          <w:lang w:val="en-GB"/>
        </w:rPr>
        <w:t xml:space="preserve">with the UK </w:t>
      </w:r>
      <w:r w:rsidR="009B71F7">
        <w:rPr>
          <w:rFonts w:asciiTheme="minorHAnsi" w:hAnsiTheme="minorHAnsi" w:cstheme="minorHAnsi"/>
          <w:color w:val="000000" w:themeColor="text1"/>
          <w:lang w:val="en-GB"/>
        </w:rPr>
        <w:t xml:space="preserve">following the Brexit transition period </w:t>
      </w:r>
      <w:r w:rsidR="008D5F58">
        <w:rPr>
          <w:rFonts w:asciiTheme="minorHAnsi" w:hAnsiTheme="minorHAnsi" w:cstheme="minorHAnsi"/>
          <w:color w:val="000000" w:themeColor="text1"/>
          <w:lang w:val="en-GB"/>
        </w:rPr>
        <w:t>remains somewhat ambiguous</w:t>
      </w:r>
      <w:r w:rsidR="000E3B81">
        <w:rPr>
          <w:rFonts w:asciiTheme="minorHAnsi" w:hAnsiTheme="minorHAnsi" w:cstheme="minorHAnsi"/>
          <w:color w:val="000000" w:themeColor="text1"/>
          <w:lang w:val="en-GB"/>
        </w:rPr>
        <w:t>.</w:t>
      </w:r>
      <w:r w:rsidR="00DE075D">
        <w:rPr>
          <w:rFonts w:asciiTheme="minorHAnsi" w:hAnsiTheme="minorHAnsi" w:cstheme="minorHAnsi"/>
          <w:color w:val="000000" w:themeColor="text1"/>
          <w:lang w:val="en-GB"/>
        </w:rPr>
        <w:t xml:space="preserve"> </w:t>
      </w:r>
      <w:r w:rsidR="000E3B81">
        <w:rPr>
          <w:rFonts w:asciiTheme="minorHAnsi" w:hAnsiTheme="minorHAnsi" w:cstheme="minorHAnsi"/>
          <w:color w:val="000000" w:themeColor="text1"/>
          <w:lang w:val="en-GB"/>
        </w:rPr>
        <w:t>T</w:t>
      </w:r>
      <w:r w:rsidR="00DE075D">
        <w:rPr>
          <w:rFonts w:asciiTheme="minorHAnsi" w:hAnsiTheme="minorHAnsi" w:cstheme="minorHAnsi"/>
          <w:color w:val="000000" w:themeColor="text1"/>
          <w:lang w:val="en-GB"/>
        </w:rPr>
        <w:t xml:space="preserve">his is because </w:t>
      </w:r>
      <w:r w:rsidR="00413BB3">
        <w:rPr>
          <w:rFonts w:asciiTheme="minorHAnsi" w:hAnsiTheme="minorHAnsi" w:cstheme="minorHAnsi"/>
          <w:color w:val="000000" w:themeColor="text1"/>
          <w:lang w:val="en-GB"/>
        </w:rPr>
        <w:t>the</w:t>
      </w:r>
      <w:r w:rsidR="00DE075D" w:rsidRPr="00DE075D">
        <w:rPr>
          <w:rFonts w:asciiTheme="minorHAnsi" w:hAnsiTheme="minorHAnsi" w:cstheme="minorHAnsi"/>
          <w:color w:val="000000" w:themeColor="text1"/>
          <w:lang w:val="en-GB"/>
        </w:rPr>
        <w:t xml:space="preserve"> EU–UK Trade and Cooperation Agreement (TCA) of 24 December 2020 does not cover security</w:t>
      </w:r>
      <w:r w:rsidR="00F65C5F">
        <w:rPr>
          <w:rFonts w:asciiTheme="minorHAnsi" w:hAnsiTheme="minorHAnsi" w:cstheme="minorHAnsi"/>
          <w:color w:val="000000" w:themeColor="text1"/>
          <w:lang w:val="en-GB"/>
        </w:rPr>
        <w:t xml:space="preserve"> or </w:t>
      </w:r>
      <w:r w:rsidR="00DE075D" w:rsidRPr="00DE075D">
        <w:rPr>
          <w:rFonts w:asciiTheme="minorHAnsi" w:hAnsiTheme="minorHAnsi" w:cstheme="minorHAnsi"/>
          <w:color w:val="000000" w:themeColor="text1"/>
          <w:lang w:val="en-GB"/>
        </w:rPr>
        <w:t>defence</w:t>
      </w:r>
      <w:r w:rsidR="00F65C5F">
        <w:rPr>
          <w:rFonts w:asciiTheme="minorHAnsi" w:hAnsiTheme="minorHAnsi" w:cstheme="minorHAnsi"/>
          <w:color w:val="000000" w:themeColor="text1"/>
          <w:lang w:val="en-GB"/>
        </w:rPr>
        <w:t xml:space="preserve"> matters</w:t>
      </w:r>
      <w:r w:rsidR="00413BB3">
        <w:rPr>
          <w:rFonts w:asciiTheme="minorHAnsi" w:hAnsiTheme="minorHAnsi" w:cstheme="minorHAnsi"/>
          <w:color w:val="000000" w:themeColor="text1"/>
          <w:lang w:val="en-GB"/>
        </w:rPr>
        <w:t xml:space="preserve"> (CF</w:t>
      </w:r>
      <w:r w:rsidR="00CC6001">
        <w:rPr>
          <w:rFonts w:asciiTheme="minorHAnsi" w:hAnsiTheme="minorHAnsi" w:cstheme="minorHAnsi"/>
          <w:color w:val="000000" w:themeColor="text1"/>
          <w:lang w:val="en-GB"/>
        </w:rPr>
        <w:t>S</w:t>
      </w:r>
      <w:r w:rsidR="00413BB3">
        <w:rPr>
          <w:rFonts w:asciiTheme="minorHAnsi" w:hAnsiTheme="minorHAnsi" w:cstheme="minorHAnsi"/>
          <w:color w:val="000000" w:themeColor="text1"/>
          <w:lang w:val="en-GB"/>
        </w:rPr>
        <w:t>P)</w:t>
      </w:r>
      <w:r w:rsidR="00232123">
        <w:rPr>
          <w:rFonts w:asciiTheme="minorHAnsi" w:hAnsiTheme="minorHAnsi" w:cstheme="minorHAnsi"/>
          <w:color w:val="000000" w:themeColor="text1"/>
          <w:lang w:val="en-GB"/>
        </w:rPr>
        <w:t>, while it</w:t>
      </w:r>
      <w:r w:rsidR="000E3B81">
        <w:rPr>
          <w:rFonts w:asciiTheme="minorHAnsi" w:hAnsiTheme="minorHAnsi" w:cstheme="minorHAnsi"/>
          <w:color w:val="000000" w:themeColor="text1"/>
          <w:lang w:val="en-GB"/>
        </w:rPr>
        <w:t xml:space="preserve"> does cover Justice and Home Affairs</w:t>
      </w:r>
      <w:r w:rsidR="00413BB3">
        <w:rPr>
          <w:rFonts w:asciiTheme="minorHAnsi" w:hAnsiTheme="minorHAnsi" w:cstheme="minorHAnsi"/>
          <w:color w:val="000000" w:themeColor="text1"/>
          <w:lang w:val="en-GB"/>
        </w:rPr>
        <w:t xml:space="preserve"> (JHA)</w:t>
      </w:r>
      <w:r w:rsidR="000E3B81">
        <w:rPr>
          <w:rFonts w:asciiTheme="minorHAnsi" w:hAnsiTheme="minorHAnsi" w:cstheme="minorHAnsi"/>
          <w:color w:val="000000" w:themeColor="text1"/>
          <w:lang w:val="en-GB"/>
        </w:rPr>
        <w:t xml:space="preserve"> (HM Government</w:t>
      </w:r>
      <w:r w:rsidR="00413BB3">
        <w:rPr>
          <w:rFonts w:asciiTheme="minorHAnsi" w:hAnsiTheme="minorHAnsi" w:cstheme="minorHAnsi"/>
          <w:color w:val="000000" w:themeColor="text1"/>
          <w:lang w:val="en-GB"/>
        </w:rPr>
        <w:t xml:space="preserve"> </w:t>
      </w:r>
      <w:r w:rsidR="000E3B81">
        <w:rPr>
          <w:rFonts w:asciiTheme="minorHAnsi" w:hAnsiTheme="minorHAnsi" w:cstheme="minorHAnsi"/>
          <w:color w:val="000000" w:themeColor="text1"/>
          <w:lang w:val="en-GB"/>
        </w:rPr>
        <w:t xml:space="preserve">2020). </w:t>
      </w:r>
      <w:r w:rsidR="00232123">
        <w:rPr>
          <w:rFonts w:asciiTheme="minorHAnsi" w:hAnsiTheme="minorHAnsi" w:cstheme="minorHAnsi"/>
          <w:color w:val="000000" w:themeColor="text1"/>
          <w:lang w:val="en-GB"/>
        </w:rPr>
        <w:t>T</w:t>
      </w:r>
      <w:r w:rsidR="008F164C">
        <w:rPr>
          <w:rFonts w:asciiTheme="minorHAnsi" w:hAnsiTheme="minorHAnsi" w:cstheme="minorHAnsi"/>
          <w:color w:val="000000" w:themeColor="text1"/>
          <w:lang w:val="en-GB"/>
        </w:rPr>
        <w:t>he UK</w:t>
      </w:r>
      <w:r w:rsidR="00232123">
        <w:rPr>
          <w:rFonts w:asciiTheme="minorHAnsi" w:hAnsiTheme="minorHAnsi" w:cstheme="minorHAnsi"/>
          <w:color w:val="000000" w:themeColor="text1"/>
          <w:lang w:val="en-GB"/>
        </w:rPr>
        <w:t xml:space="preserve"> has also</w:t>
      </w:r>
      <w:r w:rsidR="008F164C">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withdr</w:t>
      </w:r>
      <w:r w:rsidR="00232123">
        <w:rPr>
          <w:rFonts w:asciiTheme="minorHAnsi" w:hAnsiTheme="minorHAnsi" w:cstheme="minorHAnsi"/>
          <w:color w:val="000000" w:themeColor="text1"/>
          <w:lang w:val="en-GB"/>
        </w:rPr>
        <w:t>awn</w:t>
      </w:r>
      <w:r w:rsidRPr="0089670F">
        <w:rPr>
          <w:rFonts w:asciiTheme="minorHAnsi" w:hAnsiTheme="minorHAnsi" w:cstheme="minorHAnsi"/>
          <w:color w:val="000000" w:themeColor="text1"/>
          <w:lang w:val="en-GB"/>
        </w:rPr>
        <w:t xml:space="preserve"> from several EU-level mechanisms, </w:t>
      </w:r>
      <w:r w:rsidR="009B71F7">
        <w:rPr>
          <w:rFonts w:asciiTheme="minorHAnsi" w:hAnsiTheme="minorHAnsi" w:cstheme="minorHAnsi"/>
          <w:color w:val="000000" w:themeColor="text1"/>
          <w:lang w:val="en-GB"/>
        </w:rPr>
        <w:t>including the EAW</w:t>
      </w:r>
      <w:r w:rsidR="00232123">
        <w:rPr>
          <w:rFonts w:asciiTheme="minorHAnsi" w:hAnsiTheme="minorHAnsi" w:cstheme="minorHAnsi"/>
          <w:color w:val="000000" w:themeColor="text1"/>
          <w:lang w:val="en-GB"/>
        </w:rPr>
        <w:t>, while it has</w:t>
      </w:r>
      <w:r w:rsidR="009B71F7">
        <w:rPr>
          <w:rFonts w:asciiTheme="minorHAnsi" w:hAnsiTheme="minorHAnsi" w:cstheme="minorHAnsi"/>
          <w:color w:val="000000" w:themeColor="text1"/>
          <w:lang w:val="en-GB"/>
        </w:rPr>
        <w:t xml:space="preserve"> pledged to new extradition arrangements which follow those under the EAW in everything but name</w:t>
      </w:r>
      <w:r w:rsidR="00BB0B01">
        <w:rPr>
          <w:rFonts w:asciiTheme="minorHAnsi" w:hAnsiTheme="minorHAnsi" w:cstheme="minorHAnsi"/>
          <w:color w:val="000000" w:themeColor="text1"/>
          <w:lang w:val="en-GB"/>
        </w:rPr>
        <w:t xml:space="preserve"> (</w:t>
      </w:r>
      <w:r w:rsidR="007E63FC">
        <w:rPr>
          <w:rFonts w:asciiTheme="minorHAnsi" w:hAnsiTheme="minorHAnsi" w:cstheme="minorHAnsi"/>
          <w:iCs/>
          <w:color w:val="000000" w:themeColor="text1"/>
          <w:lang w:val="en-GB"/>
        </w:rPr>
        <w:t>HM Government 2020</w:t>
      </w:r>
      <w:r w:rsidR="00BB0B01">
        <w:rPr>
          <w:rFonts w:asciiTheme="minorHAnsi" w:hAnsiTheme="minorHAnsi" w:cstheme="minorHAnsi"/>
          <w:color w:val="000000" w:themeColor="text1"/>
          <w:lang w:val="en-GB"/>
        </w:rPr>
        <w:t>)</w:t>
      </w:r>
      <w:r w:rsidR="009B71F7">
        <w:rPr>
          <w:rFonts w:asciiTheme="minorHAnsi" w:hAnsiTheme="minorHAnsi" w:cstheme="minorHAnsi"/>
          <w:color w:val="000000" w:themeColor="text1"/>
          <w:lang w:val="en-GB"/>
        </w:rPr>
        <w:t>.</w:t>
      </w:r>
      <w:r w:rsidR="008D5F58">
        <w:rPr>
          <w:rFonts w:asciiTheme="minorHAnsi" w:hAnsiTheme="minorHAnsi" w:cstheme="minorHAnsi"/>
          <w:color w:val="000000" w:themeColor="text1"/>
          <w:lang w:val="en-GB"/>
        </w:rPr>
        <w:t xml:space="preserve"> This seems somewhat characteristic of the British desire to continue to engage in certain intelligence sharing and security cooperation practices whilst declaring the</w:t>
      </w:r>
      <w:r w:rsidR="00413BB3">
        <w:rPr>
          <w:rFonts w:asciiTheme="minorHAnsi" w:hAnsiTheme="minorHAnsi" w:cstheme="minorHAnsi"/>
          <w:color w:val="000000" w:themeColor="text1"/>
          <w:lang w:val="en-GB"/>
        </w:rPr>
        <w:t xml:space="preserve"> supposed</w:t>
      </w:r>
      <w:r w:rsidR="008D5F58">
        <w:rPr>
          <w:rFonts w:asciiTheme="minorHAnsi" w:hAnsiTheme="minorHAnsi" w:cstheme="minorHAnsi"/>
          <w:color w:val="000000" w:themeColor="text1"/>
          <w:lang w:val="en-GB"/>
        </w:rPr>
        <w:t xml:space="preserve"> restitution of sovereignty</w:t>
      </w:r>
      <w:r w:rsidR="00647BE6">
        <w:rPr>
          <w:rFonts w:asciiTheme="minorHAnsi" w:hAnsiTheme="minorHAnsi" w:cstheme="minorHAnsi"/>
          <w:color w:val="000000" w:themeColor="text1"/>
          <w:lang w:val="en-GB"/>
        </w:rPr>
        <w:t xml:space="preserve"> (Sweeney and Winn 2021)</w:t>
      </w:r>
      <w:r w:rsidR="008D5F58">
        <w:rPr>
          <w:rFonts w:asciiTheme="minorHAnsi" w:hAnsiTheme="minorHAnsi" w:cstheme="minorHAnsi"/>
          <w:color w:val="000000" w:themeColor="text1"/>
          <w:lang w:val="en-GB"/>
        </w:rPr>
        <w:t>.</w:t>
      </w:r>
      <w:r w:rsidR="000E3B81">
        <w:rPr>
          <w:rFonts w:asciiTheme="minorHAnsi" w:hAnsiTheme="minorHAnsi" w:cstheme="minorHAnsi"/>
          <w:color w:val="000000" w:themeColor="text1"/>
          <w:lang w:val="en-GB"/>
        </w:rPr>
        <w:t xml:space="preserve"> </w:t>
      </w:r>
    </w:p>
    <w:p w14:paraId="3B714FD9" w14:textId="77777777" w:rsidR="00332565" w:rsidRPr="0089670F" w:rsidRDefault="00332565" w:rsidP="00A947ED">
      <w:pPr>
        <w:rPr>
          <w:rFonts w:asciiTheme="minorHAnsi" w:hAnsiTheme="minorHAnsi" w:cstheme="minorHAnsi"/>
          <w:color w:val="000000" w:themeColor="text1"/>
          <w:lang w:val="en-GB"/>
        </w:rPr>
      </w:pPr>
    </w:p>
    <w:p w14:paraId="0BECC882" w14:textId="26EDACD7" w:rsidR="00332565" w:rsidRPr="0089670F" w:rsidRDefault="00BE60C9" w:rsidP="00A947ED">
      <w:pPr>
        <w:rPr>
          <w:rFonts w:asciiTheme="minorHAnsi" w:hAnsiTheme="minorHAnsi" w:cstheme="minorHAnsi"/>
          <w:color w:val="000000" w:themeColor="text1"/>
          <w:lang w:val="en-GB"/>
        </w:rPr>
      </w:pPr>
      <w:r>
        <w:rPr>
          <w:rFonts w:asciiTheme="minorHAnsi" w:hAnsiTheme="minorHAnsi" w:cstheme="minorHAnsi"/>
          <w:color w:val="000000" w:themeColor="text1"/>
          <w:lang w:val="en-GB"/>
        </w:rPr>
        <w:t>Another significant challenge facing European cooperation in tackling organised crime and terrorism in</w:t>
      </w:r>
      <w:r w:rsidR="002E3BE1">
        <w:rPr>
          <w:rFonts w:asciiTheme="minorHAnsi" w:hAnsiTheme="minorHAnsi" w:cstheme="minorHAnsi"/>
          <w:color w:val="000000" w:themeColor="text1"/>
          <w:lang w:val="en-GB"/>
        </w:rPr>
        <w:t xml:space="preserve"> the</w:t>
      </w:r>
      <w:r>
        <w:rPr>
          <w:rFonts w:asciiTheme="minorHAnsi" w:hAnsiTheme="minorHAnsi" w:cstheme="minorHAnsi"/>
          <w:color w:val="000000" w:themeColor="text1"/>
          <w:lang w:val="en-GB"/>
        </w:rPr>
        <w:t xml:space="preserve"> coming years is </w:t>
      </w:r>
      <w:r w:rsidR="002E3BE1">
        <w:rPr>
          <w:rFonts w:asciiTheme="minorHAnsi" w:hAnsiTheme="minorHAnsi" w:cstheme="minorHAnsi"/>
          <w:color w:val="000000" w:themeColor="text1"/>
          <w:lang w:val="en-GB"/>
        </w:rPr>
        <w:t xml:space="preserve">a </w:t>
      </w:r>
      <w:r>
        <w:rPr>
          <w:rFonts w:asciiTheme="minorHAnsi" w:hAnsiTheme="minorHAnsi" w:cstheme="minorHAnsi"/>
          <w:color w:val="000000" w:themeColor="text1"/>
          <w:lang w:val="en-GB"/>
        </w:rPr>
        <w:t xml:space="preserve">growing sense of divergence between </w:t>
      </w:r>
      <w:r w:rsidR="00413BB3">
        <w:rPr>
          <w:rFonts w:asciiTheme="minorHAnsi" w:hAnsiTheme="minorHAnsi" w:cstheme="minorHAnsi"/>
          <w:color w:val="000000" w:themeColor="text1"/>
          <w:lang w:val="en-GB"/>
        </w:rPr>
        <w:t xml:space="preserve">the cultures and practices of </w:t>
      </w:r>
      <w:r>
        <w:rPr>
          <w:rFonts w:asciiTheme="minorHAnsi" w:hAnsiTheme="minorHAnsi" w:cstheme="minorHAnsi"/>
          <w:color w:val="000000" w:themeColor="text1"/>
          <w:lang w:val="en-GB"/>
        </w:rPr>
        <w:t xml:space="preserve">police and security services across the continent. </w:t>
      </w:r>
      <w:r w:rsidR="00332565" w:rsidRPr="0089670F">
        <w:rPr>
          <w:rFonts w:asciiTheme="minorHAnsi" w:hAnsiTheme="minorHAnsi" w:cstheme="minorHAnsi"/>
          <w:color w:val="000000" w:themeColor="text1"/>
          <w:lang w:val="en-GB"/>
        </w:rPr>
        <w:t>European Union Member States are</w:t>
      </w:r>
      <w:r w:rsidR="008F164C">
        <w:rPr>
          <w:rFonts w:asciiTheme="minorHAnsi" w:hAnsiTheme="minorHAnsi" w:cstheme="minorHAnsi"/>
          <w:color w:val="000000" w:themeColor="text1"/>
          <w:lang w:val="en-GB"/>
        </w:rPr>
        <w:t xml:space="preserve"> </w:t>
      </w:r>
      <w:r w:rsidR="00A37325">
        <w:rPr>
          <w:rFonts w:asciiTheme="minorHAnsi" w:hAnsiTheme="minorHAnsi" w:cstheme="minorHAnsi"/>
          <w:color w:val="000000" w:themeColor="text1"/>
          <w:lang w:val="en-GB"/>
        </w:rPr>
        <w:t>formally</w:t>
      </w:r>
      <w:r w:rsidR="00332565" w:rsidRPr="0089670F">
        <w:rPr>
          <w:rFonts w:asciiTheme="minorHAnsi" w:hAnsiTheme="minorHAnsi" w:cstheme="minorHAnsi"/>
          <w:color w:val="000000" w:themeColor="text1"/>
          <w:lang w:val="en-GB"/>
        </w:rPr>
        <w:t xml:space="preserve"> defined by </w:t>
      </w:r>
      <w:r w:rsidR="00A37325">
        <w:rPr>
          <w:rFonts w:asciiTheme="minorHAnsi" w:hAnsiTheme="minorHAnsi" w:cstheme="minorHAnsi"/>
          <w:color w:val="000000" w:themeColor="text1"/>
          <w:lang w:val="en-GB"/>
        </w:rPr>
        <w:t>their</w:t>
      </w:r>
      <w:r w:rsidR="00332565" w:rsidRPr="0089670F">
        <w:rPr>
          <w:rFonts w:asciiTheme="minorHAnsi" w:hAnsiTheme="minorHAnsi" w:cstheme="minorHAnsi"/>
          <w:color w:val="000000" w:themeColor="text1"/>
          <w:lang w:val="en-GB"/>
        </w:rPr>
        <w:t xml:space="preserve"> commitment to democratic values, human rights</w:t>
      </w:r>
      <w:r w:rsidR="00A37325">
        <w:rPr>
          <w:rFonts w:asciiTheme="minorHAnsi" w:hAnsiTheme="minorHAnsi" w:cstheme="minorHAnsi"/>
          <w:color w:val="000000" w:themeColor="text1"/>
          <w:lang w:val="en-GB"/>
        </w:rPr>
        <w:t>,</w:t>
      </w:r>
      <w:r w:rsidR="00332565" w:rsidRPr="0089670F">
        <w:rPr>
          <w:rFonts w:asciiTheme="minorHAnsi" w:hAnsiTheme="minorHAnsi" w:cstheme="minorHAnsi"/>
          <w:color w:val="000000" w:themeColor="text1"/>
          <w:lang w:val="en-GB"/>
        </w:rPr>
        <w:t xml:space="preserve"> and </w:t>
      </w:r>
      <w:r w:rsidR="00A37325">
        <w:rPr>
          <w:rFonts w:asciiTheme="minorHAnsi" w:hAnsiTheme="minorHAnsi" w:cstheme="minorHAnsi"/>
          <w:color w:val="000000" w:themeColor="text1"/>
          <w:lang w:val="en-GB"/>
        </w:rPr>
        <w:t>the</w:t>
      </w:r>
      <w:r w:rsidR="00332565" w:rsidRPr="0089670F">
        <w:rPr>
          <w:rFonts w:asciiTheme="minorHAnsi" w:hAnsiTheme="minorHAnsi" w:cstheme="minorHAnsi"/>
          <w:color w:val="000000" w:themeColor="text1"/>
          <w:lang w:val="en-GB"/>
        </w:rPr>
        <w:t xml:space="preserve"> rule of law</w:t>
      </w:r>
      <w:r w:rsidR="00A37325">
        <w:rPr>
          <w:rFonts w:asciiTheme="minorHAnsi" w:hAnsiTheme="minorHAnsi" w:cstheme="minorHAnsi"/>
          <w:color w:val="000000" w:themeColor="text1"/>
          <w:lang w:val="en-GB"/>
        </w:rPr>
        <w:t>. This</w:t>
      </w:r>
      <w:r w:rsidR="00332565" w:rsidRPr="0089670F">
        <w:rPr>
          <w:rFonts w:asciiTheme="minorHAnsi" w:hAnsiTheme="minorHAnsi" w:cstheme="minorHAnsi"/>
          <w:color w:val="000000" w:themeColor="text1"/>
          <w:lang w:val="en-GB"/>
        </w:rPr>
        <w:t xml:space="preserve"> places certain expectations and limits on the activities of security agenc</w:t>
      </w:r>
      <w:r w:rsidR="002E3BE1">
        <w:rPr>
          <w:rFonts w:asciiTheme="minorHAnsi" w:hAnsiTheme="minorHAnsi" w:cstheme="minorHAnsi"/>
          <w:color w:val="000000" w:themeColor="text1"/>
          <w:lang w:val="en-GB"/>
        </w:rPr>
        <w:t xml:space="preserve">ies fighting terrorism and OC. </w:t>
      </w:r>
      <w:r w:rsidR="00332565" w:rsidRPr="0089670F">
        <w:rPr>
          <w:rFonts w:asciiTheme="minorHAnsi" w:hAnsiTheme="minorHAnsi" w:cstheme="minorHAnsi"/>
          <w:color w:val="000000" w:themeColor="text1"/>
          <w:lang w:val="en-GB"/>
        </w:rPr>
        <w:t xml:space="preserve">However, </w:t>
      </w:r>
      <w:r w:rsidR="00A37325">
        <w:rPr>
          <w:rFonts w:asciiTheme="minorHAnsi" w:hAnsiTheme="minorHAnsi" w:cstheme="minorHAnsi"/>
          <w:color w:val="000000" w:themeColor="text1"/>
          <w:lang w:val="en-GB"/>
        </w:rPr>
        <w:t xml:space="preserve">where rule of law is challenged, </w:t>
      </w:r>
      <w:r w:rsidR="00332565" w:rsidRPr="0089670F">
        <w:rPr>
          <w:rFonts w:asciiTheme="minorHAnsi" w:hAnsiTheme="minorHAnsi" w:cstheme="minorHAnsi"/>
          <w:color w:val="000000" w:themeColor="text1"/>
          <w:lang w:val="en-GB"/>
        </w:rPr>
        <w:t xml:space="preserve">concerns </w:t>
      </w:r>
      <w:r w:rsidR="00A37325">
        <w:rPr>
          <w:rFonts w:asciiTheme="minorHAnsi" w:hAnsiTheme="minorHAnsi" w:cstheme="minorHAnsi"/>
          <w:color w:val="000000" w:themeColor="text1"/>
          <w:lang w:val="en-GB"/>
        </w:rPr>
        <w:t xml:space="preserve">about respecting these limits follow. </w:t>
      </w:r>
      <w:r w:rsidR="00332565" w:rsidRPr="0089670F">
        <w:rPr>
          <w:rFonts w:asciiTheme="minorHAnsi" w:hAnsiTheme="minorHAnsi" w:cstheme="minorHAnsi"/>
          <w:color w:val="000000" w:themeColor="text1"/>
          <w:lang w:val="en-GB"/>
        </w:rPr>
        <w:t>For example, when Romania and Bulgaria joined the European Union in 2007, EU officials and existing Member States were concerned with corruption and links to organised crime, perceived to be endemic to these societies</w:t>
      </w:r>
      <w:r w:rsidR="00A37325">
        <w:rPr>
          <w:rFonts w:asciiTheme="minorHAnsi" w:hAnsiTheme="minorHAnsi" w:cstheme="minorHAnsi"/>
          <w:color w:val="000000" w:themeColor="text1"/>
          <w:lang w:val="en-GB"/>
        </w:rPr>
        <w:t>. The EU conditioned enlargement by the acceptance of a</w:t>
      </w:r>
      <w:r w:rsidR="00332565" w:rsidRPr="0089670F">
        <w:rPr>
          <w:rFonts w:asciiTheme="minorHAnsi" w:hAnsiTheme="minorHAnsi" w:cstheme="minorHAnsi"/>
          <w:color w:val="000000" w:themeColor="text1"/>
          <w:lang w:val="en-GB"/>
        </w:rPr>
        <w:t xml:space="preserve"> Cooperation and Verification Mechanism (CVM). The CVM is designed to monitor Bulgaria and Romania’s progress in tackling </w:t>
      </w:r>
      <w:r w:rsidR="00332565" w:rsidRPr="0089670F">
        <w:rPr>
          <w:rFonts w:asciiTheme="minorHAnsi" w:hAnsiTheme="minorHAnsi" w:cstheme="minorHAnsi"/>
          <w:color w:val="000000" w:themeColor="text1"/>
          <w:lang w:val="en-GB"/>
        </w:rPr>
        <w:lastRenderedPageBreak/>
        <w:t>corruption and buil</w:t>
      </w:r>
      <w:r w:rsidR="002E3BE1">
        <w:rPr>
          <w:rFonts w:asciiTheme="minorHAnsi" w:hAnsiTheme="minorHAnsi" w:cstheme="minorHAnsi"/>
          <w:color w:val="000000" w:themeColor="text1"/>
          <w:lang w:val="en-GB"/>
        </w:rPr>
        <w:t xml:space="preserve">ding an independent judiciary. </w:t>
      </w:r>
      <w:r w:rsidR="00A37325">
        <w:rPr>
          <w:rFonts w:asciiTheme="minorHAnsi" w:hAnsiTheme="minorHAnsi" w:cstheme="minorHAnsi"/>
          <w:color w:val="000000" w:themeColor="text1"/>
          <w:lang w:val="en-GB"/>
        </w:rPr>
        <w:t xml:space="preserve">Such situations of differentiated integration </w:t>
      </w:r>
      <w:r w:rsidR="00332565" w:rsidRPr="0089670F">
        <w:rPr>
          <w:rFonts w:asciiTheme="minorHAnsi" w:hAnsiTheme="minorHAnsi" w:cstheme="minorHAnsi"/>
          <w:color w:val="000000" w:themeColor="text1"/>
          <w:lang w:val="en-GB"/>
        </w:rPr>
        <w:t>act to reinforce Member States’ relucta</w:t>
      </w:r>
      <w:r w:rsidR="00232123">
        <w:rPr>
          <w:rFonts w:asciiTheme="minorHAnsi" w:hAnsiTheme="minorHAnsi" w:cstheme="minorHAnsi"/>
          <w:color w:val="000000" w:themeColor="text1"/>
          <w:lang w:val="en-GB"/>
        </w:rPr>
        <w:t>nces to work multilaterally. Moreover, i</w:t>
      </w:r>
      <w:r w:rsidR="00332565" w:rsidRPr="0089670F">
        <w:rPr>
          <w:rFonts w:asciiTheme="minorHAnsi" w:hAnsiTheme="minorHAnsi" w:cstheme="minorHAnsi"/>
          <w:color w:val="000000" w:themeColor="text1"/>
          <w:lang w:val="en-GB"/>
        </w:rPr>
        <w:t xml:space="preserve">n Hungary, Prime Minister Viktor </w:t>
      </w:r>
      <w:proofErr w:type="spellStart"/>
      <w:r w:rsidR="00332565" w:rsidRPr="0089670F">
        <w:rPr>
          <w:rFonts w:asciiTheme="minorHAnsi" w:hAnsiTheme="minorHAnsi" w:cstheme="minorHAnsi"/>
          <w:color w:val="000000" w:themeColor="text1"/>
          <w:lang w:val="en-GB"/>
        </w:rPr>
        <w:t>Orbàn</w:t>
      </w:r>
      <w:proofErr w:type="spellEnd"/>
      <w:r w:rsidR="00332565" w:rsidRPr="0089670F">
        <w:rPr>
          <w:rFonts w:asciiTheme="minorHAnsi" w:hAnsiTheme="minorHAnsi" w:cstheme="minorHAnsi"/>
          <w:color w:val="000000" w:themeColor="text1"/>
          <w:lang w:val="en-GB"/>
        </w:rPr>
        <w:t xml:space="preserve"> relies heavily on the securitisation of threats such as terrorism and OC to justify illiberal and authoritarian police practices that represent an erosion of de</w:t>
      </w:r>
      <w:r w:rsidR="002E3BE1">
        <w:rPr>
          <w:rFonts w:asciiTheme="minorHAnsi" w:hAnsiTheme="minorHAnsi" w:cstheme="minorHAnsi"/>
          <w:color w:val="000000" w:themeColor="text1"/>
          <w:lang w:val="en-GB"/>
        </w:rPr>
        <w:t xml:space="preserve">mocratic values </w:t>
      </w:r>
      <w:r w:rsidR="00332565" w:rsidRPr="0089670F">
        <w:rPr>
          <w:rFonts w:asciiTheme="minorHAnsi" w:hAnsiTheme="minorHAnsi" w:cstheme="minorHAnsi"/>
          <w:color w:val="000000" w:themeColor="text1"/>
          <w:lang w:val="en-GB"/>
        </w:rPr>
        <w:t xml:space="preserve">necessary </w:t>
      </w:r>
      <w:r w:rsidR="002E3BE1">
        <w:rPr>
          <w:rFonts w:asciiTheme="minorHAnsi" w:hAnsiTheme="minorHAnsi" w:cstheme="minorHAnsi"/>
          <w:color w:val="000000" w:themeColor="text1"/>
          <w:lang w:val="en-GB"/>
        </w:rPr>
        <w:t>for</w:t>
      </w:r>
      <w:r w:rsidR="00332565" w:rsidRPr="0089670F">
        <w:rPr>
          <w:rFonts w:asciiTheme="minorHAnsi" w:hAnsiTheme="minorHAnsi" w:cstheme="minorHAnsi"/>
          <w:color w:val="000000" w:themeColor="text1"/>
          <w:lang w:val="en-GB"/>
        </w:rPr>
        <w:t xml:space="preserve"> EU membership (Harper</w:t>
      </w:r>
      <w:r w:rsidR="00647BE6">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 xml:space="preserve">2016). These examples </w:t>
      </w:r>
      <w:r w:rsidR="00A37325">
        <w:rPr>
          <w:rFonts w:asciiTheme="minorHAnsi" w:hAnsiTheme="minorHAnsi" w:cstheme="minorHAnsi"/>
          <w:color w:val="000000" w:themeColor="text1"/>
          <w:lang w:val="en-GB"/>
        </w:rPr>
        <w:t xml:space="preserve">further </w:t>
      </w:r>
      <w:r w:rsidR="00332565" w:rsidRPr="0089670F">
        <w:rPr>
          <w:rFonts w:asciiTheme="minorHAnsi" w:hAnsiTheme="minorHAnsi" w:cstheme="minorHAnsi"/>
          <w:color w:val="000000" w:themeColor="text1"/>
          <w:lang w:val="en-GB"/>
        </w:rPr>
        <w:t>illustrate the dilemmas Member States face in</w:t>
      </w:r>
      <w:r w:rsidR="00A37325">
        <w:rPr>
          <w:rFonts w:asciiTheme="minorHAnsi" w:hAnsiTheme="minorHAnsi" w:cstheme="minorHAnsi"/>
          <w:color w:val="000000" w:themeColor="text1"/>
          <w:lang w:val="en-GB"/>
        </w:rPr>
        <w:t xml:space="preserve"> enhancing</w:t>
      </w:r>
      <w:r w:rsidR="00332565" w:rsidRPr="0089670F">
        <w:rPr>
          <w:rFonts w:asciiTheme="minorHAnsi" w:hAnsiTheme="minorHAnsi" w:cstheme="minorHAnsi"/>
          <w:color w:val="000000" w:themeColor="text1"/>
          <w:lang w:val="en-GB"/>
        </w:rPr>
        <w:t xml:space="preserve"> multilateral police cooperation</w:t>
      </w:r>
      <w:r w:rsidR="00A37325">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 xml:space="preserve"> </w:t>
      </w:r>
    </w:p>
    <w:p w14:paraId="15D4E7CB" w14:textId="77777777" w:rsidR="00DD02DB" w:rsidRPr="0089670F" w:rsidRDefault="00DD02DB" w:rsidP="00A947ED">
      <w:pPr>
        <w:rPr>
          <w:rFonts w:asciiTheme="minorHAnsi" w:hAnsiTheme="minorHAnsi" w:cstheme="minorHAnsi"/>
          <w:b/>
          <w:bCs/>
          <w:i/>
          <w:iCs/>
          <w:color w:val="000000" w:themeColor="text1"/>
          <w:lang w:val="en-GB"/>
        </w:rPr>
      </w:pPr>
    </w:p>
    <w:p w14:paraId="23CD0292" w14:textId="075615DD" w:rsidR="00332565" w:rsidRPr="002120D0" w:rsidRDefault="00332565" w:rsidP="00A947ED">
      <w:pPr>
        <w:pStyle w:val="Heading2"/>
        <w:rPr>
          <w:rFonts w:asciiTheme="minorHAnsi" w:hAnsiTheme="minorHAnsi" w:cstheme="minorHAnsi"/>
          <w:lang w:val="en-GB"/>
        </w:rPr>
      </w:pPr>
      <w:r w:rsidRPr="002120D0">
        <w:rPr>
          <w:rFonts w:asciiTheme="minorHAnsi" w:hAnsiTheme="minorHAnsi" w:cstheme="minorHAnsi"/>
          <w:lang w:val="en-GB"/>
        </w:rPr>
        <w:t>Preventing Violent Extremism (PVE) in Europe</w:t>
      </w:r>
      <w:r w:rsidR="00CC40E2" w:rsidRPr="002120D0">
        <w:rPr>
          <w:rFonts w:asciiTheme="minorHAnsi" w:hAnsiTheme="minorHAnsi" w:cstheme="minorHAnsi"/>
          <w:lang w:val="en-GB"/>
        </w:rPr>
        <w:t xml:space="preserve">: </w:t>
      </w:r>
      <w:r w:rsidR="009435F5" w:rsidRPr="002120D0">
        <w:rPr>
          <w:rFonts w:asciiTheme="minorHAnsi" w:hAnsiTheme="minorHAnsi" w:cstheme="minorHAnsi"/>
          <w:lang w:val="en-GB"/>
        </w:rPr>
        <w:t xml:space="preserve">new policies, new divergences </w:t>
      </w:r>
    </w:p>
    <w:p w14:paraId="152D6980" w14:textId="012B1A3D" w:rsidR="00332565" w:rsidRPr="0089670F" w:rsidRDefault="00A37325" w:rsidP="00A947ED">
      <w:pPr>
        <w:rPr>
          <w:rFonts w:asciiTheme="minorHAnsi" w:hAnsiTheme="minorHAnsi" w:cstheme="minorHAnsi"/>
          <w:color w:val="000000" w:themeColor="text1"/>
          <w:lang w:val="en-GB"/>
        </w:rPr>
      </w:pPr>
      <w:r>
        <w:rPr>
          <w:rFonts w:asciiTheme="minorHAnsi" w:hAnsiTheme="minorHAnsi" w:cstheme="minorHAnsi"/>
          <w:color w:val="000000" w:themeColor="text1"/>
          <w:lang w:val="en-GB"/>
        </w:rPr>
        <w:t>The increase in the number</w:t>
      </w:r>
      <w:r w:rsidR="002E3BE1">
        <w:rPr>
          <w:rFonts w:asciiTheme="minorHAnsi" w:hAnsiTheme="minorHAnsi" w:cstheme="minorHAnsi"/>
          <w:color w:val="000000" w:themeColor="text1"/>
          <w:lang w:val="en-GB"/>
        </w:rPr>
        <w:t xml:space="preserve"> of</w:t>
      </w:r>
      <w:r>
        <w:rPr>
          <w:rFonts w:asciiTheme="minorHAnsi" w:hAnsiTheme="minorHAnsi" w:cstheme="minorHAnsi"/>
          <w:color w:val="000000" w:themeColor="text1"/>
          <w:lang w:val="en-GB"/>
        </w:rPr>
        <w:t xml:space="preserve"> new policies to prevent radicalisation is a</w:t>
      </w:r>
      <w:r w:rsidR="006735D6">
        <w:rPr>
          <w:rFonts w:asciiTheme="minorHAnsi" w:hAnsiTheme="minorHAnsi" w:cstheme="minorHAnsi"/>
          <w:color w:val="000000" w:themeColor="text1"/>
          <w:lang w:val="en-GB"/>
        </w:rPr>
        <w:t xml:space="preserve"> significant development over the last decade</w:t>
      </w:r>
      <w:r>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 xml:space="preserve">In fact, </w:t>
      </w:r>
      <w:r w:rsidR="00DD02DB" w:rsidRPr="0089670F">
        <w:rPr>
          <w:rFonts w:asciiTheme="minorHAnsi" w:hAnsiTheme="minorHAnsi" w:cstheme="minorHAnsi"/>
          <w:color w:val="000000" w:themeColor="text1"/>
          <w:lang w:val="en-GB"/>
        </w:rPr>
        <w:t xml:space="preserve">preventing </w:t>
      </w:r>
      <w:r w:rsidR="00332565" w:rsidRPr="0089670F">
        <w:rPr>
          <w:rFonts w:asciiTheme="minorHAnsi" w:hAnsiTheme="minorHAnsi" w:cstheme="minorHAnsi"/>
          <w:color w:val="000000" w:themeColor="text1"/>
          <w:lang w:val="en-GB"/>
        </w:rPr>
        <w:t xml:space="preserve">violent extremism (PVE) </w:t>
      </w:r>
      <w:r w:rsidR="006735D6">
        <w:rPr>
          <w:rFonts w:asciiTheme="minorHAnsi" w:hAnsiTheme="minorHAnsi" w:cstheme="minorHAnsi"/>
          <w:color w:val="000000" w:themeColor="text1"/>
          <w:lang w:val="en-GB"/>
        </w:rPr>
        <w:t>is emerging as</w:t>
      </w:r>
      <w:r w:rsidR="00332565" w:rsidRPr="0089670F">
        <w:rPr>
          <w:rFonts w:asciiTheme="minorHAnsi" w:hAnsiTheme="minorHAnsi" w:cstheme="minorHAnsi"/>
          <w:color w:val="000000" w:themeColor="text1"/>
          <w:lang w:val="en-GB"/>
        </w:rPr>
        <w:t xml:space="preserve"> a global norm</w:t>
      </w:r>
      <w:r w:rsidR="002E3BE1">
        <w:rPr>
          <w:rFonts w:asciiTheme="minorHAnsi" w:hAnsiTheme="minorHAnsi" w:cstheme="minorHAnsi"/>
          <w:color w:val="000000" w:themeColor="text1"/>
          <w:lang w:val="en-GB"/>
        </w:rPr>
        <w:t xml:space="preserve"> in counter-terrorism</w:t>
      </w:r>
      <w:r w:rsidR="008C2602">
        <w:rPr>
          <w:rFonts w:asciiTheme="minorHAnsi" w:hAnsiTheme="minorHAnsi" w:cstheme="minorHAnsi"/>
          <w:color w:val="000000" w:themeColor="text1"/>
          <w:lang w:val="en-GB"/>
        </w:rPr>
        <w:t xml:space="preserve"> policy (cf. Stephens, </w:t>
      </w:r>
      <w:proofErr w:type="spellStart"/>
      <w:r w:rsidR="008C2602">
        <w:rPr>
          <w:rFonts w:asciiTheme="minorHAnsi" w:hAnsiTheme="minorHAnsi" w:cstheme="minorHAnsi"/>
          <w:color w:val="000000" w:themeColor="text1"/>
          <w:lang w:val="en-GB"/>
        </w:rPr>
        <w:t>Si</w:t>
      </w:r>
      <w:r w:rsidR="00332565" w:rsidRPr="0089670F">
        <w:rPr>
          <w:rFonts w:asciiTheme="minorHAnsi" w:hAnsiTheme="minorHAnsi" w:cstheme="minorHAnsi"/>
          <w:color w:val="000000" w:themeColor="text1"/>
          <w:lang w:val="en-GB"/>
        </w:rPr>
        <w:t>e</w:t>
      </w:r>
      <w:r w:rsidR="008C2602">
        <w:rPr>
          <w:rFonts w:asciiTheme="minorHAnsi" w:hAnsiTheme="minorHAnsi" w:cstheme="minorHAnsi"/>
          <w:color w:val="000000" w:themeColor="text1"/>
          <w:lang w:val="en-GB"/>
        </w:rPr>
        <w:t>c</w:t>
      </w:r>
      <w:r w:rsidR="00332565" w:rsidRPr="0089670F">
        <w:rPr>
          <w:rFonts w:asciiTheme="minorHAnsi" w:hAnsiTheme="minorHAnsi" w:cstheme="minorHAnsi"/>
          <w:color w:val="000000" w:themeColor="text1"/>
          <w:lang w:val="en-GB"/>
        </w:rPr>
        <w:t>kelinck</w:t>
      </w:r>
      <w:proofErr w:type="spellEnd"/>
      <w:r w:rsidR="00332565" w:rsidRPr="0089670F">
        <w:rPr>
          <w:rFonts w:asciiTheme="minorHAnsi" w:hAnsiTheme="minorHAnsi" w:cstheme="minorHAnsi"/>
          <w:color w:val="000000" w:themeColor="text1"/>
          <w:lang w:val="en-GB"/>
        </w:rPr>
        <w:t xml:space="preserve"> and </w:t>
      </w:r>
      <w:proofErr w:type="spellStart"/>
      <w:r w:rsidR="00332565" w:rsidRPr="0089670F">
        <w:rPr>
          <w:rFonts w:asciiTheme="minorHAnsi" w:hAnsiTheme="minorHAnsi" w:cstheme="minorHAnsi"/>
          <w:color w:val="000000" w:themeColor="text1"/>
          <w:lang w:val="en-GB"/>
        </w:rPr>
        <w:t>Boutellier</w:t>
      </w:r>
      <w:proofErr w:type="spellEnd"/>
      <w:r w:rsidR="00647BE6">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2019 for a review). In 2015, the UN Secretary-General stated all nations should consider developing a national PVE strategy (UN General Assembly</w:t>
      </w:r>
      <w:r w:rsidR="00647BE6">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2015). PVE is not uncontroversial, however, and exposes the securitization of public policy more generally. For instance, the UK’s flagship PVE strategy, ‘Prevent’ is often criticised by faith groups, community organisations and researchers as profiling and stigmatising British Muslims, potentially deepening social exclusion and resentment, both of which have been directly linked to radicalisation (Fenwick</w:t>
      </w:r>
      <w:r w:rsidR="00647BE6">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2019</w:t>
      </w:r>
      <w:r w:rsidR="00647BE6">
        <w:rPr>
          <w:rFonts w:asciiTheme="minorHAnsi" w:hAnsiTheme="minorHAnsi" w:cstheme="minorHAnsi"/>
          <w:color w:val="000000" w:themeColor="text1"/>
          <w:lang w:val="en-GB"/>
        </w:rPr>
        <w:t>:</w:t>
      </w:r>
      <w:r w:rsidR="00266127">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22). ‘Prevent’ has been particularly criticised for the way in which ‘educational institutions are securitised through such a policy and tasked to act as the arm of the counter</w:t>
      </w:r>
      <w:r w:rsidR="00862B81" w:rsidRPr="0089670F">
        <w:rPr>
          <w:rFonts w:asciiTheme="minorHAnsi" w:hAnsiTheme="minorHAnsi" w:cstheme="minorHAnsi"/>
          <w:color w:val="000000" w:themeColor="text1"/>
          <w:lang w:val="en-GB"/>
        </w:rPr>
        <w:t>-</w:t>
      </w:r>
      <w:r w:rsidR="00332565" w:rsidRPr="0089670F">
        <w:rPr>
          <w:rFonts w:asciiTheme="minorHAnsi" w:hAnsiTheme="minorHAnsi" w:cstheme="minorHAnsi"/>
          <w:color w:val="000000" w:themeColor="text1"/>
          <w:lang w:val="en-GB"/>
        </w:rPr>
        <w:t>terror strategy’ (Davis</w:t>
      </w:r>
      <w:r w:rsidR="00647BE6">
        <w:rPr>
          <w:rFonts w:asciiTheme="minorHAnsi" w:hAnsiTheme="minorHAnsi" w:cstheme="minorHAnsi"/>
          <w:color w:val="000000" w:themeColor="text1"/>
          <w:lang w:val="en-GB"/>
        </w:rPr>
        <w:t xml:space="preserve"> and </w:t>
      </w:r>
      <w:proofErr w:type="spellStart"/>
      <w:r w:rsidR="00332565" w:rsidRPr="0089670F">
        <w:rPr>
          <w:rFonts w:asciiTheme="minorHAnsi" w:hAnsiTheme="minorHAnsi" w:cstheme="minorHAnsi"/>
          <w:color w:val="000000" w:themeColor="text1"/>
          <w:lang w:val="en-GB"/>
        </w:rPr>
        <w:t>Limbada</w:t>
      </w:r>
      <w:proofErr w:type="spellEnd"/>
      <w:r w:rsidR="00647BE6">
        <w:rPr>
          <w:rFonts w:asciiTheme="minorHAnsi" w:hAnsiTheme="minorHAnsi" w:cstheme="minorHAnsi"/>
          <w:color w:val="000000" w:themeColor="text1"/>
          <w:lang w:val="en-GB"/>
        </w:rPr>
        <w:t xml:space="preserve"> 2019:</w:t>
      </w:r>
      <w:r w:rsidR="00266127">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2). In contrast, German PVE models have long been held up as examples of best practice (</w:t>
      </w:r>
      <w:proofErr w:type="spellStart"/>
      <w:r w:rsidR="00332565" w:rsidRPr="0089670F">
        <w:rPr>
          <w:rFonts w:asciiTheme="minorHAnsi" w:hAnsiTheme="minorHAnsi" w:cstheme="minorHAnsi"/>
          <w:color w:val="000000" w:themeColor="text1"/>
          <w:lang w:val="en-GB"/>
        </w:rPr>
        <w:t>Lavut</w:t>
      </w:r>
      <w:proofErr w:type="spellEnd"/>
      <w:r w:rsidR="00647BE6">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2016). Arguably, Germany’s long-established mechanisms to prevent far-right extremism provided a strong basis to develop PVE models to tackle other forms of radicalisation (</w:t>
      </w:r>
      <w:proofErr w:type="spellStart"/>
      <w:r w:rsidR="00647BE6">
        <w:rPr>
          <w:rFonts w:asciiTheme="minorHAnsi" w:hAnsiTheme="minorHAnsi" w:cstheme="minorHAnsi"/>
          <w:color w:val="000000" w:themeColor="text1"/>
          <w:lang w:val="en-GB"/>
        </w:rPr>
        <w:t>Lavut</w:t>
      </w:r>
      <w:proofErr w:type="spellEnd"/>
      <w:r w:rsidR="00647BE6">
        <w:rPr>
          <w:rFonts w:asciiTheme="minorHAnsi" w:hAnsiTheme="minorHAnsi" w:cstheme="minorHAnsi"/>
          <w:color w:val="000000" w:themeColor="text1"/>
          <w:lang w:val="en-GB"/>
        </w:rPr>
        <w:t xml:space="preserve"> 2016</w:t>
      </w:r>
      <w:r w:rsidR="00332565" w:rsidRPr="0089670F">
        <w:rPr>
          <w:rFonts w:asciiTheme="minorHAnsi" w:hAnsiTheme="minorHAnsi" w:cstheme="minorHAnsi"/>
          <w:color w:val="000000" w:themeColor="text1"/>
          <w:lang w:val="en-GB"/>
        </w:rPr>
        <w:t xml:space="preserve">). </w:t>
      </w:r>
      <w:r w:rsidR="00266127">
        <w:rPr>
          <w:rFonts w:asciiTheme="minorHAnsi" w:hAnsiTheme="minorHAnsi" w:cstheme="minorHAnsi"/>
          <w:color w:val="000000" w:themeColor="text1"/>
          <w:lang w:val="en-GB"/>
        </w:rPr>
        <w:t>Compared</w:t>
      </w:r>
      <w:r w:rsidR="00332565" w:rsidRPr="0089670F">
        <w:rPr>
          <w:rFonts w:asciiTheme="minorHAnsi" w:hAnsiTheme="minorHAnsi" w:cstheme="minorHAnsi"/>
          <w:color w:val="000000" w:themeColor="text1"/>
          <w:lang w:val="en-GB"/>
        </w:rPr>
        <w:t xml:space="preserve"> to the very centralised structure of many European models, Germany’s PVE efforts operate predominately at local and federal level with a national working group disseminating examples of best practice (Said </w:t>
      </w:r>
      <w:r w:rsidR="00647BE6">
        <w:rPr>
          <w:rFonts w:asciiTheme="minorHAnsi" w:hAnsiTheme="minorHAnsi" w:cstheme="minorHAnsi"/>
          <w:color w:val="000000" w:themeColor="text1"/>
          <w:lang w:val="en-GB"/>
        </w:rPr>
        <w:t xml:space="preserve">and </w:t>
      </w:r>
      <w:r w:rsidR="00332565" w:rsidRPr="0089670F">
        <w:rPr>
          <w:rFonts w:asciiTheme="minorHAnsi" w:hAnsiTheme="minorHAnsi" w:cstheme="minorHAnsi"/>
          <w:color w:val="000000" w:themeColor="text1"/>
          <w:lang w:val="en-GB"/>
        </w:rPr>
        <w:t>Fouad</w:t>
      </w:r>
      <w:r w:rsidR="00647BE6">
        <w:rPr>
          <w:rFonts w:asciiTheme="minorHAnsi" w:hAnsiTheme="minorHAnsi" w:cstheme="minorHAnsi"/>
          <w:color w:val="000000" w:themeColor="text1"/>
          <w:lang w:val="en-GB"/>
        </w:rPr>
        <w:t xml:space="preserve"> </w:t>
      </w:r>
      <w:r w:rsidR="00266127">
        <w:rPr>
          <w:rFonts w:asciiTheme="minorHAnsi" w:hAnsiTheme="minorHAnsi" w:cstheme="minorHAnsi"/>
          <w:color w:val="000000" w:themeColor="text1"/>
          <w:lang w:val="en-GB"/>
        </w:rPr>
        <w:t>2018</w:t>
      </w:r>
      <w:r w:rsidR="00647BE6">
        <w:rPr>
          <w:rFonts w:asciiTheme="minorHAnsi" w:hAnsiTheme="minorHAnsi" w:cstheme="minorHAnsi"/>
          <w:color w:val="000000" w:themeColor="text1"/>
          <w:lang w:val="en-GB"/>
        </w:rPr>
        <w:t>:</w:t>
      </w:r>
      <w:r w:rsidR="00266127">
        <w:rPr>
          <w:rFonts w:asciiTheme="minorHAnsi" w:hAnsiTheme="minorHAnsi" w:cstheme="minorHAnsi"/>
          <w:color w:val="000000" w:themeColor="text1"/>
          <w:lang w:val="en-GB"/>
        </w:rPr>
        <w:t xml:space="preserve"> </w:t>
      </w:r>
      <w:r w:rsidR="00332565" w:rsidRPr="0089670F">
        <w:rPr>
          <w:rFonts w:asciiTheme="minorHAnsi" w:hAnsiTheme="minorHAnsi" w:cstheme="minorHAnsi"/>
          <w:color w:val="000000" w:themeColor="text1"/>
          <w:lang w:val="en-GB"/>
        </w:rPr>
        <w:t>3-4).</w:t>
      </w:r>
    </w:p>
    <w:p w14:paraId="0A350D93" w14:textId="5361CAD1" w:rsidR="00332565" w:rsidRDefault="00332565" w:rsidP="00A947ED">
      <w:pPr>
        <w:rPr>
          <w:rFonts w:asciiTheme="minorHAnsi" w:hAnsiTheme="minorHAnsi" w:cstheme="minorHAnsi"/>
          <w:color w:val="000000" w:themeColor="text1"/>
          <w:lang w:val="en-GB"/>
        </w:rPr>
      </w:pPr>
    </w:p>
    <w:p w14:paraId="05588C09" w14:textId="4E9F6A57" w:rsidR="00E34033" w:rsidRPr="0089670F" w:rsidRDefault="00E34033"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Article 8 of the EU Counter-Terrorism Strategy (2005) states ‘the challenge of combating radicalisation and terrorist recruitment lies primarily with Member States’, with the EU providing coordination of national policies, information sharing and determining good practice. National PVE frameworks maintain primacy over EU level mechanisms, and there are divergences between Member States’ national frameworks to tackle radicalisation. However, Member States’ commitment to the EU’s norms and values have shaped their PVE policy frameworks (EU commission</w:t>
      </w:r>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2015). Similarly, Member States</w:t>
      </w:r>
      <w:r w:rsidR="002E3BE1">
        <w:rPr>
          <w:rFonts w:asciiTheme="minorHAnsi" w:hAnsiTheme="minorHAnsi" w:cstheme="minorHAnsi"/>
          <w:color w:val="000000" w:themeColor="text1"/>
          <w:lang w:val="en-GB"/>
        </w:rPr>
        <w:t>’</w:t>
      </w:r>
      <w:r w:rsidRPr="0089670F">
        <w:rPr>
          <w:rFonts w:asciiTheme="minorHAnsi" w:hAnsiTheme="minorHAnsi" w:cstheme="minorHAnsi"/>
          <w:color w:val="000000" w:themeColor="text1"/>
          <w:lang w:val="en-GB"/>
        </w:rPr>
        <w:t xml:space="preserve"> national PVE policies have been developed in junction with EU frameworks </w:t>
      </w:r>
      <w:r w:rsidR="00312119">
        <w:rPr>
          <w:rFonts w:asciiTheme="minorHAnsi" w:hAnsiTheme="minorHAnsi" w:cstheme="minorHAnsi"/>
          <w:color w:val="000000" w:themeColor="text1"/>
          <w:lang w:val="en-GB"/>
        </w:rPr>
        <w:t xml:space="preserve">and therefore shaped by them </w:t>
      </w:r>
      <w:r w:rsidRPr="0089670F">
        <w:rPr>
          <w:rFonts w:asciiTheme="minorHAnsi" w:hAnsiTheme="minorHAnsi" w:cstheme="minorHAnsi"/>
          <w:color w:val="000000" w:themeColor="text1"/>
          <w:lang w:val="en-GB"/>
        </w:rPr>
        <w:t>(</w:t>
      </w:r>
      <w:r w:rsidR="00647BE6">
        <w:rPr>
          <w:rFonts w:asciiTheme="minorHAnsi" w:hAnsiTheme="minorHAnsi" w:cstheme="minorHAnsi"/>
          <w:color w:val="000000" w:themeColor="text1"/>
          <w:lang w:val="en-GB"/>
        </w:rPr>
        <w:t>EU Commission 2015</w:t>
      </w:r>
      <w:r w:rsidRPr="0089670F">
        <w:rPr>
          <w:rFonts w:asciiTheme="minorHAnsi" w:hAnsiTheme="minorHAnsi" w:cstheme="minorHAnsi"/>
          <w:color w:val="000000" w:themeColor="text1"/>
          <w:lang w:val="en-GB"/>
        </w:rPr>
        <w:t>).</w:t>
      </w:r>
    </w:p>
    <w:p w14:paraId="69AE866B" w14:textId="767163CA" w:rsidR="00E34033" w:rsidRPr="0089670F" w:rsidRDefault="00E34033" w:rsidP="00A947ED">
      <w:pPr>
        <w:rPr>
          <w:rFonts w:asciiTheme="minorHAnsi" w:hAnsiTheme="minorHAnsi" w:cstheme="minorHAnsi"/>
          <w:color w:val="000000" w:themeColor="text1"/>
          <w:lang w:val="en-GB"/>
        </w:rPr>
      </w:pPr>
    </w:p>
    <w:p w14:paraId="7E57FF8A" w14:textId="0EB28048" w:rsidR="00332565" w:rsidRPr="0089670F"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The contrasting German and British models above demonstrate</w:t>
      </w:r>
      <w:r w:rsidR="002E3BE1">
        <w:rPr>
          <w:rFonts w:asciiTheme="minorHAnsi" w:hAnsiTheme="minorHAnsi" w:cstheme="minorHAnsi"/>
          <w:color w:val="000000" w:themeColor="text1"/>
          <w:lang w:val="en-GB"/>
        </w:rPr>
        <w:t xml:space="preserve"> that</w:t>
      </w:r>
      <w:r w:rsidR="00862B81" w:rsidRPr="0089670F">
        <w:rPr>
          <w:rFonts w:asciiTheme="minorHAnsi" w:hAnsiTheme="minorHAnsi" w:cstheme="minorHAnsi"/>
          <w:color w:val="000000" w:themeColor="text1"/>
          <w:lang w:val="en-GB"/>
        </w:rPr>
        <w:t xml:space="preserve"> it</w:t>
      </w:r>
      <w:r w:rsidRPr="0089670F">
        <w:rPr>
          <w:rFonts w:asciiTheme="minorHAnsi" w:hAnsiTheme="minorHAnsi" w:cstheme="minorHAnsi"/>
          <w:color w:val="000000" w:themeColor="text1"/>
          <w:lang w:val="en-GB"/>
        </w:rPr>
        <w:t xml:space="preserve"> is an over</w:t>
      </w:r>
      <w:r w:rsidR="00862B81" w:rsidRPr="0089670F">
        <w:rPr>
          <w:rFonts w:asciiTheme="minorHAnsi" w:hAnsiTheme="minorHAnsi" w:cstheme="minorHAnsi"/>
          <w:color w:val="000000" w:themeColor="text1"/>
          <w:lang w:val="en-GB"/>
        </w:rPr>
        <w:t>-</w:t>
      </w:r>
      <w:r w:rsidRPr="0089670F">
        <w:rPr>
          <w:rFonts w:asciiTheme="minorHAnsi" w:hAnsiTheme="minorHAnsi" w:cstheme="minorHAnsi"/>
          <w:color w:val="000000" w:themeColor="text1"/>
          <w:lang w:val="en-GB"/>
        </w:rPr>
        <w:t>generalisation to speak of a single European model of PVE. However, research suggests European counter-radicalisation models, in general, tend to differ radi</w:t>
      </w:r>
      <w:r w:rsidR="00E34033">
        <w:rPr>
          <w:rFonts w:asciiTheme="minorHAnsi" w:hAnsiTheme="minorHAnsi" w:cstheme="minorHAnsi"/>
          <w:color w:val="000000" w:themeColor="text1"/>
          <w:lang w:val="en-GB"/>
        </w:rPr>
        <w:t>cally from the American model.</w:t>
      </w:r>
      <w:r w:rsidRPr="0089670F">
        <w:rPr>
          <w:rFonts w:asciiTheme="minorHAnsi" w:hAnsiTheme="minorHAnsi" w:cstheme="minorHAnsi"/>
          <w:color w:val="000000" w:themeColor="text1"/>
          <w:lang w:val="en-GB"/>
        </w:rPr>
        <w:t xml:space="preserve"> The US focuses on ensuring radical beliefs do not translate into terrorist activities while not really engaging on preventing the development of these radical beliefs in the first place (Neumann</w:t>
      </w:r>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2013). In contrast, European nations seek to prevent individuals from developing these extremist views and beliefs in the first instance (Neumann</w:t>
      </w:r>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2013). It is argued that the European model seeks to reduce social divisions that contribute to radicalisation by engaging the broader community such as universities, youth groups, </w:t>
      </w:r>
      <w:r w:rsidRPr="0089670F">
        <w:rPr>
          <w:rFonts w:asciiTheme="minorHAnsi" w:hAnsiTheme="minorHAnsi" w:cstheme="minorHAnsi"/>
          <w:color w:val="000000" w:themeColor="text1"/>
          <w:lang w:val="en-GB"/>
        </w:rPr>
        <w:lastRenderedPageBreak/>
        <w:t>healthcare providers, specific communities and faith groups in the fight against radicalisation (</w:t>
      </w:r>
      <w:proofErr w:type="spellStart"/>
      <w:r w:rsidRPr="0089670F">
        <w:rPr>
          <w:rFonts w:asciiTheme="minorHAnsi" w:hAnsiTheme="minorHAnsi" w:cstheme="minorHAnsi"/>
          <w:color w:val="000000" w:themeColor="text1"/>
          <w:lang w:val="en-GB"/>
        </w:rPr>
        <w:t>Ou</w:t>
      </w:r>
      <w:proofErr w:type="spellEnd"/>
      <w:r w:rsidRPr="0089670F">
        <w:rPr>
          <w:rFonts w:asciiTheme="minorHAnsi" w:hAnsiTheme="minorHAnsi" w:cstheme="minorHAnsi"/>
          <w:color w:val="000000" w:themeColor="text1"/>
          <w:lang w:val="en-GB"/>
        </w:rPr>
        <w:t xml:space="preserve"> 2016</w:t>
      </w:r>
      <w:r w:rsidR="00647BE6">
        <w:rPr>
          <w:rFonts w:asciiTheme="minorHAnsi" w:hAnsiTheme="minorHAnsi" w:cstheme="minorHAnsi"/>
          <w:color w:val="000000" w:themeColor="text1"/>
          <w:lang w:val="en-GB"/>
        </w:rPr>
        <w:t>:</w:t>
      </w:r>
      <w:r w:rsidR="00B0421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1).</w:t>
      </w:r>
      <w:r w:rsidR="00B04216">
        <w:rPr>
          <w:rFonts w:asciiTheme="minorHAnsi" w:hAnsiTheme="minorHAnsi" w:cstheme="minorHAnsi"/>
          <w:color w:val="000000" w:themeColor="text1"/>
          <w:lang w:val="en-GB"/>
        </w:rPr>
        <w:t xml:space="preserve"> </w:t>
      </w:r>
    </w:p>
    <w:p w14:paraId="67AFE440" w14:textId="331DCB70" w:rsidR="00332565" w:rsidRPr="0089670F" w:rsidRDefault="00332565" w:rsidP="00A947ED">
      <w:pPr>
        <w:rPr>
          <w:rFonts w:asciiTheme="minorHAnsi" w:hAnsiTheme="minorHAnsi" w:cstheme="minorHAnsi"/>
          <w:color w:val="000000" w:themeColor="text1"/>
          <w:lang w:val="en-GB"/>
        </w:rPr>
      </w:pPr>
    </w:p>
    <w:p w14:paraId="0BE9E1CA" w14:textId="325B0D3F" w:rsidR="004F0FE8" w:rsidRDefault="00332565" w:rsidP="00A947ED">
      <w:pPr>
        <w:rPr>
          <w:rFonts w:asciiTheme="minorHAnsi" w:hAnsiTheme="minorHAnsi" w:cstheme="minorHAnsi"/>
          <w:color w:val="000000" w:themeColor="text1"/>
          <w:lang w:val="en-GB"/>
        </w:rPr>
      </w:pPr>
      <w:r w:rsidRPr="0089670F">
        <w:rPr>
          <w:rFonts w:asciiTheme="minorHAnsi" w:hAnsiTheme="minorHAnsi" w:cstheme="minorHAnsi"/>
          <w:color w:val="000000" w:themeColor="text1"/>
          <w:lang w:val="en-GB"/>
        </w:rPr>
        <w:t xml:space="preserve">However, the EU’s predominately criminal justice approach to </w:t>
      </w:r>
      <w:proofErr w:type="gramStart"/>
      <w:r w:rsidRPr="0089670F">
        <w:rPr>
          <w:rFonts w:asciiTheme="minorHAnsi" w:hAnsiTheme="minorHAnsi" w:cstheme="minorHAnsi"/>
          <w:color w:val="000000" w:themeColor="text1"/>
          <w:lang w:val="en-GB"/>
        </w:rPr>
        <w:t>counter-terrorism</w:t>
      </w:r>
      <w:proofErr w:type="gramEnd"/>
      <w:r w:rsidRPr="0089670F">
        <w:rPr>
          <w:rFonts w:asciiTheme="minorHAnsi" w:hAnsiTheme="minorHAnsi" w:cstheme="minorHAnsi"/>
          <w:color w:val="000000" w:themeColor="text1"/>
          <w:lang w:val="en-GB"/>
        </w:rPr>
        <w:t xml:space="preserve"> coupled with Member </w:t>
      </w:r>
      <w:r w:rsidR="00862B81" w:rsidRPr="0089670F">
        <w:rPr>
          <w:rFonts w:asciiTheme="minorHAnsi" w:hAnsiTheme="minorHAnsi" w:cstheme="minorHAnsi"/>
          <w:color w:val="000000" w:themeColor="text1"/>
          <w:lang w:val="en-GB"/>
        </w:rPr>
        <w:t xml:space="preserve">States’ </w:t>
      </w:r>
      <w:r w:rsidRPr="0089670F">
        <w:rPr>
          <w:rFonts w:asciiTheme="minorHAnsi" w:hAnsiTheme="minorHAnsi" w:cstheme="minorHAnsi"/>
          <w:color w:val="000000" w:themeColor="text1"/>
          <w:lang w:val="en-GB"/>
        </w:rPr>
        <w:t>reluctance to engage multilaterally on issues such as PVE has meant EU level mechanisms to counter radicalisation are relatively underdeveloped and impotent (Baker</w:t>
      </w:r>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2015). Yet, since 2015 the EU has developed various PVE focused mechanisms such as the EU Radicalisation Network (RAN), a pan-European Network to tackle radicalisation (European Commission</w:t>
      </w:r>
      <w:r w:rsidR="00647BE6">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2017</w:t>
      </w:r>
      <w:r w:rsidR="00647BE6">
        <w:rPr>
          <w:rFonts w:asciiTheme="minorHAnsi" w:hAnsiTheme="minorHAnsi" w:cstheme="minorHAnsi"/>
          <w:color w:val="000000" w:themeColor="text1"/>
          <w:lang w:val="en-GB"/>
        </w:rPr>
        <w:t>:</w:t>
      </w:r>
      <w:r w:rsidR="002E3BE1">
        <w:rPr>
          <w:rFonts w:asciiTheme="minorHAnsi" w:hAnsiTheme="minorHAnsi" w:cstheme="minorHAnsi"/>
          <w:color w:val="000000" w:themeColor="text1"/>
          <w:lang w:val="en-GB"/>
        </w:rPr>
        <w:t xml:space="preserve"> </w:t>
      </w:r>
      <w:r w:rsidRPr="0089670F">
        <w:rPr>
          <w:rFonts w:asciiTheme="minorHAnsi" w:hAnsiTheme="minorHAnsi" w:cstheme="minorHAnsi"/>
          <w:color w:val="000000" w:themeColor="text1"/>
          <w:lang w:val="en-GB"/>
        </w:rPr>
        <w:t xml:space="preserve">3). As with other aforementioned elements of security policy, Member States have been more willing to cooperate in EU level intergovernmental information sharing </w:t>
      </w:r>
      <w:r w:rsidR="00327D44">
        <w:rPr>
          <w:rFonts w:asciiTheme="minorHAnsi" w:hAnsiTheme="minorHAnsi" w:cstheme="minorHAnsi"/>
          <w:color w:val="000000" w:themeColor="text1"/>
          <w:lang w:val="en-GB"/>
        </w:rPr>
        <w:t>rather than pursuing the</w:t>
      </w:r>
      <w:r w:rsidRPr="0089670F">
        <w:rPr>
          <w:rFonts w:asciiTheme="minorHAnsi" w:hAnsiTheme="minorHAnsi" w:cstheme="minorHAnsi"/>
          <w:color w:val="000000" w:themeColor="text1"/>
          <w:lang w:val="en-GB"/>
        </w:rPr>
        <w:t xml:space="preserve"> Europeanisation of competencies. </w:t>
      </w:r>
    </w:p>
    <w:p w14:paraId="7A37B766" w14:textId="17B4BE01" w:rsidR="007669F4" w:rsidRPr="004F0FE8" w:rsidRDefault="001C6ED6" w:rsidP="00A947ED">
      <w:pPr>
        <w:rPr>
          <w:rFonts w:asciiTheme="minorHAnsi" w:hAnsiTheme="minorHAnsi" w:cstheme="minorHAnsi"/>
          <w:color w:val="000000" w:themeColor="text1"/>
          <w:lang w:val="en-GB"/>
        </w:rPr>
      </w:pPr>
      <w:r w:rsidRPr="002B62CE">
        <w:rPr>
          <w:rFonts w:asciiTheme="minorHAnsi" w:hAnsiTheme="minorHAnsi" w:cstheme="minorHAnsi"/>
          <w:color w:val="000000" w:themeColor="text1"/>
          <w:highlight w:val="yellow"/>
          <w:lang w:val="en-GB"/>
        </w:rPr>
        <w:softHyphen/>
      </w:r>
      <w:r w:rsidRPr="002B62CE">
        <w:rPr>
          <w:rFonts w:asciiTheme="minorHAnsi" w:hAnsiTheme="minorHAnsi" w:cstheme="minorHAnsi"/>
          <w:color w:val="000000" w:themeColor="text1"/>
          <w:highlight w:val="yellow"/>
          <w:lang w:val="en-GB"/>
        </w:rPr>
        <w:softHyphen/>
      </w:r>
      <w:r w:rsidRPr="002B62CE">
        <w:rPr>
          <w:rFonts w:asciiTheme="minorHAnsi" w:hAnsiTheme="minorHAnsi" w:cstheme="minorHAnsi"/>
          <w:color w:val="000000" w:themeColor="text1"/>
          <w:highlight w:val="yellow"/>
          <w:lang w:val="en-GB"/>
        </w:rPr>
        <w:softHyphen/>
      </w:r>
    </w:p>
    <w:p w14:paraId="56C3D860" w14:textId="77777777" w:rsidR="001C6ED6" w:rsidRPr="000D06D0" w:rsidRDefault="00700752" w:rsidP="00A947ED">
      <w:pPr>
        <w:pStyle w:val="Heading1"/>
        <w:rPr>
          <w:szCs w:val="24"/>
          <w:lang w:val="en-GB"/>
        </w:rPr>
      </w:pPr>
      <w:r w:rsidRPr="000D06D0">
        <w:rPr>
          <w:szCs w:val="24"/>
          <w:lang w:val="en-GB"/>
        </w:rPr>
        <w:t xml:space="preserve">Conclusion </w:t>
      </w:r>
      <w:r w:rsidR="001C6ED6" w:rsidRPr="000D06D0">
        <w:rPr>
          <w:szCs w:val="24"/>
          <w:lang w:val="en-GB"/>
        </w:rPr>
        <w:t xml:space="preserve"> </w:t>
      </w:r>
    </w:p>
    <w:p w14:paraId="3250CEF1" w14:textId="77777777" w:rsidR="004C34F1" w:rsidRPr="000D06D0" w:rsidRDefault="004C34F1" w:rsidP="00A947ED">
      <w:pPr>
        <w:rPr>
          <w:rFonts w:asciiTheme="minorHAnsi" w:hAnsiTheme="minorHAnsi" w:cstheme="minorHAnsi"/>
          <w:lang w:val="en-GB"/>
        </w:rPr>
      </w:pPr>
    </w:p>
    <w:p w14:paraId="611FB4E3" w14:textId="195803E6" w:rsidR="001E3C1D" w:rsidRDefault="00EC3D07" w:rsidP="00A947ED">
      <w:pPr>
        <w:rPr>
          <w:rFonts w:asciiTheme="minorHAnsi" w:hAnsiTheme="minorHAnsi" w:cstheme="minorHAnsi"/>
          <w:lang w:val="en-GB"/>
        </w:rPr>
      </w:pPr>
      <w:r>
        <w:rPr>
          <w:rFonts w:asciiTheme="minorHAnsi" w:hAnsiTheme="minorHAnsi" w:cstheme="minorHAnsi"/>
          <w:lang w:val="en-GB"/>
        </w:rPr>
        <w:t>The last decade has witnessed a</w:t>
      </w:r>
      <w:r w:rsidR="003B6D2E">
        <w:rPr>
          <w:rFonts w:asciiTheme="minorHAnsi" w:hAnsiTheme="minorHAnsi" w:cstheme="minorHAnsi"/>
          <w:lang w:val="en-GB"/>
        </w:rPr>
        <w:t xml:space="preserve"> rapid</w:t>
      </w:r>
      <w:r>
        <w:rPr>
          <w:rFonts w:asciiTheme="minorHAnsi" w:hAnsiTheme="minorHAnsi" w:cstheme="minorHAnsi"/>
          <w:lang w:val="en-GB"/>
        </w:rPr>
        <w:t xml:space="preserve"> expansion of European-level </w:t>
      </w:r>
      <w:proofErr w:type="gramStart"/>
      <w:r>
        <w:rPr>
          <w:rFonts w:asciiTheme="minorHAnsi" w:hAnsiTheme="minorHAnsi" w:cstheme="minorHAnsi"/>
          <w:lang w:val="en-GB"/>
        </w:rPr>
        <w:t>counter-terrorism</w:t>
      </w:r>
      <w:proofErr w:type="gramEnd"/>
      <w:r>
        <w:rPr>
          <w:rFonts w:asciiTheme="minorHAnsi" w:hAnsiTheme="minorHAnsi" w:cstheme="minorHAnsi"/>
          <w:lang w:val="en-GB"/>
        </w:rPr>
        <w:t xml:space="preserve"> and organised crime practices. </w:t>
      </w:r>
      <w:r w:rsidR="00A16C60" w:rsidRPr="000D06D0">
        <w:rPr>
          <w:rFonts w:asciiTheme="minorHAnsi" w:hAnsiTheme="minorHAnsi" w:cstheme="minorHAnsi"/>
          <w:lang w:val="en-GB"/>
        </w:rPr>
        <w:t xml:space="preserve">European counter-terror and </w:t>
      </w:r>
      <w:r w:rsidR="00065BF4" w:rsidRPr="000D06D0">
        <w:rPr>
          <w:rFonts w:asciiTheme="minorHAnsi" w:hAnsiTheme="minorHAnsi" w:cstheme="minorHAnsi"/>
          <w:lang w:val="en-GB"/>
        </w:rPr>
        <w:t>counter-</w:t>
      </w:r>
      <w:r w:rsidR="00A16C60" w:rsidRPr="000D06D0">
        <w:rPr>
          <w:rFonts w:asciiTheme="minorHAnsi" w:hAnsiTheme="minorHAnsi" w:cstheme="minorHAnsi"/>
          <w:lang w:val="en-GB"/>
        </w:rPr>
        <w:t>organised crime efforts are increasingly concerted</w:t>
      </w:r>
      <w:r w:rsidR="00327D44">
        <w:rPr>
          <w:rFonts w:asciiTheme="minorHAnsi" w:hAnsiTheme="minorHAnsi" w:cstheme="minorHAnsi"/>
          <w:lang w:val="en-GB"/>
        </w:rPr>
        <w:t xml:space="preserve">. </w:t>
      </w:r>
      <w:r w:rsidR="00A16C60" w:rsidRPr="000D06D0">
        <w:rPr>
          <w:rFonts w:asciiTheme="minorHAnsi" w:hAnsiTheme="minorHAnsi" w:cstheme="minorHAnsi"/>
          <w:lang w:val="en-GB"/>
        </w:rPr>
        <w:t xml:space="preserve"> </w:t>
      </w:r>
      <w:r w:rsidR="00327D44">
        <w:rPr>
          <w:rFonts w:asciiTheme="minorHAnsi" w:hAnsiTheme="minorHAnsi" w:cstheme="minorHAnsi"/>
          <w:lang w:val="en-GB"/>
        </w:rPr>
        <w:t>In</w:t>
      </w:r>
      <w:r w:rsidR="00AA0942">
        <w:rPr>
          <w:rFonts w:asciiTheme="minorHAnsi" w:hAnsiTheme="minorHAnsi" w:cstheme="minorHAnsi"/>
          <w:lang w:val="en-GB"/>
        </w:rPr>
        <w:t xml:space="preserve"> part</w:t>
      </w:r>
      <w:r w:rsidR="00327D44">
        <w:rPr>
          <w:rFonts w:asciiTheme="minorHAnsi" w:hAnsiTheme="minorHAnsi" w:cstheme="minorHAnsi"/>
          <w:lang w:val="en-GB"/>
        </w:rPr>
        <w:t>, collaboration in this area</w:t>
      </w:r>
      <w:r w:rsidR="00AA0942">
        <w:rPr>
          <w:rFonts w:asciiTheme="minorHAnsi" w:hAnsiTheme="minorHAnsi" w:cstheme="minorHAnsi"/>
          <w:lang w:val="en-GB"/>
        </w:rPr>
        <w:t xml:space="preserve"> </w:t>
      </w:r>
      <w:r w:rsidR="00A16C60" w:rsidRPr="002D1761">
        <w:rPr>
          <w:rFonts w:asciiTheme="minorHAnsi" w:hAnsiTheme="minorHAnsi" w:cstheme="minorHAnsi"/>
          <w:i/>
          <w:lang w:val="en-GB"/>
        </w:rPr>
        <w:t>driv</w:t>
      </w:r>
      <w:r w:rsidR="00327D44">
        <w:rPr>
          <w:rFonts w:asciiTheme="minorHAnsi" w:hAnsiTheme="minorHAnsi" w:cstheme="minorHAnsi"/>
          <w:i/>
          <w:lang w:val="en-GB"/>
        </w:rPr>
        <w:t>es</w:t>
      </w:r>
      <w:r w:rsidR="00A16C60" w:rsidRPr="000D06D0">
        <w:rPr>
          <w:rFonts w:asciiTheme="minorHAnsi" w:hAnsiTheme="minorHAnsi" w:cstheme="minorHAnsi"/>
          <w:lang w:val="en-GB"/>
        </w:rPr>
        <w:t xml:space="preserve"> </w:t>
      </w:r>
      <w:r w:rsidR="001C6CAF" w:rsidRPr="000D06D0">
        <w:rPr>
          <w:rFonts w:asciiTheme="minorHAnsi" w:hAnsiTheme="minorHAnsi" w:cstheme="minorHAnsi"/>
          <w:lang w:val="en-GB"/>
        </w:rPr>
        <w:t>efforts towards deeper European integration</w:t>
      </w:r>
      <w:r w:rsidR="00065BF4" w:rsidRPr="000D06D0">
        <w:rPr>
          <w:rFonts w:asciiTheme="minorHAnsi" w:hAnsiTheme="minorHAnsi" w:cstheme="minorHAnsi"/>
          <w:lang w:val="en-GB"/>
        </w:rPr>
        <w:t>, cutting through the external-internal security distinction</w:t>
      </w:r>
      <w:r w:rsidR="00AA0942">
        <w:rPr>
          <w:rFonts w:asciiTheme="minorHAnsi" w:hAnsiTheme="minorHAnsi" w:cstheme="minorHAnsi"/>
          <w:lang w:val="en-GB"/>
        </w:rPr>
        <w:t xml:space="preserve">, and creating harmonization </w:t>
      </w:r>
      <w:r w:rsidR="002D1761">
        <w:rPr>
          <w:rFonts w:asciiTheme="minorHAnsi" w:hAnsiTheme="minorHAnsi" w:cstheme="minorHAnsi"/>
          <w:lang w:val="en-GB"/>
        </w:rPr>
        <w:t>in</w:t>
      </w:r>
      <w:r w:rsidR="00AA0942">
        <w:rPr>
          <w:rFonts w:asciiTheme="minorHAnsi" w:hAnsiTheme="minorHAnsi" w:cstheme="minorHAnsi"/>
          <w:lang w:val="en-GB"/>
        </w:rPr>
        <w:t xml:space="preserve"> policy areas</w:t>
      </w:r>
      <w:r w:rsidR="002D1761">
        <w:rPr>
          <w:rFonts w:asciiTheme="minorHAnsi" w:hAnsiTheme="minorHAnsi" w:cstheme="minorHAnsi"/>
          <w:lang w:val="en-GB"/>
        </w:rPr>
        <w:t xml:space="preserve"> traditionally defined by </w:t>
      </w:r>
      <w:r w:rsidR="003B6D2E">
        <w:rPr>
          <w:rFonts w:asciiTheme="minorHAnsi" w:hAnsiTheme="minorHAnsi" w:cstheme="minorHAnsi"/>
          <w:lang w:val="en-GB"/>
        </w:rPr>
        <w:t>national sovereignty</w:t>
      </w:r>
      <w:r w:rsidR="001C6CAF" w:rsidRPr="000D06D0">
        <w:rPr>
          <w:rFonts w:asciiTheme="minorHAnsi" w:hAnsiTheme="minorHAnsi" w:cstheme="minorHAnsi"/>
          <w:lang w:val="en-GB"/>
        </w:rPr>
        <w:t xml:space="preserve">. European states </w:t>
      </w:r>
      <w:r w:rsidR="00065BF4" w:rsidRPr="000D06D0">
        <w:rPr>
          <w:rFonts w:asciiTheme="minorHAnsi" w:hAnsiTheme="minorHAnsi" w:cstheme="minorHAnsi"/>
          <w:lang w:val="en-GB"/>
        </w:rPr>
        <w:t>developed an onslaught of measures to combat and prevent terrorism and organised crime from emerging in the first place</w:t>
      </w:r>
      <w:r w:rsidR="00327D44">
        <w:rPr>
          <w:rFonts w:asciiTheme="minorHAnsi" w:hAnsiTheme="minorHAnsi" w:cstheme="minorHAnsi"/>
          <w:lang w:val="en-GB"/>
        </w:rPr>
        <w:t>. W</w:t>
      </w:r>
      <w:r w:rsidR="00065BF4" w:rsidRPr="000D06D0">
        <w:rPr>
          <w:rFonts w:asciiTheme="minorHAnsi" w:hAnsiTheme="minorHAnsi" w:cstheme="minorHAnsi"/>
          <w:lang w:val="en-GB"/>
        </w:rPr>
        <w:t>here it does,</w:t>
      </w:r>
      <w:r w:rsidR="00327D44">
        <w:rPr>
          <w:rFonts w:asciiTheme="minorHAnsi" w:hAnsiTheme="minorHAnsi" w:cstheme="minorHAnsi"/>
          <w:lang w:val="en-GB"/>
        </w:rPr>
        <w:t xml:space="preserve"> EU member states try to</w:t>
      </w:r>
      <w:r w:rsidR="00065BF4" w:rsidRPr="000D06D0">
        <w:rPr>
          <w:rFonts w:asciiTheme="minorHAnsi" w:hAnsiTheme="minorHAnsi" w:cstheme="minorHAnsi"/>
          <w:lang w:val="en-GB"/>
        </w:rPr>
        <w:t xml:space="preserve"> </w:t>
      </w:r>
      <w:r w:rsidR="005047F1" w:rsidRPr="000D06D0">
        <w:rPr>
          <w:rFonts w:asciiTheme="minorHAnsi" w:hAnsiTheme="minorHAnsi" w:cstheme="minorHAnsi"/>
          <w:lang w:val="en-GB"/>
        </w:rPr>
        <w:t xml:space="preserve">develop criminal justice approaches to manage it. </w:t>
      </w:r>
      <w:r w:rsidR="001E3C1D" w:rsidRPr="000D06D0">
        <w:rPr>
          <w:rFonts w:asciiTheme="minorHAnsi" w:hAnsiTheme="minorHAnsi" w:cstheme="minorHAnsi"/>
          <w:lang w:val="en-GB"/>
        </w:rPr>
        <w:t xml:space="preserve">Yet, despite the discourse of a truly European effort, </w:t>
      </w:r>
      <w:r w:rsidR="0018197B">
        <w:rPr>
          <w:rFonts w:asciiTheme="minorHAnsi" w:hAnsiTheme="minorHAnsi" w:cstheme="minorHAnsi"/>
          <w:lang w:val="en-GB"/>
        </w:rPr>
        <w:t xml:space="preserve">national differences continue to characterise </w:t>
      </w:r>
      <w:proofErr w:type="gramStart"/>
      <w:r w:rsidR="0018197B">
        <w:rPr>
          <w:rFonts w:asciiTheme="minorHAnsi" w:hAnsiTheme="minorHAnsi" w:cstheme="minorHAnsi"/>
          <w:lang w:val="en-GB"/>
        </w:rPr>
        <w:t>counter-terrorism</w:t>
      </w:r>
      <w:proofErr w:type="gramEnd"/>
      <w:r w:rsidR="0018197B">
        <w:rPr>
          <w:rFonts w:asciiTheme="minorHAnsi" w:hAnsiTheme="minorHAnsi" w:cstheme="minorHAnsi"/>
          <w:lang w:val="en-GB"/>
        </w:rPr>
        <w:t xml:space="preserve"> and organised crime</w:t>
      </w:r>
      <w:r w:rsidR="00CB5049">
        <w:rPr>
          <w:rFonts w:asciiTheme="minorHAnsi" w:hAnsiTheme="minorHAnsi" w:cstheme="minorHAnsi"/>
          <w:lang w:val="en-GB"/>
        </w:rPr>
        <w:t xml:space="preserve"> because of </w:t>
      </w:r>
      <w:r w:rsidR="00CB5049" w:rsidRPr="000D06D0">
        <w:rPr>
          <w:rFonts w:asciiTheme="minorHAnsi" w:hAnsiTheme="minorHAnsi" w:cstheme="minorHAnsi"/>
          <w:lang w:val="en-GB"/>
        </w:rPr>
        <w:t>bilateral intelligence sharing</w:t>
      </w:r>
      <w:r w:rsidR="0018197B">
        <w:rPr>
          <w:rFonts w:asciiTheme="minorHAnsi" w:hAnsiTheme="minorHAnsi" w:cstheme="minorHAnsi"/>
          <w:lang w:val="en-GB"/>
        </w:rPr>
        <w:t xml:space="preserve"> practices</w:t>
      </w:r>
      <w:r w:rsidR="00CB5049">
        <w:rPr>
          <w:rFonts w:asciiTheme="minorHAnsi" w:hAnsiTheme="minorHAnsi" w:cstheme="minorHAnsi"/>
          <w:lang w:val="en-GB"/>
        </w:rPr>
        <w:t>,</w:t>
      </w:r>
      <w:r w:rsidR="0018197B">
        <w:rPr>
          <w:rFonts w:asciiTheme="minorHAnsi" w:hAnsiTheme="minorHAnsi" w:cstheme="minorHAnsi"/>
          <w:lang w:val="en-GB"/>
        </w:rPr>
        <w:t xml:space="preserve"> </w:t>
      </w:r>
      <w:r w:rsidR="001E3C1D" w:rsidRPr="000D06D0">
        <w:rPr>
          <w:rFonts w:asciiTheme="minorHAnsi" w:hAnsiTheme="minorHAnsi" w:cstheme="minorHAnsi"/>
          <w:lang w:val="en-GB"/>
        </w:rPr>
        <w:t>regional varieties and priorities</w:t>
      </w:r>
      <w:r w:rsidR="002D1761">
        <w:rPr>
          <w:rFonts w:asciiTheme="minorHAnsi" w:hAnsiTheme="minorHAnsi" w:cstheme="minorHAnsi"/>
          <w:lang w:val="en-GB"/>
        </w:rPr>
        <w:t>,</w:t>
      </w:r>
      <w:r w:rsidR="001E3C1D" w:rsidRPr="000D06D0">
        <w:rPr>
          <w:rFonts w:asciiTheme="minorHAnsi" w:hAnsiTheme="minorHAnsi" w:cstheme="minorHAnsi"/>
          <w:lang w:val="en-GB"/>
        </w:rPr>
        <w:t xml:space="preserve"> </w:t>
      </w:r>
      <w:r w:rsidR="00CB5049">
        <w:rPr>
          <w:rFonts w:asciiTheme="minorHAnsi" w:hAnsiTheme="minorHAnsi" w:cstheme="minorHAnsi"/>
          <w:lang w:val="en-GB"/>
        </w:rPr>
        <w:t>and</w:t>
      </w:r>
      <w:r w:rsidR="001E3C1D" w:rsidRPr="000D06D0">
        <w:rPr>
          <w:rFonts w:asciiTheme="minorHAnsi" w:hAnsiTheme="minorHAnsi" w:cstheme="minorHAnsi"/>
          <w:lang w:val="en-GB"/>
        </w:rPr>
        <w:t xml:space="preserve"> </w:t>
      </w:r>
      <w:r w:rsidR="00386111">
        <w:rPr>
          <w:rFonts w:asciiTheme="minorHAnsi" w:hAnsiTheme="minorHAnsi" w:cstheme="minorHAnsi"/>
          <w:lang w:val="en-GB"/>
        </w:rPr>
        <w:t>uneven</w:t>
      </w:r>
      <w:r w:rsidR="001E3C1D" w:rsidRPr="000D06D0">
        <w:rPr>
          <w:rFonts w:asciiTheme="minorHAnsi" w:hAnsiTheme="minorHAnsi" w:cstheme="minorHAnsi"/>
          <w:lang w:val="en-GB"/>
        </w:rPr>
        <w:t xml:space="preserve"> Europeanisation of even basic legislation</w:t>
      </w:r>
      <w:r w:rsidR="00EA6240" w:rsidRPr="000D06D0">
        <w:rPr>
          <w:rFonts w:asciiTheme="minorHAnsi" w:hAnsiTheme="minorHAnsi" w:cstheme="minorHAnsi"/>
          <w:lang w:val="en-GB"/>
        </w:rPr>
        <w:t>.</w:t>
      </w:r>
      <w:r w:rsidR="00355121" w:rsidRPr="000D06D0">
        <w:rPr>
          <w:rFonts w:asciiTheme="minorHAnsi" w:hAnsiTheme="minorHAnsi" w:cstheme="minorHAnsi"/>
          <w:lang w:val="en-GB"/>
        </w:rPr>
        <w:t xml:space="preserve"> </w:t>
      </w:r>
      <w:r w:rsidR="002D1761">
        <w:rPr>
          <w:rFonts w:asciiTheme="minorHAnsi" w:hAnsiTheme="minorHAnsi" w:cstheme="minorHAnsi"/>
          <w:lang w:val="en-GB"/>
        </w:rPr>
        <w:t xml:space="preserve">Research has shown that similar threats do not necessarily produce similar responses in different national contexts. </w:t>
      </w:r>
      <w:r w:rsidR="00355121" w:rsidRPr="000D06D0">
        <w:rPr>
          <w:rFonts w:asciiTheme="minorHAnsi" w:hAnsiTheme="minorHAnsi" w:cstheme="minorHAnsi"/>
          <w:lang w:val="en-GB"/>
        </w:rPr>
        <w:t xml:space="preserve">Recognising that European security politics is an extremely fragmented field, this is </w:t>
      </w:r>
      <w:r w:rsidR="00CB5049">
        <w:rPr>
          <w:rFonts w:asciiTheme="minorHAnsi" w:hAnsiTheme="minorHAnsi" w:cstheme="minorHAnsi"/>
          <w:lang w:val="en-GB"/>
        </w:rPr>
        <w:t xml:space="preserve">unlikely to change in </w:t>
      </w:r>
      <w:r w:rsidR="00355121" w:rsidRPr="000D06D0">
        <w:rPr>
          <w:rFonts w:asciiTheme="minorHAnsi" w:hAnsiTheme="minorHAnsi" w:cstheme="minorHAnsi"/>
          <w:lang w:val="en-GB"/>
        </w:rPr>
        <w:t xml:space="preserve">the next decade.  </w:t>
      </w:r>
    </w:p>
    <w:p w14:paraId="561D2429" w14:textId="1BDAED4E" w:rsidR="00F20BCA" w:rsidRDefault="00F20BCA" w:rsidP="00A947ED">
      <w:pPr>
        <w:rPr>
          <w:rFonts w:asciiTheme="minorHAnsi" w:hAnsiTheme="minorHAnsi" w:cstheme="minorHAnsi"/>
          <w:lang w:val="en-GB"/>
        </w:rPr>
      </w:pPr>
    </w:p>
    <w:p w14:paraId="240A745F" w14:textId="77777777" w:rsidR="00253C9E" w:rsidRDefault="00253C9E">
      <w:pPr>
        <w:rPr>
          <w:rFonts w:asciiTheme="minorHAnsi" w:hAnsiTheme="minorHAnsi" w:cstheme="minorHAnsi"/>
          <w:b/>
          <w:bCs/>
          <w:lang w:val="en-US"/>
        </w:rPr>
      </w:pPr>
      <w:r>
        <w:rPr>
          <w:rFonts w:asciiTheme="minorHAnsi" w:hAnsiTheme="minorHAnsi" w:cstheme="minorHAnsi"/>
          <w:b/>
          <w:bCs/>
          <w:lang w:val="en-US"/>
        </w:rPr>
        <w:br w:type="page"/>
      </w:r>
    </w:p>
    <w:p w14:paraId="01A48D0F" w14:textId="0DBA5FC7" w:rsidR="00F20BCA" w:rsidRPr="00F20BCA" w:rsidRDefault="00253C9E" w:rsidP="00A947ED">
      <w:pPr>
        <w:rPr>
          <w:rFonts w:asciiTheme="minorHAnsi" w:hAnsiTheme="minorHAnsi" w:cstheme="minorHAnsi"/>
          <w:b/>
          <w:bCs/>
          <w:lang w:val="en-US"/>
        </w:rPr>
      </w:pPr>
      <w:r>
        <w:rPr>
          <w:rFonts w:asciiTheme="minorHAnsi" w:hAnsiTheme="minorHAnsi" w:cstheme="minorHAnsi"/>
          <w:b/>
          <w:bCs/>
          <w:lang w:val="en-US"/>
        </w:rPr>
        <w:lastRenderedPageBreak/>
        <w:t>References</w:t>
      </w:r>
    </w:p>
    <w:p w14:paraId="20C438F7" w14:textId="77777777" w:rsidR="00F20BCA" w:rsidRPr="00F20BCA" w:rsidRDefault="00F20BCA" w:rsidP="00A947ED">
      <w:pPr>
        <w:rPr>
          <w:rFonts w:asciiTheme="minorHAnsi" w:hAnsiTheme="minorHAnsi" w:cstheme="minorHAnsi"/>
          <w:lang w:val="en-US"/>
        </w:rPr>
      </w:pPr>
    </w:p>
    <w:p w14:paraId="22CA1E45"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Anderson, M. (2002) ‘Trust and Police Cooperation’, in Anderson, M. &amp; J. </w:t>
      </w:r>
      <w:proofErr w:type="spellStart"/>
      <w:r w:rsidRPr="00F20BCA">
        <w:rPr>
          <w:rFonts w:asciiTheme="minorHAnsi" w:hAnsiTheme="minorHAnsi" w:cstheme="minorHAnsi"/>
          <w:lang w:val="en-US"/>
        </w:rPr>
        <w:t>Apap</w:t>
      </w:r>
      <w:proofErr w:type="spellEnd"/>
      <w:r w:rsidRPr="00F20BCA">
        <w:rPr>
          <w:rFonts w:asciiTheme="minorHAnsi" w:hAnsiTheme="minorHAnsi" w:cstheme="minorHAnsi"/>
          <w:lang w:val="en-US"/>
        </w:rPr>
        <w:t xml:space="preserve"> (eds.), </w:t>
      </w:r>
      <w:r w:rsidRPr="00F20BCA">
        <w:rPr>
          <w:rFonts w:asciiTheme="minorHAnsi" w:hAnsiTheme="minorHAnsi" w:cstheme="minorHAnsi"/>
          <w:i/>
          <w:iCs/>
          <w:lang w:val="en-US"/>
        </w:rPr>
        <w:t>Police and Justice Cooperation and the New European Borders</w:t>
      </w:r>
      <w:r w:rsidRPr="00F20BCA">
        <w:rPr>
          <w:rFonts w:asciiTheme="minorHAnsi" w:hAnsiTheme="minorHAnsi" w:cstheme="minorHAnsi"/>
          <w:lang w:val="en-US"/>
        </w:rPr>
        <w:t xml:space="preserve">, The Hague: Kluwer Law International. </w:t>
      </w:r>
    </w:p>
    <w:p w14:paraId="4C41FEA9"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Argomaniz</w:t>
      </w:r>
      <w:proofErr w:type="spellEnd"/>
      <w:r w:rsidRPr="00F20BCA">
        <w:rPr>
          <w:rFonts w:asciiTheme="minorHAnsi" w:hAnsiTheme="minorHAnsi" w:cstheme="minorHAnsi"/>
          <w:lang w:val="en-US"/>
        </w:rPr>
        <w:t xml:space="preserve">, J, O. Bures &amp; C. </w:t>
      </w:r>
      <w:proofErr w:type="spellStart"/>
      <w:r w:rsidRPr="00F20BCA">
        <w:rPr>
          <w:rFonts w:asciiTheme="minorHAnsi" w:hAnsiTheme="minorHAnsi" w:cstheme="minorHAnsi"/>
          <w:lang w:val="en-US"/>
        </w:rPr>
        <w:t>Kaunert</w:t>
      </w:r>
      <w:proofErr w:type="spellEnd"/>
      <w:r w:rsidRPr="00F20BCA">
        <w:rPr>
          <w:rFonts w:asciiTheme="minorHAnsi" w:hAnsiTheme="minorHAnsi" w:cstheme="minorHAnsi"/>
          <w:lang w:val="en-US"/>
        </w:rPr>
        <w:t xml:space="preserve"> (2015) ‘A Decade of EU Counter-Terrorism and Intelligence: A Critical Assessment’, </w:t>
      </w:r>
      <w:r w:rsidRPr="00F20BCA">
        <w:rPr>
          <w:rFonts w:asciiTheme="minorHAnsi" w:hAnsiTheme="minorHAnsi" w:cstheme="minorHAnsi"/>
          <w:i/>
          <w:iCs/>
          <w:lang w:val="en-US"/>
        </w:rPr>
        <w:t>Intelligence and National Security</w:t>
      </w:r>
      <w:r w:rsidRPr="00F20BCA">
        <w:rPr>
          <w:rFonts w:asciiTheme="minorHAnsi" w:hAnsiTheme="minorHAnsi" w:cstheme="minorHAnsi"/>
          <w:lang w:val="en-US"/>
        </w:rPr>
        <w:t>, 30(2-3): 191-206.</w:t>
      </w:r>
    </w:p>
    <w:p w14:paraId="1AD36693"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Ari, M. (2019) ‘Europe as a Security Actor and The Common Security and </w:t>
      </w:r>
      <w:proofErr w:type="spellStart"/>
      <w:r w:rsidRPr="00F20BCA">
        <w:rPr>
          <w:rFonts w:asciiTheme="minorHAnsi" w:hAnsiTheme="minorHAnsi" w:cstheme="minorHAnsi"/>
          <w:lang w:val="en-US"/>
        </w:rPr>
        <w:t>Defence</w:t>
      </w:r>
      <w:proofErr w:type="spellEnd"/>
      <w:r w:rsidRPr="00F20BCA">
        <w:rPr>
          <w:rFonts w:asciiTheme="minorHAnsi" w:hAnsiTheme="minorHAnsi" w:cstheme="minorHAnsi"/>
          <w:lang w:val="en-US"/>
        </w:rPr>
        <w:t xml:space="preserve"> Policy (CSDP)’ </w:t>
      </w:r>
      <w:r w:rsidRPr="00F20BCA">
        <w:rPr>
          <w:rFonts w:asciiTheme="minorHAnsi" w:hAnsiTheme="minorHAnsi" w:cstheme="minorHAnsi"/>
          <w:i/>
          <w:iCs/>
          <w:lang w:val="en-US"/>
        </w:rPr>
        <w:t xml:space="preserve">Beyond </w:t>
      </w:r>
      <w:proofErr w:type="gramStart"/>
      <w:r w:rsidRPr="00F20BCA">
        <w:rPr>
          <w:rFonts w:asciiTheme="minorHAnsi" w:hAnsiTheme="minorHAnsi" w:cstheme="minorHAnsi"/>
          <w:i/>
          <w:iCs/>
          <w:lang w:val="en-US"/>
        </w:rPr>
        <w:t>The</w:t>
      </w:r>
      <w:proofErr w:type="gramEnd"/>
      <w:r w:rsidRPr="00F20BCA">
        <w:rPr>
          <w:rFonts w:asciiTheme="minorHAnsi" w:hAnsiTheme="minorHAnsi" w:cstheme="minorHAnsi"/>
          <w:i/>
          <w:iCs/>
          <w:lang w:val="en-US"/>
        </w:rPr>
        <w:t xml:space="preserve"> Horizon</w:t>
      </w:r>
      <w:r w:rsidRPr="00F20BCA">
        <w:rPr>
          <w:rFonts w:asciiTheme="minorHAnsi" w:hAnsiTheme="minorHAnsi" w:cstheme="minorHAnsi"/>
          <w:lang w:val="en-US"/>
        </w:rPr>
        <w:t xml:space="preserve">. Available at: </w:t>
      </w:r>
      <w:hyperlink r:id="rId10" w:history="1">
        <w:r w:rsidRPr="00F20BCA">
          <w:rPr>
            <w:rStyle w:val="Hyperlink"/>
            <w:rFonts w:asciiTheme="minorHAnsi" w:hAnsiTheme="minorHAnsi" w:cstheme="minorHAnsi"/>
            <w:lang w:val="en-US"/>
          </w:rPr>
          <w:t>https://behorizon.org/europe-as-a-security-actor-and-the-common-security-and-defense-policy-csdp/</w:t>
        </w:r>
      </w:hyperlink>
      <w:r w:rsidRPr="00F20BCA">
        <w:rPr>
          <w:rFonts w:asciiTheme="minorHAnsi" w:hAnsiTheme="minorHAnsi" w:cstheme="minorHAnsi"/>
          <w:lang w:val="en-US"/>
        </w:rPr>
        <w:t xml:space="preserve"> Accessed: 10</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of May 2020.</w:t>
      </w:r>
    </w:p>
    <w:p w14:paraId="3B12CC53"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Barrett, G (2018) Poland’s assault on the rule of law echoes problems in other EU Member States. The Irish Times. Available at: </w:t>
      </w:r>
      <w:hyperlink r:id="rId11" w:history="1">
        <w:r w:rsidRPr="00F20BCA">
          <w:rPr>
            <w:rStyle w:val="Hyperlink"/>
            <w:rFonts w:asciiTheme="minorHAnsi" w:hAnsiTheme="minorHAnsi" w:cstheme="minorHAnsi"/>
            <w:lang w:val="en-US"/>
          </w:rPr>
          <w:t>https://www.irishtimes.com/news/crime-and-law/poland-s-assault-on-the-rule-of-law-echoes-problems-in-other-eu-member-states-1.3425945</w:t>
        </w:r>
      </w:hyperlink>
      <w:r w:rsidRPr="00F20BCA">
        <w:rPr>
          <w:rFonts w:asciiTheme="minorHAnsi" w:hAnsiTheme="minorHAnsi" w:cstheme="minorHAnsi"/>
          <w:lang w:val="en-US"/>
        </w:rPr>
        <w:t xml:space="preserve"> Accessed: 9</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of October 2020</w:t>
      </w:r>
    </w:p>
    <w:p w14:paraId="5B356B76"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Boer, M.D., C. Hillebrand, and A. </w:t>
      </w:r>
      <w:proofErr w:type="spellStart"/>
      <w:r w:rsidRPr="00F20BCA">
        <w:rPr>
          <w:rFonts w:asciiTheme="minorHAnsi" w:hAnsiTheme="minorHAnsi" w:cstheme="minorHAnsi"/>
          <w:lang w:val="en-US"/>
        </w:rPr>
        <w:t>Nölke</w:t>
      </w:r>
      <w:proofErr w:type="spellEnd"/>
      <w:r w:rsidRPr="00F20BCA">
        <w:rPr>
          <w:rFonts w:asciiTheme="minorHAnsi" w:hAnsiTheme="minorHAnsi" w:cstheme="minorHAnsi"/>
          <w:lang w:val="en-US"/>
        </w:rPr>
        <w:t xml:space="preserve"> (2008) ‘Legitimacy Under Pressure: the European Web of Counter‐terrorism Networks’, </w:t>
      </w:r>
      <w:r w:rsidRPr="00F20BCA">
        <w:rPr>
          <w:rFonts w:asciiTheme="minorHAnsi" w:hAnsiTheme="minorHAnsi" w:cstheme="minorHAnsi"/>
          <w:i/>
          <w:iCs/>
          <w:lang w:val="en-US"/>
        </w:rPr>
        <w:t>Journal of Common Market Studies,</w:t>
      </w:r>
      <w:r w:rsidRPr="00F20BCA">
        <w:rPr>
          <w:rFonts w:asciiTheme="minorHAnsi" w:hAnsiTheme="minorHAnsi" w:cstheme="minorHAnsi"/>
          <w:lang w:val="en-US"/>
        </w:rPr>
        <w:t xml:space="preserve"> 46 (1): 101-124.</w:t>
      </w:r>
    </w:p>
    <w:p w14:paraId="2B686982" w14:textId="77777777" w:rsidR="00F20BCA" w:rsidRPr="00F20BCA" w:rsidRDefault="00F20BCA" w:rsidP="00A947ED">
      <w:pPr>
        <w:ind w:left="709" w:hanging="709"/>
        <w:rPr>
          <w:rFonts w:asciiTheme="minorHAnsi" w:hAnsiTheme="minorHAnsi" w:cstheme="minorHAnsi"/>
          <w:lang w:val="en-GB"/>
        </w:rPr>
      </w:pPr>
      <w:proofErr w:type="spellStart"/>
      <w:r w:rsidRPr="00F20BCA">
        <w:rPr>
          <w:rFonts w:asciiTheme="minorHAnsi" w:hAnsiTheme="minorHAnsi" w:cstheme="minorHAnsi"/>
          <w:lang w:val="en-GB"/>
        </w:rPr>
        <w:t>Burguburu</w:t>
      </w:r>
      <w:proofErr w:type="spellEnd"/>
      <w:r w:rsidRPr="00F20BCA">
        <w:rPr>
          <w:rFonts w:asciiTheme="minorHAnsi" w:hAnsiTheme="minorHAnsi" w:cstheme="minorHAnsi"/>
          <w:lang w:val="en-GB"/>
        </w:rPr>
        <w:t xml:space="preserve">, J., Q. </w:t>
      </w:r>
      <w:proofErr w:type="spellStart"/>
      <w:r w:rsidRPr="00F20BCA">
        <w:rPr>
          <w:rFonts w:asciiTheme="minorHAnsi" w:hAnsiTheme="minorHAnsi" w:cstheme="minorHAnsi"/>
          <w:lang w:val="en-GB"/>
        </w:rPr>
        <w:t>Devalmy</w:t>
      </w:r>
      <w:proofErr w:type="spellEnd"/>
      <w:r w:rsidRPr="00F20BCA">
        <w:rPr>
          <w:rFonts w:asciiTheme="minorHAnsi" w:hAnsiTheme="minorHAnsi" w:cstheme="minorHAnsi"/>
          <w:lang w:val="en-GB"/>
        </w:rPr>
        <w:t xml:space="preserve">, M. </w:t>
      </w:r>
      <w:proofErr w:type="spellStart"/>
      <w:r w:rsidRPr="00F20BCA">
        <w:rPr>
          <w:rFonts w:asciiTheme="minorHAnsi" w:hAnsiTheme="minorHAnsi" w:cstheme="minorHAnsi"/>
          <w:lang w:val="en-GB"/>
        </w:rPr>
        <w:t>Guérin</w:t>
      </w:r>
      <w:proofErr w:type="spellEnd"/>
      <w:r w:rsidRPr="00F20BCA">
        <w:rPr>
          <w:rFonts w:asciiTheme="minorHAnsi" w:hAnsiTheme="minorHAnsi" w:cstheme="minorHAnsi"/>
          <w:lang w:val="en-GB"/>
        </w:rPr>
        <w:t xml:space="preserve">, A. van </w:t>
      </w:r>
      <w:proofErr w:type="spellStart"/>
      <w:r w:rsidRPr="00F20BCA">
        <w:rPr>
          <w:rFonts w:asciiTheme="minorHAnsi" w:hAnsiTheme="minorHAnsi" w:cstheme="minorHAnsi"/>
          <w:lang w:val="en-GB"/>
        </w:rPr>
        <w:t>Rij</w:t>
      </w:r>
      <w:proofErr w:type="spellEnd"/>
      <w:r w:rsidRPr="00F20BCA">
        <w:rPr>
          <w:rFonts w:asciiTheme="minorHAnsi" w:hAnsiTheme="minorHAnsi" w:cstheme="minorHAnsi"/>
          <w:lang w:val="en-GB"/>
        </w:rPr>
        <w:t xml:space="preserve">, B. Wilkinson (2018) ‘The UK-France defence and security relationship: How to improve cooperation. Reports of the UK-France Task Force’ </w:t>
      </w:r>
      <w:r w:rsidRPr="00F20BCA">
        <w:rPr>
          <w:rFonts w:asciiTheme="minorHAnsi" w:hAnsiTheme="minorHAnsi" w:cstheme="minorHAnsi"/>
          <w:i/>
          <w:iCs/>
          <w:lang w:val="en-GB"/>
        </w:rPr>
        <w:t xml:space="preserve">Montaigne Institute at Kings College London. </w:t>
      </w:r>
    </w:p>
    <w:p w14:paraId="5FA45952" w14:textId="77777777" w:rsidR="00F20BCA" w:rsidRPr="00F20BCA" w:rsidRDefault="00F20BCA" w:rsidP="00A947ED">
      <w:pPr>
        <w:ind w:left="709" w:hanging="709"/>
        <w:rPr>
          <w:rFonts w:asciiTheme="minorHAnsi" w:hAnsiTheme="minorHAnsi" w:cstheme="minorHAnsi"/>
          <w:lang w:val="en-GB"/>
        </w:rPr>
      </w:pPr>
      <w:proofErr w:type="spellStart"/>
      <w:r w:rsidRPr="00F20BCA">
        <w:rPr>
          <w:rFonts w:asciiTheme="minorHAnsi" w:hAnsiTheme="minorHAnsi" w:cstheme="minorHAnsi"/>
          <w:lang w:val="en-GB"/>
        </w:rPr>
        <w:t>Carrapico</w:t>
      </w:r>
      <w:proofErr w:type="spellEnd"/>
      <w:r w:rsidRPr="00F20BCA">
        <w:rPr>
          <w:rFonts w:asciiTheme="minorHAnsi" w:hAnsiTheme="minorHAnsi" w:cstheme="minorHAnsi"/>
          <w:lang w:val="en-GB"/>
        </w:rPr>
        <w:t xml:space="preserve">, H. (2014) ‘Analysing the European Union's responses to organized crime through different securitization lenses’, </w:t>
      </w:r>
      <w:r w:rsidRPr="00F20BCA">
        <w:rPr>
          <w:rFonts w:asciiTheme="minorHAnsi" w:hAnsiTheme="minorHAnsi" w:cstheme="minorHAnsi"/>
          <w:i/>
          <w:iCs/>
          <w:lang w:val="en-GB"/>
        </w:rPr>
        <w:t>European Security</w:t>
      </w:r>
      <w:r w:rsidRPr="00F20BCA">
        <w:rPr>
          <w:rFonts w:asciiTheme="minorHAnsi" w:hAnsiTheme="minorHAnsi" w:cstheme="minorHAnsi"/>
          <w:lang w:val="en-GB"/>
        </w:rPr>
        <w:t xml:space="preserve">, </w:t>
      </w:r>
      <w:r w:rsidRPr="00F20BCA">
        <w:rPr>
          <w:rFonts w:asciiTheme="minorHAnsi" w:hAnsiTheme="minorHAnsi" w:cstheme="minorHAnsi"/>
          <w:i/>
          <w:iCs/>
          <w:lang w:val="en-GB"/>
        </w:rPr>
        <w:t xml:space="preserve">23 </w:t>
      </w:r>
      <w:r w:rsidRPr="00F20BCA">
        <w:rPr>
          <w:rFonts w:asciiTheme="minorHAnsi" w:hAnsiTheme="minorHAnsi" w:cstheme="minorHAnsi"/>
          <w:lang w:val="en-GB"/>
        </w:rPr>
        <w:t>(4): 601-617.</w:t>
      </w:r>
    </w:p>
    <w:p w14:paraId="3F03885D"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Costi</w:t>
      </w:r>
      <w:proofErr w:type="spellEnd"/>
      <w:r w:rsidRPr="00F20BCA">
        <w:rPr>
          <w:rFonts w:asciiTheme="minorHAnsi" w:hAnsiTheme="minorHAnsi" w:cstheme="minorHAnsi"/>
          <w:lang w:val="en-US"/>
        </w:rPr>
        <w:t xml:space="preserve">, A. (2019) ‘Complementary approaches? A Brief Comparison of EU and United States Counter-Terrorism Strategies Since 2001’, </w:t>
      </w:r>
      <w:r w:rsidRPr="00F20BCA">
        <w:rPr>
          <w:rFonts w:asciiTheme="minorHAnsi" w:hAnsiTheme="minorHAnsi" w:cstheme="minorHAnsi"/>
          <w:i/>
          <w:iCs/>
          <w:lang w:val="en-US"/>
        </w:rPr>
        <w:t>Victoria University of Wellington Legal Research Papers</w:t>
      </w:r>
      <w:r w:rsidRPr="00F20BCA">
        <w:rPr>
          <w:rFonts w:asciiTheme="minorHAnsi" w:hAnsiTheme="minorHAnsi" w:cstheme="minorHAnsi"/>
          <w:lang w:val="en-US"/>
        </w:rPr>
        <w:t>, 9 (5): 167-195.</w:t>
      </w:r>
    </w:p>
    <w:p w14:paraId="05932F01" w14:textId="77777777"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US"/>
        </w:rPr>
        <w:t xml:space="preserve">Davies, L. &amp; </w:t>
      </w:r>
      <w:proofErr w:type="spellStart"/>
      <w:r w:rsidRPr="00F20BCA">
        <w:rPr>
          <w:rFonts w:asciiTheme="minorHAnsi" w:hAnsiTheme="minorHAnsi" w:cstheme="minorHAnsi"/>
          <w:lang w:val="en-US"/>
        </w:rPr>
        <w:t>Limbada</w:t>
      </w:r>
      <w:proofErr w:type="spellEnd"/>
      <w:r w:rsidRPr="00F20BCA">
        <w:rPr>
          <w:rFonts w:asciiTheme="minorHAnsi" w:hAnsiTheme="minorHAnsi" w:cstheme="minorHAnsi"/>
          <w:lang w:val="en-US"/>
        </w:rPr>
        <w:t>, Z. (2019) ‘</w:t>
      </w:r>
      <w:r w:rsidRPr="00F20BCA">
        <w:rPr>
          <w:rFonts w:asciiTheme="minorHAnsi" w:hAnsiTheme="minorHAnsi" w:cstheme="minorHAnsi"/>
          <w:lang w:val="en-GB"/>
        </w:rPr>
        <w:t>Education and radicalisation prevention: Different ways governments can support schools and teachers in preventing/countering violent extremism’, 06/05/19, Ex Post Paper,</w:t>
      </w:r>
      <w:r w:rsidRPr="00F20BCA">
        <w:rPr>
          <w:rFonts w:asciiTheme="minorHAnsi" w:hAnsiTheme="minorHAnsi" w:cstheme="minorHAnsi"/>
          <w:i/>
          <w:iCs/>
          <w:lang w:val="en-GB"/>
        </w:rPr>
        <w:t xml:space="preserve"> Radicalisation Awareness Network. </w:t>
      </w:r>
    </w:p>
    <w:p w14:paraId="7A7EFD52" w14:textId="77777777"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GB"/>
        </w:rPr>
        <w:t xml:space="preserve">Davis-Cross, M. (2007) An EU Homeland Security? Sovereignty vs. Supranational Order. </w:t>
      </w:r>
      <w:r w:rsidRPr="00F20BCA">
        <w:rPr>
          <w:rFonts w:asciiTheme="minorHAnsi" w:hAnsiTheme="minorHAnsi" w:cstheme="minorHAnsi"/>
          <w:i/>
          <w:iCs/>
          <w:lang w:val="en-US"/>
        </w:rPr>
        <w:t>European Security</w:t>
      </w:r>
      <w:r w:rsidRPr="00F20BCA">
        <w:rPr>
          <w:rFonts w:asciiTheme="minorHAnsi" w:hAnsiTheme="minorHAnsi" w:cstheme="minorHAnsi"/>
          <w:lang w:val="en-US"/>
        </w:rPr>
        <w:t>, 16 (1): 79-97.</w:t>
      </w:r>
    </w:p>
    <w:p w14:paraId="74C92953" w14:textId="77777777"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GB"/>
        </w:rPr>
        <w:t xml:space="preserve">European Court of Justice – ECJ (2018), Press </w:t>
      </w:r>
      <w:proofErr w:type="gramStart"/>
      <w:r w:rsidRPr="00F20BCA">
        <w:rPr>
          <w:rFonts w:asciiTheme="minorHAnsi" w:hAnsiTheme="minorHAnsi" w:cstheme="minorHAnsi"/>
          <w:lang w:val="en-GB"/>
        </w:rPr>
        <w:t>release</w:t>
      </w:r>
      <w:proofErr w:type="gramEnd"/>
      <w:r w:rsidRPr="00F20BCA">
        <w:rPr>
          <w:rFonts w:asciiTheme="minorHAnsi" w:hAnsiTheme="minorHAnsi" w:cstheme="minorHAnsi"/>
          <w:lang w:val="en-GB"/>
        </w:rPr>
        <w:t xml:space="preserve"> no 113/18 Judgment in case C-216/18 PPU. Minister for Justice and Equality vs LM (Deficiencies in the system of justice). </w:t>
      </w:r>
      <w:r w:rsidRPr="00F20BCA">
        <w:rPr>
          <w:rFonts w:asciiTheme="minorHAnsi" w:hAnsiTheme="minorHAnsi" w:cstheme="minorHAnsi"/>
          <w:i/>
          <w:iCs/>
          <w:lang w:val="en-GB"/>
        </w:rPr>
        <w:t>Court of Justice for the European Union</w:t>
      </w:r>
      <w:r w:rsidRPr="00F20BCA">
        <w:rPr>
          <w:rFonts w:asciiTheme="minorHAnsi" w:hAnsiTheme="minorHAnsi" w:cstheme="minorHAnsi"/>
          <w:lang w:val="en-GB"/>
        </w:rPr>
        <w:t>. Luxembourg. 25</w:t>
      </w:r>
      <w:r w:rsidRPr="00F20BCA">
        <w:rPr>
          <w:rFonts w:asciiTheme="minorHAnsi" w:hAnsiTheme="minorHAnsi" w:cstheme="minorHAnsi"/>
          <w:vertAlign w:val="superscript"/>
          <w:lang w:val="en-GB"/>
        </w:rPr>
        <w:t>th</w:t>
      </w:r>
      <w:r w:rsidRPr="00F20BCA">
        <w:rPr>
          <w:rFonts w:asciiTheme="minorHAnsi" w:hAnsiTheme="minorHAnsi" w:cstheme="minorHAnsi"/>
          <w:lang w:val="en-GB"/>
        </w:rPr>
        <w:t xml:space="preserve"> of July 2018</w:t>
      </w:r>
    </w:p>
    <w:p w14:paraId="64433CC7"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Eurojust (2020) Over EUR 2.8 billion worth of drugs in Eurojust-supported cases in 2019. Available at: </w:t>
      </w:r>
      <w:hyperlink r:id="rId12" w:history="1">
        <w:r w:rsidRPr="00F20BCA">
          <w:rPr>
            <w:rStyle w:val="Hyperlink"/>
            <w:rFonts w:asciiTheme="minorHAnsi" w:hAnsiTheme="minorHAnsi" w:cstheme="minorHAnsi"/>
            <w:lang w:val="en-US"/>
          </w:rPr>
          <w:t>http://www.eurojust.europa.eu/press/PressReleases/Pages/2020/2020-01-20.aspx</w:t>
        </w:r>
      </w:hyperlink>
      <w:r w:rsidRPr="00F20BCA">
        <w:rPr>
          <w:rFonts w:asciiTheme="minorHAnsi" w:hAnsiTheme="minorHAnsi" w:cstheme="minorHAnsi"/>
          <w:lang w:val="en-US"/>
        </w:rPr>
        <w:t xml:space="preserve"> Accessed: 6</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of May 2020.</w:t>
      </w:r>
    </w:p>
    <w:p w14:paraId="027F803A"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European Council (2002) Framework Decision 2002/584/JHA of 13 June 2002, the European arrest warrant and surrender procedures between member States, published in Official Journal L 190/2002, p 1-20.</w:t>
      </w:r>
    </w:p>
    <w:p w14:paraId="7066F40E"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European Council (2003) </w:t>
      </w:r>
      <w:r w:rsidRPr="00F20BCA">
        <w:rPr>
          <w:rFonts w:asciiTheme="minorHAnsi" w:hAnsiTheme="minorHAnsi" w:cstheme="minorHAnsi"/>
          <w:i/>
          <w:iCs/>
          <w:lang w:val="en-US"/>
        </w:rPr>
        <w:t>A Secure Union in a Better World: European Security Strategy</w:t>
      </w:r>
      <w:r w:rsidRPr="00F20BCA">
        <w:rPr>
          <w:rFonts w:asciiTheme="minorHAnsi" w:hAnsiTheme="minorHAnsi" w:cstheme="minorHAnsi"/>
          <w:lang w:val="en-US"/>
        </w:rPr>
        <w:t xml:space="preserve">. Brussels: The Council of the European Union. </w:t>
      </w:r>
    </w:p>
    <w:p w14:paraId="38ADA5C4" w14:textId="77777777"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US"/>
        </w:rPr>
        <w:t xml:space="preserve">European Council (2017) </w:t>
      </w:r>
      <w:r w:rsidRPr="00F20BCA">
        <w:rPr>
          <w:rFonts w:asciiTheme="minorHAnsi" w:hAnsiTheme="minorHAnsi" w:cstheme="minorHAnsi"/>
          <w:lang w:val="en-GB"/>
        </w:rPr>
        <w:t xml:space="preserve">Directive (EU) 2017/541 of the European Parliament and of the Council of 15 March 2017 on combating terrorism, available at </w:t>
      </w:r>
      <w:hyperlink r:id="rId13" w:history="1">
        <w:r w:rsidRPr="00F20BCA">
          <w:rPr>
            <w:rStyle w:val="Hyperlink"/>
            <w:rFonts w:asciiTheme="minorHAnsi" w:hAnsiTheme="minorHAnsi" w:cstheme="minorHAnsi"/>
            <w:lang w:val="en-GB"/>
          </w:rPr>
          <w:t>https://eur-lex.europa.eu/legal-content/EN/TXT/?uri=CELEX%3A32017L0541</w:t>
        </w:r>
      </w:hyperlink>
    </w:p>
    <w:p w14:paraId="78BD112A"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lastRenderedPageBreak/>
        <w:t xml:space="preserve">European Commission (2017) </w:t>
      </w:r>
      <w:r w:rsidRPr="00F20BCA">
        <w:rPr>
          <w:rFonts w:asciiTheme="minorHAnsi" w:hAnsiTheme="minorHAnsi" w:cstheme="minorHAnsi"/>
          <w:i/>
          <w:iCs/>
          <w:lang w:val="en-US"/>
        </w:rPr>
        <w:t>A European Agenda on Security. State of Play: June 2017</w:t>
      </w:r>
      <w:r w:rsidRPr="00F20BCA">
        <w:rPr>
          <w:rFonts w:asciiTheme="minorHAnsi" w:hAnsiTheme="minorHAnsi" w:cstheme="minorHAnsi"/>
          <w:lang w:val="en-US"/>
        </w:rPr>
        <w:t xml:space="preserve">, Brussels: the European Commission. Available at: </w:t>
      </w:r>
      <w:hyperlink r:id="rId14" w:history="1">
        <w:r w:rsidRPr="00F20BCA">
          <w:rPr>
            <w:rStyle w:val="Hyperlink"/>
            <w:rFonts w:asciiTheme="minorHAnsi" w:hAnsiTheme="minorHAnsi" w:cstheme="minorHAnsi"/>
            <w:lang w:val="en-US"/>
          </w:rPr>
          <w:t>https://ec.europa.eu/home-affairs/sites/homeaffairs/files/what-we-do/policies/european-agenda-security/20170629_a_european_agenda_on_security_-_state_of_play_june_2017_en.pdf</w:t>
        </w:r>
      </w:hyperlink>
      <w:r w:rsidRPr="00F20BCA">
        <w:rPr>
          <w:rFonts w:asciiTheme="minorHAnsi" w:hAnsiTheme="minorHAnsi" w:cstheme="minorHAnsi"/>
          <w:lang w:val="en-US"/>
        </w:rPr>
        <w:t>. Accessed: 20</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of April. </w:t>
      </w:r>
    </w:p>
    <w:p w14:paraId="0848649C"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European Commission (2019) </w:t>
      </w:r>
      <w:r w:rsidRPr="00F20BCA">
        <w:rPr>
          <w:rFonts w:asciiTheme="minorHAnsi" w:hAnsiTheme="minorHAnsi" w:cstheme="minorHAnsi"/>
          <w:i/>
          <w:iCs/>
          <w:lang w:val="en-US"/>
        </w:rPr>
        <w:t>The Security Union: A Europe that Protects</w:t>
      </w:r>
      <w:r w:rsidRPr="00F20BCA">
        <w:rPr>
          <w:rFonts w:asciiTheme="minorHAnsi" w:hAnsiTheme="minorHAnsi" w:cstheme="minorHAnsi"/>
          <w:lang w:val="en-US"/>
        </w:rPr>
        <w:t xml:space="preserve">, Brussels: the European Commission. October 2019. Available at: </w:t>
      </w:r>
      <w:hyperlink r:id="rId15" w:history="1">
        <w:r w:rsidRPr="00F20BCA">
          <w:rPr>
            <w:rStyle w:val="Hyperlink"/>
            <w:rFonts w:asciiTheme="minorHAnsi" w:hAnsiTheme="minorHAnsi" w:cstheme="minorHAnsi"/>
            <w:lang w:val="en-US"/>
          </w:rPr>
          <w:t>https://ec.europa.eu/commission/presscorner/detail/en/FS_19_6194</w:t>
        </w:r>
      </w:hyperlink>
      <w:r w:rsidRPr="00F20BCA">
        <w:rPr>
          <w:rFonts w:asciiTheme="minorHAnsi" w:hAnsiTheme="minorHAnsi" w:cstheme="minorHAnsi"/>
          <w:lang w:val="en-US"/>
        </w:rPr>
        <w:t>. Accessed: 14</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of April 2020.</w:t>
      </w:r>
    </w:p>
    <w:p w14:paraId="5ED6623C" w14:textId="77777777"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US"/>
        </w:rPr>
        <w:t xml:space="preserve">EUROPOL (2017) </w:t>
      </w:r>
      <w:r w:rsidRPr="00F20BCA">
        <w:rPr>
          <w:rFonts w:asciiTheme="minorHAnsi" w:hAnsiTheme="minorHAnsi" w:cstheme="minorHAnsi"/>
          <w:i/>
          <w:iCs/>
          <w:lang w:val="en-GB"/>
        </w:rPr>
        <w:t>EU Serious and Organised Crime Threat Assessment (SOCTA) 2017</w:t>
      </w:r>
      <w:r w:rsidRPr="00F20BCA">
        <w:rPr>
          <w:rFonts w:asciiTheme="minorHAnsi" w:hAnsiTheme="minorHAnsi" w:cstheme="minorHAnsi"/>
          <w:lang w:val="en-GB"/>
        </w:rPr>
        <w:t xml:space="preserve">. </w:t>
      </w:r>
      <w:r w:rsidRPr="00F20BCA">
        <w:rPr>
          <w:rFonts w:asciiTheme="minorHAnsi" w:hAnsiTheme="minorHAnsi" w:cstheme="minorHAnsi"/>
          <w:lang w:val="en-US"/>
        </w:rPr>
        <w:t xml:space="preserve">The Hague: </w:t>
      </w:r>
      <w:r w:rsidRPr="00F20BCA">
        <w:rPr>
          <w:rFonts w:asciiTheme="minorHAnsi" w:hAnsiTheme="minorHAnsi" w:cstheme="minorHAnsi"/>
          <w:lang w:val="en-GB"/>
        </w:rPr>
        <w:t>European Union Agency for Law Enforcement Cooperation.</w:t>
      </w:r>
    </w:p>
    <w:p w14:paraId="618393F4" w14:textId="0A6B264C"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US"/>
        </w:rPr>
        <w:t xml:space="preserve">EUROPOL (2020) </w:t>
      </w:r>
      <w:r w:rsidRPr="00F20BCA">
        <w:rPr>
          <w:rFonts w:asciiTheme="minorHAnsi" w:hAnsiTheme="minorHAnsi" w:cstheme="minorHAnsi"/>
          <w:i/>
          <w:iCs/>
          <w:lang w:val="en-US"/>
        </w:rPr>
        <w:t>European Union Terrorism Situation and Trend Report 2020</w:t>
      </w:r>
      <w:r w:rsidRPr="00F20BCA">
        <w:rPr>
          <w:rFonts w:asciiTheme="minorHAnsi" w:hAnsiTheme="minorHAnsi" w:cstheme="minorHAnsi"/>
          <w:lang w:val="en-US"/>
        </w:rPr>
        <w:t xml:space="preserve">. The Hague: </w:t>
      </w:r>
      <w:r w:rsidRPr="00F20BCA">
        <w:rPr>
          <w:rFonts w:asciiTheme="minorHAnsi" w:hAnsiTheme="minorHAnsi" w:cstheme="minorHAnsi"/>
          <w:lang w:val="en-GB"/>
        </w:rPr>
        <w:t xml:space="preserve">European Union Agency for Law Enforcement Cooperation. Available at: </w:t>
      </w:r>
      <w:hyperlink r:id="rId16" w:history="1">
        <w:r w:rsidRPr="00F20BCA">
          <w:rPr>
            <w:rStyle w:val="Hyperlink"/>
            <w:rFonts w:asciiTheme="minorHAnsi" w:hAnsiTheme="minorHAnsi" w:cstheme="minorHAnsi"/>
            <w:lang w:val="en-GB"/>
          </w:rPr>
          <w:t>https://www.europol.europa.eu/activities-services/main-reports/european-union-terrorism-situation-and-trend-report-te-sat-2020</w:t>
        </w:r>
      </w:hyperlink>
      <w:r w:rsidR="00732650">
        <w:rPr>
          <w:rFonts w:asciiTheme="minorHAnsi" w:hAnsiTheme="minorHAnsi" w:cstheme="minorHAnsi"/>
          <w:lang w:val="en-GB"/>
        </w:rPr>
        <w:t xml:space="preserve"> Accessed 5th</w:t>
      </w:r>
      <w:r w:rsidRPr="00F20BCA">
        <w:rPr>
          <w:rFonts w:asciiTheme="minorHAnsi" w:hAnsiTheme="minorHAnsi" w:cstheme="minorHAnsi"/>
          <w:lang w:val="en-GB"/>
        </w:rPr>
        <w:t xml:space="preserve"> July 2020.  </w:t>
      </w:r>
    </w:p>
    <w:p w14:paraId="0FCFD0A9" w14:textId="05D9FDA4" w:rsid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GB"/>
        </w:rPr>
        <w:t xml:space="preserve">Fenwick, H. (2019) ‘Critiquing approaches to countering extremism via certain preventive measures’, </w:t>
      </w:r>
      <w:r w:rsidRPr="00F20BCA">
        <w:rPr>
          <w:rFonts w:asciiTheme="minorHAnsi" w:hAnsiTheme="minorHAnsi" w:cstheme="minorHAnsi"/>
          <w:i/>
          <w:iCs/>
          <w:lang w:val="en-GB"/>
        </w:rPr>
        <w:t>Commission for Preventing Extremism. Gov.UK</w:t>
      </w:r>
      <w:r w:rsidRPr="00F20BCA">
        <w:rPr>
          <w:rFonts w:asciiTheme="minorHAnsi" w:hAnsiTheme="minorHAnsi" w:cstheme="minorHAnsi"/>
          <w:lang w:val="en-GB"/>
        </w:rPr>
        <w:t xml:space="preserve">. Available at: </w:t>
      </w:r>
      <w:hyperlink r:id="rId17" w:history="1">
        <w:r w:rsidRPr="00F20BCA">
          <w:rPr>
            <w:rStyle w:val="Hyperlink"/>
            <w:rFonts w:asciiTheme="minorHAnsi" w:hAnsiTheme="minorHAnsi" w:cstheme="minorHAnsi"/>
            <w:lang w:val="en-GB"/>
          </w:rPr>
          <w:t>https://www.gov.uk/government/publications/critiquing-approaches-to-countering-extremism-via-certain-preventive-measures</w:t>
        </w:r>
      </w:hyperlink>
      <w:r w:rsidRPr="00F20BCA">
        <w:rPr>
          <w:rFonts w:asciiTheme="minorHAnsi" w:hAnsiTheme="minorHAnsi" w:cstheme="minorHAnsi"/>
          <w:lang w:val="en-GB"/>
        </w:rPr>
        <w:t xml:space="preserve"> Accessed: 9</w:t>
      </w:r>
      <w:r w:rsidRPr="00F20BCA">
        <w:rPr>
          <w:rFonts w:asciiTheme="minorHAnsi" w:hAnsiTheme="minorHAnsi" w:cstheme="minorHAnsi"/>
          <w:vertAlign w:val="superscript"/>
          <w:lang w:val="en-GB"/>
        </w:rPr>
        <w:t>th</w:t>
      </w:r>
      <w:r w:rsidRPr="00F20BCA">
        <w:rPr>
          <w:rFonts w:asciiTheme="minorHAnsi" w:hAnsiTheme="minorHAnsi" w:cstheme="minorHAnsi"/>
          <w:lang w:val="en-GB"/>
        </w:rPr>
        <w:t xml:space="preserve"> of May 2020.</w:t>
      </w:r>
    </w:p>
    <w:p w14:paraId="16E43D48" w14:textId="43D39249" w:rsidR="00732650" w:rsidRPr="00F20BCA" w:rsidRDefault="00732650" w:rsidP="00A947ED">
      <w:pPr>
        <w:ind w:left="709" w:hanging="709"/>
        <w:rPr>
          <w:rFonts w:asciiTheme="minorHAnsi" w:hAnsiTheme="minorHAnsi" w:cstheme="minorHAnsi"/>
          <w:lang w:val="en-GB"/>
        </w:rPr>
      </w:pPr>
      <w:r>
        <w:rPr>
          <w:rFonts w:asciiTheme="minorHAnsi" w:hAnsiTheme="minorHAnsi" w:cstheme="minorHAnsi"/>
          <w:lang w:val="en-GB"/>
        </w:rPr>
        <w:t>Financial Times (2020). ‘EU counterterror paper lays bare bloc’s policy divisions’, 5</w:t>
      </w:r>
      <w:r w:rsidRPr="00732650">
        <w:rPr>
          <w:rFonts w:asciiTheme="minorHAnsi" w:hAnsiTheme="minorHAnsi" w:cstheme="minorHAnsi"/>
          <w:vertAlign w:val="superscript"/>
          <w:lang w:val="en-GB"/>
        </w:rPr>
        <w:t>th</w:t>
      </w:r>
      <w:r>
        <w:rPr>
          <w:rFonts w:asciiTheme="minorHAnsi" w:hAnsiTheme="minorHAnsi" w:cstheme="minorHAnsi"/>
          <w:lang w:val="en-GB"/>
        </w:rPr>
        <w:t xml:space="preserve"> November 2020. Available at: </w:t>
      </w:r>
      <w:hyperlink r:id="rId18" w:history="1">
        <w:r w:rsidRPr="003015CA">
          <w:rPr>
            <w:rStyle w:val="Hyperlink"/>
            <w:rFonts w:asciiTheme="minorHAnsi" w:hAnsiTheme="minorHAnsi" w:cstheme="minorHAnsi"/>
            <w:lang w:val="en-GB"/>
          </w:rPr>
          <w:t>https://www.ft.com/content/57c9f719-b05b-474c-96c9-fd5e2c71e00f</w:t>
        </w:r>
      </w:hyperlink>
      <w:r>
        <w:rPr>
          <w:rFonts w:asciiTheme="minorHAnsi" w:hAnsiTheme="minorHAnsi" w:cstheme="minorHAnsi"/>
          <w:lang w:val="en-GB"/>
        </w:rPr>
        <w:t xml:space="preserve">. Accessed 30th April 2021.  </w:t>
      </w:r>
    </w:p>
    <w:p w14:paraId="32848EC7" w14:textId="77777777" w:rsidR="00F20BCA" w:rsidRPr="00F20BCA" w:rsidRDefault="00F20BCA" w:rsidP="00A947ED">
      <w:pPr>
        <w:ind w:left="709" w:hanging="709"/>
        <w:rPr>
          <w:rFonts w:asciiTheme="minorHAnsi" w:hAnsiTheme="minorHAnsi" w:cstheme="minorHAnsi"/>
          <w:lang w:val="en-GB"/>
        </w:rPr>
      </w:pPr>
      <w:proofErr w:type="spellStart"/>
      <w:r w:rsidRPr="00F20BCA">
        <w:rPr>
          <w:rFonts w:asciiTheme="minorHAnsi" w:hAnsiTheme="minorHAnsi" w:cstheme="minorHAnsi"/>
          <w:lang w:val="en-GB"/>
        </w:rPr>
        <w:t>Fijnaut</w:t>
      </w:r>
      <w:proofErr w:type="spellEnd"/>
      <w:r w:rsidRPr="00F20BCA">
        <w:rPr>
          <w:rFonts w:asciiTheme="minorHAnsi" w:hAnsiTheme="minorHAnsi" w:cstheme="minorHAnsi"/>
          <w:lang w:val="en-GB"/>
        </w:rPr>
        <w:t xml:space="preserve">, C., ed., (1993), </w:t>
      </w:r>
      <w:r w:rsidRPr="00F20BCA">
        <w:rPr>
          <w:rFonts w:asciiTheme="minorHAnsi" w:hAnsiTheme="minorHAnsi" w:cstheme="minorHAnsi"/>
          <w:i/>
          <w:iCs/>
          <w:lang w:val="en-GB"/>
        </w:rPr>
        <w:t>The internationalisation of police cooperation in Western Europe</w:t>
      </w:r>
      <w:r w:rsidRPr="00F20BCA">
        <w:rPr>
          <w:rFonts w:asciiTheme="minorHAnsi" w:hAnsiTheme="minorHAnsi" w:cstheme="minorHAnsi"/>
          <w:lang w:val="en-GB"/>
        </w:rPr>
        <w:t>, Deventer: Kluwer.</w:t>
      </w:r>
    </w:p>
    <w:p w14:paraId="226648A7"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GB"/>
        </w:rPr>
        <w:t>Fijnaut</w:t>
      </w:r>
      <w:proofErr w:type="spellEnd"/>
      <w:r w:rsidRPr="00F20BCA">
        <w:rPr>
          <w:rFonts w:asciiTheme="minorHAnsi" w:hAnsiTheme="minorHAnsi" w:cstheme="minorHAnsi"/>
          <w:lang w:val="en-GB"/>
        </w:rPr>
        <w:t>, C. &amp; Paoli, L. (2004) ‘</w:t>
      </w:r>
      <w:r w:rsidRPr="00F20BCA">
        <w:rPr>
          <w:rFonts w:asciiTheme="minorHAnsi" w:hAnsiTheme="minorHAnsi" w:cstheme="minorHAnsi"/>
          <w:lang w:val="en-US"/>
        </w:rPr>
        <w:t xml:space="preserve">Comparative Synthesis of Part III’, in </w:t>
      </w:r>
      <w:proofErr w:type="spellStart"/>
      <w:r w:rsidRPr="00F20BCA">
        <w:rPr>
          <w:rFonts w:asciiTheme="minorHAnsi" w:hAnsiTheme="minorHAnsi" w:cstheme="minorHAnsi"/>
          <w:lang w:val="en-US"/>
        </w:rPr>
        <w:t>Fijnaut</w:t>
      </w:r>
      <w:proofErr w:type="spellEnd"/>
      <w:r w:rsidRPr="00F20BCA">
        <w:rPr>
          <w:rFonts w:asciiTheme="minorHAnsi" w:hAnsiTheme="minorHAnsi" w:cstheme="minorHAnsi"/>
          <w:lang w:val="en-US"/>
        </w:rPr>
        <w:t xml:space="preserve">, C &amp; Paoli, L (eds). 2004. </w:t>
      </w:r>
      <w:proofErr w:type="spellStart"/>
      <w:r w:rsidRPr="00F20BCA">
        <w:rPr>
          <w:rFonts w:asciiTheme="minorHAnsi" w:hAnsiTheme="minorHAnsi" w:cstheme="minorHAnsi"/>
          <w:i/>
          <w:iCs/>
          <w:lang w:val="en-US"/>
        </w:rPr>
        <w:t>Organised</w:t>
      </w:r>
      <w:proofErr w:type="spellEnd"/>
      <w:r w:rsidRPr="00F20BCA">
        <w:rPr>
          <w:rFonts w:asciiTheme="minorHAnsi" w:hAnsiTheme="minorHAnsi" w:cstheme="minorHAnsi"/>
          <w:i/>
          <w:iCs/>
          <w:lang w:val="en-US"/>
        </w:rPr>
        <w:t xml:space="preserve"> Crime in Europe</w:t>
      </w:r>
      <w:r w:rsidRPr="00F20BCA">
        <w:rPr>
          <w:rFonts w:asciiTheme="minorHAnsi" w:hAnsiTheme="minorHAnsi" w:cstheme="minorHAnsi"/>
          <w:lang w:val="en-US"/>
        </w:rPr>
        <w:t xml:space="preserve">. Dordrecht: Springer. </w:t>
      </w:r>
    </w:p>
    <w:p w14:paraId="48FDF8C6"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Gay, C. (2006) </w:t>
      </w:r>
      <w:r w:rsidRPr="00F20BCA">
        <w:rPr>
          <w:rFonts w:asciiTheme="minorHAnsi" w:hAnsiTheme="minorHAnsi" w:cstheme="minorHAnsi"/>
          <w:i/>
          <w:iCs/>
          <w:lang w:val="en-US"/>
        </w:rPr>
        <w:t xml:space="preserve">The European Arrest Warrant and its application by the Member States. </w:t>
      </w:r>
      <w:r w:rsidRPr="00F20BCA">
        <w:rPr>
          <w:rFonts w:asciiTheme="minorHAnsi" w:hAnsiTheme="minorHAnsi" w:cstheme="minorHAnsi"/>
          <w:lang w:val="en-US"/>
        </w:rPr>
        <w:t>European Issue 16. Foundation Robert Schuman Research and Studies Centre on Europe. 23/01/2006.</w:t>
      </w:r>
    </w:p>
    <w:p w14:paraId="1ECC57E8"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Gruszczak</w:t>
      </w:r>
      <w:proofErr w:type="spellEnd"/>
      <w:r w:rsidRPr="00F20BCA">
        <w:rPr>
          <w:rFonts w:asciiTheme="minorHAnsi" w:hAnsiTheme="minorHAnsi" w:cstheme="minorHAnsi"/>
          <w:lang w:val="en-US"/>
        </w:rPr>
        <w:t xml:space="preserve">, A. (2016) EU Criminal Intelligence Cooperation Challenges of Oversight and Accountability. </w:t>
      </w:r>
      <w:r w:rsidRPr="00F20BCA">
        <w:rPr>
          <w:rFonts w:asciiTheme="minorHAnsi" w:hAnsiTheme="minorHAnsi" w:cstheme="minorHAnsi"/>
          <w:i/>
          <w:iCs/>
          <w:lang w:val="en-US"/>
        </w:rPr>
        <w:t>The Academic Association for Contemporary European Studies</w:t>
      </w:r>
      <w:r w:rsidRPr="00F20BCA">
        <w:rPr>
          <w:rFonts w:asciiTheme="minorHAnsi" w:hAnsiTheme="minorHAnsi" w:cstheme="minorHAnsi"/>
          <w:lang w:val="en-US"/>
        </w:rPr>
        <w:t xml:space="preserve"> (ACEAS)46</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Annual Conference. London. 5-7 September 2016.</w:t>
      </w:r>
    </w:p>
    <w:p w14:paraId="20552B8F"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Guille</w:t>
      </w:r>
      <w:proofErr w:type="spellEnd"/>
      <w:r w:rsidRPr="00F20BCA">
        <w:rPr>
          <w:rFonts w:asciiTheme="minorHAnsi" w:hAnsiTheme="minorHAnsi" w:cstheme="minorHAnsi"/>
          <w:lang w:val="en-US"/>
        </w:rPr>
        <w:t xml:space="preserve">, L. (2010) ‘Police and Judicial Cooperation in Europe: Bilateral Versus Multilateral Cooperation’, in Lemieux, D.F. (Ed.). </w:t>
      </w:r>
      <w:r w:rsidRPr="00F20BCA">
        <w:rPr>
          <w:rFonts w:asciiTheme="minorHAnsi" w:hAnsiTheme="minorHAnsi" w:cstheme="minorHAnsi"/>
          <w:i/>
          <w:iCs/>
          <w:lang w:val="en-US"/>
        </w:rPr>
        <w:t>International Police Cooperation: Emerging Issues, Theory and Practices</w:t>
      </w:r>
      <w:r w:rsidRPr="00F20BCA">
        <w:rPr>
          <w:rFonts w:asciiTheme="minorHAnsi" w:hAnsiTheme="minorHAnsi" w:cstheme="minorHAnsi"/>
          <w:lang w:val="en-US"/>
        </w:rPr>
        <w:t xml:space="preserve">, Abingdon: Willian Publishing. </w:t>
      </w:r>
    </w:p>
    <w:p w14:paraId="30CB4686" w14:textId="411C0DC8" w:rsidR="00BE60C9" w:rsidRDefault="00F20BCA" w:rsidP="00020EAD">
      <w:pPr>
        <w:ind w:left="709" w:hanging="709"/>
        <w:rPr>
          <w:rFonts w:asciiTheme="minorHAnsi" w:hAnsiTheme="minorHAnsi" w:cstheme="minorHAnsi"/>
          <w:lang w:val="en-US"/>
        </w:rPr>
      </w:pPr>
      <w:r w:rsidRPr="00F20BCA">
        <w:rPr>
          <w:rFonts w:asciiTheme="minorHAnsi" w:hAnsiTheme="minorHAnsi" w:cstheme="minorHAnsi"/>
          <w:lang w:val="en-US"/>
        </w:rPr>
        <w:t xml:space="preserve">Harper, J. (2016) Poland joins Hungary in planning stringent anti-terrorism laws in wake of Brussels attacks. </w:t>
      </w:r>
      <w:r w:rsidRPr="00F20BCA">
        <w:rPr>
          <w:rFonts w:asciiTheme="minorHAnsi" w:hAnsiTheme="minorHAnsi" w:cstheme="minorHAnsi"/>
          <w:i/>
          <w:iCs/>
          <w:lang w:val="en-US"/>
        </w:rPr>
        <w:t xml:space="preserve">Deutsche </w:t>
      </w:r>
      <w:proofErr w:type="spellStart"/>
      <w:r w:rsidRPr="00F20BCA">
        <w:rPr>
          <w:rFonts w:asciiTheme="minorHAnsi" w:hAnsiTheme="minorHAnsi" w:cstheme="minorHAnsi"/>
          <w:i/>
          <w:iCs/>
          <w:lang w:val="en-US"/>
        </w:rPr>
        <w:t>Welle</w:t>
      </w:r>
      <w:proofErr w:type="spellEnd"/>
      <w:r w:rsidRPr="00F20BCA">
        <w:rPr>
          <w:rFonts w:asciiTheme="minorHAnsi" w:hAnsiTheme="minorHAnsi" w:cstheme="minorHAnsi"/>
          <w:lang w:val="en-US"/>
        </w:rPr>
        <w:t>. 23</w:t>
      </w:r>
      <w:r w:rsidRPr="00F20BCA">
        <w:rPr>
          <w:rFonts w:asciiTheme="minorHAnsi" w:hAnsiTheme="minorHAnsi" w:cstheme="minorHAnsi"/>
          <w:vertAlign w:val="superscript"/>
          <w:lang w:val="en-US"/>
        </w:rPr>
        <w:t xml:space="preserve">rd </w:t>
      </w:r>
      <w:r w:rsidRPr="00F20BCA">
        <w:rPr>
          <w:rFonts w:asciiTheme="minorHAnsi" w:hAnsiTheme="minorHAnsi" w:cstheme="minorHAnsi"/>
          <w:lang w:val="en-US"/>
        </w:rPr>
        <w:t xml:space="preserve">of March 2016. Available at: </w:t>
      </w:r>
      <w:hyperlink r:id="rId19" w:history="1">
        <w:r w:rsidRPr="00F20BCA">
          <w:rPr>
            <w:rStyle w:val="Hyperlink"/>
            <w:rFonts w:asciiTheme="minorHAnsi" w:hAnsiTheme="minorHAnsi" w:cstheme="minorHAnsi"/>
            <w:lang w:val="en-US"/>
          </w:rPr>
          <w:t>https://www.dw.com/en/poland-joins-hungary-in-planning-stringent-anti-terrorism-laws-in-wake-of-brussels-attacks/a-19141781 Accessed 15th July 2020</w:t>
        </w:r>
      </w:hyperlink>
      <w:r w:rsidR="00020EAD">
        <w:rPr>
          <w:rFonts w:asciiTheme="minorHAnsi" w:hAnsiTheme="minorHAnsi" w:cstheme="minorHAnsi"/>
          <w:lang w:val="en-US"/>
        </w:rPr>
        <w:t xml:space="preserve">. </w:t>
      </w:r>
    </w:p>
    <w:p w14:paraId="6D7900FB" w14:textId="47B2BA0A" w:rsidR="00BE60C9" w:rsidRPr="00DE3F1E" w:rsidRDefault="00BE60C9" w:rsidP="00020EAD">
      <w:pPr>
        <w:ind w:left="709" w:hanging="709"/>
        <w:rPr>
          <w:rFonts w:asciiTheme="minorHAnsi" w:hAnsiTheme="minorHAnsi" w:cstheme="minorHAnsi"/>
          <w:lang w:val="en-US"/>
        </w:rPr>
      </w:pPr>
      <w:r w:rsidRPr="00DE3F1E">
        <w:rPr>
          <w:rFonts w:asciiTheme="minorHAnsi" w:hAnsiTheme="minorHAnsi" w:cstheme="minorHAnsi"/>
          <w:lang w:val="en-US"/>
        </w:rPr>
        <w:t>HM Government</w:t>
      </w:r>
      <w:r w:rsidRPr="00BE60C9">
        <w:rPr>
          <w:rFonts w:asciiTheme="minorHAnsi" w:hAnsiTheme="minorHAnsi" w:cstheme="minorHAnsi"/>
          <w:lang w:val="en-US"/>
        </w:rPr>
        <w:t xml:space="preserve"> (</w:t>
      </w:r>
      <w:r w:rsidRPr="00DE3F1E">
        <w:rPr>
          <w:rFonts w:asciiTheme="minorHAnsi" w:hAnsiTheme="minorHAnsi" w:cstheme="minorHAnsi"/>
          <w:lang w:val="en-US"/>
        </w:rPr>
        <w:t>2020</w:t>
      </w:r>
      <w:r w:rsidRPr="00BE60C9">
        <w:rPr>
          <w:rFonts w:asciiTheme="minorHAnsi" w:hAnsiTheme="minorHAnsi" w:cstheme="minorHAnsi"/>
          <w:lang w:val="en-US"/>
        </w:rPr>
        <w:t>)</w:t>
      </w:r>
      <w:r w:rsidRPr="00DE3F1E">
        <w:rPr>
          <w:rFonts w:asciiTheme="minorHAnsi" w:hAnsiTheme="minorHAnsi" w:cstheme="minorHAnsi"/>
          <w:lang w:val="en-US"/>
        </w:rPr>
        <w:t xml:space="preserve"> EU–UK Trade and Cooperation Agreement. ‘Trade and cooperation agreement between the European Union and the European Atomic Energy Community, of the one part, and the United Kingdom of Great Britain and Northern Ireland, of the other part’. 24 December 2020</w:t>
      </w:r>
      <w:r w:rsidRPr="00BE60C9">
        <w:rPr>
          <w:rFonts w:asciiTheme="minorHAnsi" w:hAnsiTheme="minorHAnsi" w:cstheme="minorHAnsi"/>
          <w:lang w:val="en-US"/>
        </w:rPr>
        <w:t xml:space="preserve">. </w:t>
      </w:r>
    </w:p>
    <w:p w14:paraId="65426B00" w14:textId="015D460B"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Jaffel</w:t>
      </w:r>
      <w:proofErr w:type="spellEnd"/>
      <w:r w:rsidRPr="00F20BCA">
        <w:rPr>
          <w:rFonts w:asciiTheme="minorHAnsi" w:hAnsiTheme="minorHAnsi" w:cstheme="minorHAnsi"/>
          <w:lang w:val="en-US"/>
        </w:rPr>
        <w:t xml:space="preserve">, H.B. (2019) </w:t>
      </w:r>
      <w:r w:rsidRPr="00F20BCA">
        <w:rPr>
          <w:rFonts w:asciiTheme="minorHAnsi" w:hAnsiTheme="minorHAnsi" w:cstheme="minorHAnsi"/>
          <w:i/>
          <w:iCs/>
          <w:lang w:val="en-US"/>
        </w:rPr>
        <w:t>Anglo-European Intelligence Cooperation: Britain in Europe, Europe in Britain</w:t>
      </w:r>
      <w:r w:rsidRPr="00F20BCA">
        <w:rPr>
          <w:rFonts w:asciiTheme="minorHAnsi" w:hAnsiTheme="minorHAnsi" w:cstheme="minorHAnsi"/>
          <w:lang w:val="en-US"/>
        </w:rPr>
        <w:t>, London: Routledge.</w:t>
      </w:r>
    </w:p>
    <w:p w14:paraId="400FDC81"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Jansson, J. (2018) ‘Building resilience, demolishing accountability? The role of Europol in counter-terrorism’, </w:t>
      </w:r>
      <w:r w:rsidRPr="00F20BCA">
        <w:rPr>
          <w:rFonts w:asciiTheme="minorHAnsi" w:hAnsiTheme="minorHAnsi" w:cstheme="minorHAnsi"/>
          <w:i/>
          <w:iCs/>
          <w:lang w:val="en-US"/>
        </w:rPr>
        <w:t>Policing and Society</w:t>
      </w:r>
      <w:r w:rsidRPr="00F20BCA">
        <w:rPr>
          <w:rFonts w:asciiTheme="minorHAnsi" w:hAnsiTheme="minorHAnsi" w:cstheme="minorHAnsi"/>
          <w:lang w:val="en-US"/>
        </w:rPr>
        <w:t xml:space="preserve">, 28 (4): 432-447. </w:t>
      </w:r>
    </w:p>
    <w:p w14:paraId="3B8B2438" w14:textId="77777777" w:rsidR="00F20BCA" w:rsidRPr="00F20BCA" w:rsidRDefault="00F20BCA" w:rsidP="00A947ED">
      <w:pPr>
        <w:ind w:left="709" w:hanging="709"/>
        <w:rPr>
          <w:rFonts w:asciiTheme="minorHAnsi" w:hAnsiTheme="minorHAnsi" w:cstheme="minorHAnsi"/>
          <w:lang w:val="en-GB"/>
        </w:rPr>
      </w:pPr>
      <w:proofErr w:type="spellStart"/>
      <w:r w:rsidRPr="00F20BCA">
        <w:rPr>
          <w:rFonts w:asciiTheme="minorHAnsi" w:hAnsiTheme="minorHAnsi" w:cstheme="minorHAnsi"/>
          <w:lang w:val="en-GB"/>
        </w:rPr>
        <w:lastRenderedPageBreak/>
        <w:t>Kaunert</w:t>
      </w:r>
      <w:proofErr w:type="spellEnd"/>
      <w:r w:rsidRPr="00F20BCA">
        <w:rPr>
          <w:rFonts w:asciiTheme="minorHAnsi" w:hAnsiTheme="minorHAnsi" w:cstheme="minorHAnsi"/>
          <w:lang w:val="en-GB"/>
        </w:rPr>
        <w:t xml:space="preserve">, C., &amp; Léonard, S. (2019) ‘The collective securitisation of terrorism in the European Union’, </w:t>
      </w:r>
      <w:r w:rsidRPr="00F20BCA">
        <w:rPr>
          <w:rFonts w:asciiTheme="minorHAnsi" w:hAnsiTheme="minorHAnsi" w:cstheme="minorHAnsi"/>
          <w:i/>
          <w:iCs/>
          <w:lang w:val="en-GB"/>
        </w:rPr>
        <w:t>West European Politics</w:t>
      </w:r>
      <w:r w:rsidRPr="00F20BCA">
        <w:rPr>
          <w:rFonts w:asciiTheme="minorHAnsi" w:hAnsiTheme="minorHAnsi" w:cstheme="minorHAnsi"/>
          <w:lang w:val="en-GB"/>
        </w:rPr>
        <w:t xml:space="preserve">, </w:t>
      </w:r>
      <w:r w:rsidRPr="00F20BCA">
        <w:rPr>
          <w:rFonts w:asciiTheme="minorHAnsi" w:hAnsiTheme="minorHAnsi" w:cstheme="minorHAnsi"/>
          <w:i/>
          <w:iCs/>
          <w:lang w:val="en-GB"/>
        </w:rPr>
        <w:t xml:space="preserve">42 </w:t>
      </w:r>
      <w:r w:rsidRPr="00F20BCA">
        <w:rPr>
          <w:rFonts w:asciiTheme="minorHAnsi" w:hAnsiTheme="minorHAnsi" w:cstheme="minorHAnsi"/>
          <w:lang w:val="en-GB"/>
        </w:rPr>
        <w:t>(2): 261-277.</w:t>
      </w:r>
    </w:p>
    <w:p w14:paraId="63F94CA3"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GB"/>
        </w:rPr>
        <w:t>Kaunert</w:t>
      </w:r>
      <w:proofErr w:type="spellEnd"/>
      <w:r w:rsidRPr="00F20BCA">
        <w:rPr>
          <w:rFonts w:asciiTheme="minorHAnsi" w:hAnsiTheme="minorHAnsi" w:cstheme="minorHAnsi"/>
          <w:lang w:val="en-GB"/>
        </w:rPr>
        <w:t xml:space="preserve">, </w:t>
      </w:r>
      <w:r w:rsidRPr="00F20BCA">
        <w:rPr>
          <w:rFonts w:asciiTheme="minorHAnsi" w:hAnsiTheme="minorHAnsi" w:cstheme="minorHAnsi"/>
          <w:lang w:val="en-US"/>
        </w:rPr>
        <w:t>C.</w:t>
      </w:r>
      <w:r w:rsidRPr="00F20BCA">
        <w:rPr>
          <w:rFonts w:asciiTheme="minorHAnsi" w:hAnsiTheme="minorHAnsi" w:cstheme="minorHAnsi"/>
          <w:lang w:val="en-GB"/>
        </w:rPr>
        <w:t xml:space="preserve">, </w:t>
      </w:r>
      <w:r w:rsidRPr="00F20BCA">
        <w:rPr>
          <w:rFonts w:asciiTheme="minorHAnsi" w:hAnsiTheme="minorHAnsi" w:cstheme="minorHAnsi"/>
          <w:lang w:val="en-US"/>
        </w:rPr>
        <w:t>S.</w:t>
      </w:r>
      <w:r w:rsidRPr="00F20BCA">
        <w:rPr>
          <w:rFonts w:asciiTheme="minorHAnsi" w:hAnsiTheme="minorHAnsi" w:cstheme="minorHAnsi"/>
          <w:lang w:val="en-GB"/>
        </w:rPr>
        <w:t xml:space="preserve"> Léonard, and </w:t>
      </w:r>
      <w:r w:rsidRPr="00F20BCA">
        <w:rPr>
          <w:rFonts w:asciiTheme="minorHAnsi" w:hAnsiTheme="minorHAnsi" w:cstheme="minorHAnsi"/>
          <w:lang w:val="en-US"/>
        </w:rPr>
        <w:t>O.</w:t>
      </w:r>
      <w:r w:rsidRPr="00F20BCA">
        <w:rPr>
          <w:rFonts w:asciiTheme="minorHAnsi" w:hAnsiTheme="minorHAnsi" w:cstheme="minorHAnsi"/>
          <w:lang w:val="en-GB"/>
        </w:rPr>
        <w:t xml:space="preserve"> </w:t>
      </w:r>
      <w:proofErr w:type="spellStart"/>
      <w:r w:rsidRPr="00F20BCA">
        <w:rPr>
          <w:rFonts w:asciiTheme="minorHAnsi" w:hAnsiTheme="minorHAnsi" w:cstheme="minorHAnsi"/>
          <w:lang w:val="en-GB"/>
        </w:rPr>
        <w:t>Wertman</w:t>
      </w:r>
      <w:proofErr w:type="spellEnd"/>
      <w:r w:rsidRPr="00F20BCA">
        <w:rPr>
          <w:rFonts w:asciiTheme="minorHAnsi" w:hAnsiTheme="minorHAnsi" w:cstheme="minorHAnsi"/>
          <w:lang w:val="en-US"/>
        </w:rPr>
        <w:t xml:space="preserve"> (2020) ‘</w:t>
      </w:r>
      <w:r w:rsidRPr="00F20BCA">
        <w:rPr>
          <w:rFonts w:asciiTheme="minorHAnsi" w:hAnsiTheme="minorHAnsi" w:cstheme="minorHAnsi"/>
          <w:lang w:val="en-GB"/>
        </w:rPr>
        <w:t>EU Counter-Terrorism Cooperation with the Middle East and North Africa</w:t>
      </w:r>
      <w:r w:rsidRPr="00F20BCA">
        <w:rPr>
          <w:rFonts w:asciiTheme="minorHAnsi" w:hAnsiTheme="minorHAnsi" w:cstheme="minorHAnsi"/>
          <w:lang w:val="en-US"/>
        </w:rPr>
        <w:t>’, in</w:t>
      </w:r>
      <w:r w:rsidRPr="00F20BCA">
        <w:rPr>
          <w:rFonts w:asciiTheme="minorHAnsi" w:hAnsiTheme="minorHAnsi" w:cstheme="minorHAnsi"/>
          <w:lang w:val="en-GB"/>
        </w:rPr>
        <w:t xml:space="preserve"> Cusumano E., </w:t>
      </w:r>
      <w:r w:rsidRPr="00F20BCA">
        <w:rPr>
          <w:rFonts w:asciiTheme="minorHAnsi" w:hAnsiTheme="minorHAnsi" w:cstheme="minorHAnsi"/>
          <w:lang w:val="en-US"/>
        </w:rPr>
        <w:t xml:space="preserve">and S. </w:t>
      </w:r>
      <w:proofErr w:type="spellStart"/>
      <w:r w:rsidRPr="00F20BCA">
        <w:rPr>
          <w:rFonts w:asciiTheme="minorHAnsi" w:hAnsiTheme="minorHAnsi" w:cstheme="minorHAnsi"/>
          <w:lang w:val="en-GB"/>
        </w:rPr>
        <w:t>Hofmaier</w:t>
      </w:r>
      <w:proofErr w:type="spellEnd"/>
      <w:r w:rsidRPr="00F20BCA">
        <w:rPr>
          <w:rFonts w:asciiTheme="minorHAnsi" w:hAnsiTheme="minorHAnsi" w:cstheme="minorHAnsi"/>
          <w:lang w:val="en-GB"/>
        </w:rPr>
        <w:t xml:space="preserve"> (eds</w:t>
      </w:r>
      <w:r w:rsidRPr="00F20BCA">
        <w:rPr>
          <w:rFonts w:asciiTheme="minorHAnsi" w:hAnsiTheme="minorHAnsi" w:cstheme="minorHAnsi"/>
          <w:lang w:val="en-US"/>
        </w:rPr>
        <w:t>.</w:t>
      </w:r>
      <w:r w:rsidRPr="00F20BCA">
        <w:rPr>
          <w:rFonts w:asciiTheme="minorHAnsi" w:hAnsiTheme="minorHAnsi" w:cstheme="minorHAnsi"/>
          <w:lang w:val="en-GB"/>
        </w:rPr>
        <w:t xml:space="preserve">) </w:t>
      </w:r>
      <w:r w:rsidRPr="00F20BCA">
        <w:rPr>
          <w:rFonts w:asciiTheme="minorHAnsi" w:hAnsiTheme="minorHAnsi" w:cstheme="minorHAnsi"/>
          <w:i/>
          <w:iCs/>
          <w:lang w:val="en-GB"/>
        </w:rPr>
        <w:t>Projecting Resilience Across the Mediterranean</w:t>
      </w:r>
      <w:r w:rsidRPr="00F20BCA">
        <w:rPr>
          <w:rFonts w:asciiTheme="minorHAnsi" w:hAnsiTheme="minorHAnsi" w:cstheme="minorHAnsi"/>
          <w:lang w:val="en-GB"/>
        </w:rPr>
        <w:t xml:space="preserve">, </w:t>
      </w:r>
      <w:r w:rsidRPr="00F20BCA">
        <w:rPr>
          <w:rFonts w:asciiTheme="minorHAnsi" w:hAnsiTheme="minorHAnsi" w:cstheme="minorHAnsi"/>
          <w:lang w:val="en-US"/>
        </w:rPr>
        <w:t xml:space="preserve">London: </w:t>
      </w:r>
      <w:r w:rsidRPr="00F20BCA">
        <w:rPr>
          <w:rFonts w:asciiTheme="minorHAnsi" w:hAnsiTheme="minorHAnsi" w:cstheme="minorHAnsi"/>
          <w:lang w:val="en-GB"/>
        </w:rPr>
        <w:t>Palgrave Macmillan</w:t>
      </w:r>
      <w:r w:rsidRPr="00F20BCA">
        <w:rPr>
          <w:rFonts w:asciiTheme="minorHAnsi" w:hAnsiTheme="minorHAnsi" w:cstheme="minorHAnsi"/>
          <w:lang w:val="en-US"/>
        </w:rPr>
        <w:t>.</w:t>
      </w:r>
    </w:p>
    <w:p w14:paraId="6DFDF050"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Lavut</w:t>
      </w:r>
      <w:proofErr w:type="spellEnd"/>
      <w:r w:rsidRPr="00F20BCA">
        <w:rPr>
          <w:rFonts w:asciiTheme="minorHAnsi" w:hAnsiTheme="minorHAnsi" w:cstheme="minorHAnsi"/>
          <w:lang w:val="en-US"/>
        </w:rPr>
        <w:t xml:space="preserve">, L. (2016) Building Partnerships Towards a Democratic Police Force in the Post-Revolutionary Tunisia Context. </w:t>
      </w:r>
      <w:r w:rsidRPr="00F20BCA">
        <w:rPr>
          <w:rFonts w:asciiTheme="minorHAnsi" w:hAnsiTheme="minorHAnsi" w:cstheme="minorHAnsi"/>
          <w:i/>
          <w:iCs/>
          <w:lang w:val="en-US"/>
        </w:rPr>
        <w:t xml:space="preserve">Journal for </w:t>
      </w:r>
      <w:proofErr w:type="spellStart"/>
      <w:r w:rsidRPr="00F20BCA">
        <w:rPr>
          <w:rFonts w:asciiTheme="minorHAnsi" w:hAnsiTheme="minorHAnsi" w:cstheme="minorHAnsi"/>
          <w:i/>
          <w:iCs/>
          <w:lang w:val="en-US"/>
        </w:rPr>
        <w:t>Deradicalisation</w:t>
      </w:r>
      <w:proofErr w:type="spellEnd"/>
      <w:r w:rsidRPr="00F20BCA">
        <w:rPr>
          <w:rFonts w:asciiTheme="minorHAnsi" w:hAnsiTheme="minorHAnsi" w:cstheme="minorHAnsi"/>
          <w:lang w:val="en-US"/>
        </w:rPr>
        <w:t xml:space="preserve">. Vol 8. </w:t>
      </w:r>
    </w:p>
    <w:p w14:paraId="41F92ADE" w14:textId="52C8510C" w:rsid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Lefebvre, S. (2003) ‘The Difficulties and Dilemmas of International Intelligence Cooperation’, </w:t>
      </w:r>
      <w:r w:rsidRPr="00F20BCA">
        <w:rPr>
          <w:rFonts w:asciiTheme="minorHAnsi" w:hAnsiTheme="minorHAnsi" w:cstheme="minorHAnsi"/>
          <w:i/>
          <w:iCs/>
          <w:lang w:val="en-US"/>
        </w:rPr>
        <w:t xml:space="preserve">International Journal of Intelligence and </w:t>
      </w:r>
      <w:proofErr w:type="gramStart"/>
      <w:r w:rsidRPr="00F20BCA">
        <w:rPr>
          <w:rFonts w:asciiTheme="minorHAnsi" w:hAnsiTheme="minorHAnsi" w:cstheme="minorHAnsi"/>
          <w:i/>
          <w:iCs/>
          <w:lang w:val="en-US"/>
        </w:rPr>
        <w:t>Counter Intelligence</w:t>
      </w:r>
      <w:proofErr w:type="gramEnd"/>
      <w:r w:rsidRPr="00F20BCA">
        <w:rPr>
          <w:rFonts w:asciiTheme="minorHAnsi" w:hAnsiTheme="minorHAnsi" w:cstheme="minorHAnsi"/>
          <w:lang w:val="en-US"/>
        </w:rPr>
        <w:t>, 16 (4): 527-542.</w:t>
      </w:r>
    </w:p>
    <w:p w14:paraId="55980DB6" w14:textId="623DC1C3" w:rsidR="00BE60C9" w:rsidRPr="00DE3F1E" w:rsidRDefault="00310DF4" w:rsidP="00A947ED">
      <w:pPr>
        <w:ind w:left="709" w:hanging="709"/>
        <w:rPr>
          <w:rFonts w:asciiTheme="minorHAnsi" w:hAnsiTheme="minorHAnsi" w:cstheme="minorHAnsi"/>
          <w:lang w:val="en-US"/>
        </w:rPr>
      </w:pPr>
      <w:r>
        <w:rPr>
          <w:rFonts w:asciiTheme="minorHAnsi" w:hAnsiTheme="minorHAnsi" w:cstheme="minorHAnsi"/>
          <w:lang w:val="en-US"/>
        </w:rPr>
        <w:t xml:space="preserve">Léonard, S &amp; </w:t>
      </w:r>
      <w:proofErr w:type="spellStart"/>
      <w:r>
        <w:rPr>
          <w:rFonts w:asciiTheme="minorHAnsi" w:hAnsiTheme="minorHAnsi" w:cstheme="minorHAnsi"/>
          <w:lang w:val="en-US"/>
        </w:rPr>
        <w:t>Kaunert</w:t>
      </w:r>
      <w:proofErr w:type="spellEnd"/>
      <w:r>
        <w:rPr>
          <w:rFonts w:asciiTheme="minorHAnsi" w:hAnsiTheme="minorHAnsi" w:cstheme="minorHAnsi"/>
          <w:lang w:val="en-US"/>
        </w:rPr>
        <w:t>, C (2020) ‘</w:t>
      </w:r>
      <w:r w:rsidRPr="00310DF4">
        <w:rPr>
          <w:rFonts w:asciiTheme="minorHAnsi" w:hAnsiTheme="minorHAnsi" w:cstheme="minorHAnsi"/>
          <w:lang w:val="en-US"/>
        </w:rPr>
        <w:t xml:space="preserve">The </w:t>
      </w:r>
      <w:proofErr w:type="spellStart"/>
      <w:r w:rsidRPr="00310DF4">
        <w:rPr>
          <w:rFonts w:asciiTheme="minorHAnsi" w:hAnsiTheme="minorHAnsi" w:cstheme="minorHAnsi"/>
          <w:lang w:val="en-US"/>
        </w:rPr>
        <w:t>securitisation</w:t>
      </w:r>
      <w:proofErr w:type="spellEnd"/>
      <w:r w:rsidRPr="00310DF4">
        <w:rPr>
          <w:rFonts w:asciiTheme="minorHAnsi" w:hAnsiTheme="minorHAnsi" w:cstheme="minorHAnsi"/>
          <w:lang w:val="en-US"/>
        </w:rPr>
        <w:t xml:space="preserve"> of migration in the European Union: Frontex and its evolving security practices</w:t>
      </w:r>
      <w:r>
        <w:rPr>
          <w:rFonts w:asciiTheme="minorHAnsi" w:hAnsiTheme="minorHAnsi" w:cstheme="minorHAnsi"/>
          <w:lang w:val="en-US"/>
        </w:rPr>
        <w:t xml:space="preserve">’, </w:t>
      </w:r>
      <w:r w:rsidRPr="00310DF4">
        <w:rPr>
          <w:rFonts w:asciiTheme="minorHAnsi" w:hAnsiTheme="minorHAnsi" w:cstheme="minorHAnsi"/>
          <w:i/>
          <w:iCs/>
          <w:lang w:val="en-US"/>
        </w:rPr>
        <w:t>Journal of Ethnic and Migration Studies</w:t>
      </w:r>
      <w:r>
        <w:rPr>
          <w:rFonts w:asciiTheme="minorHAnsi" w:hAnsiTheme="minorHAnsi" w:cstheme="minorHAnsi"/>
          <w:lang w:val="en-US"/>
        </w:rPr>
        <w:t>.</w:t>
      </w:r>
      <w:r w:rsidRPr="00310DF4">
        <w:rPr>
          <w:lang w:val="en-US"/>
        </w:rPr>
        <w:t xml:space="preserve"> </w:t>
      </w:r>
      <w:r w:rsidRPr="00310DF4">
        <w:rPr>
          <w:rFonts w:asciiTheme="minorHAnsi" w:hAnsiTheme="minorHAnsi" w:cstheme="minorHAnsi"/>
          <w:lang w:val="en-US"/>
        </w:rPr>
        <w:t>DOI: 10.1080/1369183X.2020.1851469</w:t>
      </w:r>
    </w:p>
    <w:p w14:paraId="0EEE5F97"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Ljubus</w:t>
      </w:r>
      <w:proofErr w:type="spellEnd"/>
      <w:r w:rsidRPr="00F20BCA">
        <w:rPr>
          <w:rFonts w:asciiTheme="minorHAnsi" w:hAnsiTheme="minorHAnsi" w:cstheme="minorHAnsi"/>
          <w:lang w:val="en-US"/>
        </w:rPr>
        <w:t>, Z. (2020) Malta delays start of European Prosecutors Office</w:t>
      </w:r>
      <w:r w:rsidRPr="00F20BCA">
        <w:rPr>
          <w:rFonts w:asciiTheme="minorHAnsi" w:hAnsiTheme="minorHAnsi" w:cstheme="minorHAnsi"/>
          <w:i/>
          <w:lang w:val="en-US"/>
        </w:rPr>
        <w:t xml:space="preserve">. </w:t>
      </w:r>
      <w:proofErr w:type="spellStart"/>
      <w:r w:rsidRPr="00F20BCA">
        <w:rPr>
          <w:rFonts w:asciiTheme="minorHAnsi" w:hAnsiTheme="minorHAnsi" w:cstheme="minorHAnsi"/>
          <w:i/>
          <w:lang w:val="en-US"/>
        </w:rPr>
        <w:t>Organised</w:t>
      </w:r>
      <w:proofErr w:type="spellEnd"/>
      <w:r w:rsidRPr="00F20BCA">
        <w:rPr>
          <w:rFonts w:asciiTheme="minorHAnsi" w:hAnsiTheme="minorHAnsi" w:cstheme="minorHAnsi"/>
          <w:i/>
          <w:lang w:val="en-US"/>
        </w:rPr>
        <w:t xml:space="preserve"> crime and corruption reporting project</w:t>
      </w:r>
      <w:r w:rsidRPr="00F20BCA">
        <w:rPr>
          <w:rFonts w:asciiTheme="minorHAnsi" w:hAnsiTheme="minorHAnsi" w:cstheme="minorHAnsi"/>
          <w:lang w:val="en-US"/>
        </w:rPr>
        <w:t xml:space="preserve">. Available at: </w:t>
      </w:r>
      <w:hyperlink r:id="rId20" w:history="1">
        <w:r w:rsidRPr="00F20BCA">
          <w:rPr>
            <w:rStyle w:val="Hyperlink"/>
            <w:rFonts w:asciiTheme="minorHAnsi" w:hAnsiTheme="minorHAnsi" w:cstheme="minorHAnsi"/>
            <w:lang w:val="en-US"/>
          </w:rPr>
          <w:t>https://www.occrp.org/en/daily/12375-malta-delays-start-of-european-prosecutor-s-operation</w:t>
        </w:r>
      </w:hyperlink>
      <w:r w:rsidRPr="00F20BCA">
        <w:rPr>
          <w:rFonts w:asciiTheme="minorHAnsi" w:hAnsiTheme="minorHAnsi" w:cstheme="minorHAnsi"/>
          <w:lang w:val="en-US"/>
        </w:rPr>
        <w:t xml:space="preserve"> Accessed: 8</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of October 2020</w:t>
      </w:r>
    </w:p>
    <w:p w14:paraId="69D5EEA2"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Monar</w:t>
      </w:r>
      <w:proofErr w:type="spellEnd"/>
      <w:r w:rsidRPr="00F20BCA">
        <w:rPr>
          <w:rFonts w:asciiTheme="minorHAnsi" w:hAnsiTheme="minorHAnsi" w:cstheme="minorHAnsi"/>
          <w:lang w:val="en-US"/>
        </w:rPr>
        <w:t xml:space="preserve">, J. (2014) ‘EU internal security governance: the case of counter terrorism’, </w:t>
      </w:r>
      <w:r w:rsidRPr="00F20BCA">
        <w:rPr>
          <w:rFonts w:asciiTheme="minorHAnsi" w:hAnsiTheme="minorHAnsi" w:cstheme="minorHAnsi"/>
          <w:i/>
          <w:iCs/>
          <w:lang w:val="en-US"/>
        </w:rPr>
        <w:t>European Security</w:t>
      </w:r>
      <w:r w:rsidRPr="00F20BCA">
        <w:rPr>
          <w:rFonts w:asciiTheme="minorHAnsi" w:hAnsiTheme="minorHAnsi" w:cstheme="minorHAnsi"/>
          <w:lang w:val="en-US"/>
        </w:rPr>
        <w:t>, 23 (2): 195-209.</w:t>
      </w:r>
    </w:p>
    <w:p w14:paraId="4F30A154"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Mortera</w:t>
      </w:r>
      <w:proofErr w:type="spellEnd"/>
      <w:r w:rsidRPr="00F20BCA">
        <w:rPr>
          <w:rFonts w:asciiTheme="minorHAnsi" w:hAnsiTheme="minorHAnsi" w:cstheme="minorHAnsi"/>
          <w:lang w:val="en-US"/>
        </w:rPr>
        <w:t xml:space="preserve">-Martinez, C. (2019a) ‘Catch me if you can: The European Arrest Warrant and the End of Mutual Trust’, </w:t>
      </w:r>
      <w:r w:rsidRPr="00F20BCA">
        <w:rPr>
          <w:rFonts w:asciiTheme="minorHAnsi" w:hAnsiTheme="minorHAnsi" w:cstheme="minorHAnsi"/>
          <w:i/>
          <w:iCs/>
          <w:lang w:val="en-US"/>
        </w:rPr>
        <w:t>Centre for European Reform</w:t>
      </w:r>
      <w:r w:rsidRPr="00F20BCA">
        <w:rPr>
          <w:rFonts w:asciiTheme="minorHAnsi" w:hAnsiTheme="minorHAnsi" w:cstheme="minorHAnsi"/>
          <w:lang w:val="en-US"/>
        </w:rPr>
        <w:t xml:space="preserve">. </w:t>
      </w:r>
    </w:p>
    <w:p w14:paraId="17AA039C" w14:textId="7AFDC5A8"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Mortera</w:t>
      </w:r>
      <w:proofErr w:type="spellEnd"/>
      <w:r w:rsidRPr="00F20BCA">
        <w:rPr>
          <w:rFonts w:asciiTheme="minorHAnsi" w:hAnsiTheme="minorHAnsi" w:cstheme="minorHAnsi"/>
          <w:lang w:val="en-US"/>
        </w:rPr>
        <w:t>-Martinez, C. (</w:t>
      </w:r>
      <w:r w:rsidR="00020EAD">
        <w:rPr>
          <w:rFonts w:asciiTheme="minorHAnsi" w:hAnsiTheme="minorHAnsi" w:cstheme="minorHAnsi"/>
          <w:lang w:val="en-US"/>
        </w:rPr>
        <w:t>2019b) ‘The EU’s Security Union</w:t>
      </w:r>
      <w:r w:rsidRPr="00F20BCA">
        <w:rPr>
          <w:rFonts w:asciiTheme="minorHAnsi" w:hAnsiTheme="minorHAnsi" w:cstheme="minorHAnsi"/>
          <w:lang w:val="en-US"/>
        </w:rPr>
        <w:t xml:space="preserve">: A Bill of Health’, </w:t>
      </w:r>
      <w:r w:rsidRPr="00F20BCA">
        <w:rPr>
          <w:rFonts w:asciiTheme="minorHAnsi" w:hAnsiTheme="minorHAnsi" w:cstheme="minorHAnsi"/>
          <w:i/>
          <w:iCs/>
          <w:lang w:val="en-US"/>
        </w:rPr>
        <w:t>Centre for European Reform</w:t>
      </w:r>
      <w:r w:rsidRPr="00F20BCA">
        <w:rPr>
          <w:rFonts w:asciiTheme="minorHAnsi" w:hAnsiTheme="minorHAnsi" w:cstheme="minorHAnsi"/>
          <w:lang w:val="en-US"/>
        </w:rPr>
        <w:t xml:space="preserve">. </w:t>
      </w:r>
    </w:p>
    <w:p w14:paraId="70594751"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Neumann, P.R. (2013) ‘The Trouble with </w:t>
      </w:r>
      <w:proofErr w:type="spellStart"/>
      <w:r w:rsidRPr="00F20BCA">
        <w:rPr>
          <w:rFonts w:asciiTheme="minorHAnsi" w:hAnsiTheme="minorHAnsi" w:cstheme="minorHAnsi"/>
          <w:lang w:val="en-US"/>
        </w:rPr>
        <w:t>Radicalisation</w:t>
      </w:r>
      <w:proofErr w:type="spellEnd"/>
      <w:r w:rsidRPr="00F20BCA">
        <w:rPr>
          <w:rFonts w:asciiTheme="minorHAnsi" w:hAnsiTheme="minorHAnsi" w:cstheme="minorHAnsi"/>
          <w:lang w:val="en-US"/>
        </w:rPr>
        <w:t xml:space="preserve">’, </w:t>
      </w:r>
      <w:r w:rsidRPr="00F20BCA">
        <w:rPr>
          <w:rFonts w:asciiTheme="minorHAnsi" w:hAnsiTheme="minorHAnsi" w:cstheme="minorHAnsi"/>
          <w:i/>
          <w:iCs/>
          <w:lang w:val="en-US"/>
        </w:rPr>
        <w:t>International Affairs.</w:t>
      </w:r>
      <w:r w:rsidRPr="00F20BCA">
        <w:rPr>
          <w:rFonts w:asciiTheme="minorHAnsi" w:hAnsiTheme="minorHAnsi" w:cstheme="minorHAnsi"/>
          <w:lang w:val="en-US"/>
        </w:rPr>
        <w:t xml:space="preserve"> 89(4): 873–893.  </w:t>
      </w:r>
    </w:p>
    <w:p w14:paraId="2C11F1DA"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Ou</w:t>
      </w:r>
      <w:proofErr w:type="spellEnd"/>
      <w:r w:rsidRPr="00F20BCA">
        <w:rPr>
          <w:rFonts w:asciiTheme="minorHAnsi" w:hAnsiTheme="minorHAnsi" w:cstheme="minorHAnsi"/>
          <w:lang w:val="en-US"/>
        </w:rPr>
        <w:t xml:space="preserve">, A. (2016) ‘Hearts and Minds: A Comparison of Counter-Radicalization Strategies in Britain and the United States’, </w:t>
      </w:r>
      <w:r w:rsidRPr="00F20BCA">
        <w:rPr>
          <w:rFonts w:asciiTheme="minorHAnsi" w:hAnsiTheme="minorHAnsi" w:cstheme="minorHAnsi"/>
          <w:i/>
          <w:iCs/>
          <w:lang w:val="en-US"/>
        </w:rPr>
        <w:t xml:space="preserve">Cornell International Affairs Review, </w:t>
      </w:r>
      <w:r w:rsidRPr="00F20BCA">
        <w:rPr>
          <w:rFonts w:asciiTheme="minorHAnsi" w:hAnsiTheme="minorHAnsi" w:cstheme="minorHAnsi"/>
          <w:lang w:val="en-US"/>
        </w:rPr>
        <w:t xml:space="preserve">9 (2). </w:t>
      </w:r>
    </w:p>
    <w:p w14:paraId="477802C0"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Parliament. House of Lords (2008) </w:t>
      </w:r>
      <w:r w:rsidRPr="00F20BCA">
        <w:rPr>
          <w:rFonts w:asciiTheme="minorHAnsi" w:hAnsiTheme="minorHAnsi" w:cstheme="minorHAnsi"/>
          <w:i/>
          <w:iCs/>
          <w:lang w:val="en-US"/>
        </w:rPr>
        <w:t>The European Union – 29</w:t>
      </w:r>
      <w:r w:rsidRPr="00F20BCA">
        <w:rPr>
          <w:rFonts w:asciiTheme="minorHAnsi" w:hAnsiTheme="minorHAnsi" w:cstheme="minorHAnsi"/>
          <w:i/>
          <w:iCs/>
          <w:vertAlign w:val="superscript"/>
          <w:lang w:val="en-US"/>
        </w:rPr>
        <w:t>th</w:t>
      </w:r>
      <w:r w:rsidRPr="00F20BCA">
        <w:rPr>
          <w:rFonts w:asciiTheme="minorHAnsi" w:hAnsiTheme="minorHAnsi" w:cstheme="minorHAnsi"/>
          <w:i/>
          <w:iCs/>
          <w:lang w:val="en-US"/>
        </w:rPr>
        <w:t xml:space="preserve"> Report</w:t>
      </w:r>
      <w:r w:rsidRPr="00F20BCA">
        <w:rPr>
          <w:rFonts w:asciiTheme="minorHAnsi" w:hAnsiTheme="minorHAnsi" w:cstheme="minorHAnsi"/>
          <w:lang w:val="en-US"/>
        </w:rPr>
        <w:t>. 2007-2008 (29) London: The Stationery Office</w:t>
      </w:r>
    </w:p>
    <w:p w14:paraId="5A05F93E"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Rhinardt</w:t>
      </w:r>
      <w:proofErr w:type="spellEnd"/>
      <w:r w:rsidRPr="00F20BCA">
        <w:rPr>
          <w:rFonts w:asciiTheme="minorHAnsi" w:hAnsiTheme="minorHAnsi" w:cstheme="minorHAnsi"/>
          <w:lang w:val="en-US"/>
        </w:rPr>
        <w:t xml:space="preserve">, M., A. </w:t>
      </w:r>
      <w:proofErr w:type="spellStart"/>
      <w:r w:rsidRPr="00F20BCA">
        <w:rPr>
          <w:rFonts w:asciiTheme="minorHAnsi" w:hAnsiTheme="minorHAnsi" w:cstheme="minorHAnsi"/>
          <w:lang w:val="en-US"/>
        </w:rPr>
        <w:t>Boin</w:t>
      </w:r>
      <w:proofErr w:type="spellEnd"/>
      <w:r w:rsidRPr="00F20BCA">
        <w:rPr>
          <w:rFonts w:asciiTheme="minorHAnsi" w:hAnsiTheme="minorHAnsi" w:cstheme="minorHAnsi"/>
          <w:lang w:val="en-US"/>
        </w:rPr>
        <w:t xml:space="preserve"> and M. </w:t>
      </w:r>
      <w:proofErr w:type="spellStart"/>
      <w:r w:rsidRPr="00F20BCA">
        <w:rPr>
          <w:rFonts w:asciiTheme="minorHAnsi" w:hAnsiTheme="minorHAnsi" w:cstheme="minorHAnsi"/>
          <w:lang w:val="en-US"/>
        </w:rPr>
        <w:t>Ekengren</w:t>
      </w:r>
      <w:proofErr w:type="spellEnd"/>
      <w:r w:rsidRPr="00F20BCA">
        <w:rPr>
          <w:rFonts w:asciiTheme="minorHAnsi" w:hAnsiTheme="minorHAnsi" w:cstheme="minorHAnsi"/>
          <w:lang w:val="en-US"/>
        </w:rPr>
        <w:t xml:space="preserve"> (2007) ‘Managing Terrorism: Institutional Capacities and Counter-Terrorism Policy in the EU’, in Spence, V. (ed.), </w:t>
      </w:r>
      <w:r w:rsidRPr="00F20BCA">
        <w:rPr>
          <w:rFonts w:asciiTheme="minorHAnsi" w:hAnsiTheme="minorHAnsi" w:cstheme="minorHAnsi"/>
          <w:i/>
          <w:iCs/>
          <w:lang w:val="en-US"/>
        </w:rPr>
        <w:t>The European Union and Terrorism</w:t>
      </w:r>
      <w:r w:rsidRPr="00F20BCA">
        <w:rPr>
          <w:rFonts w:asciiTheme="minorHAnsi" w:hAnsiTheme="minorHAnsi" w:cstheme="minorHAnsi"/>
          <w:lang w:val="en-US"/>
        </w:rPr>
        <w:t>, London: John Harper.</w:t>
      </w:r>
    </w:p>
    <w:p w14:paraId="3237B46A"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Rusu</w:t>
      </w:r>
      <w:proofErr w:type="spellEnd"/>
      <w:r w:rsidRPr="00F20BCA">
        <w:rPr>
          <w:rFonts w:asciiTheme="minorHAnsi" w:hAnsiTheme="minorHAnsi" w:cstheme="minorHAnsi"/>
          <w:lang w:val="en-US"/>
        </w:rPr>
        <w:t xml:space="preserve">, I. M. B. (2012) ‘The European Arrest Warrant’, </w:t>
      </w:r>
      <w:r w:rsidRPr="00F20BCA">
        <w:rPr>
          <w:rFonts w:asciiTheme="minorHAnsi" w:hAnsiTheme="minorHAnsi" w:cstheme="minorHAnsi"/>
          <w:i/>
          <w:iCs/>
          <w:lang w:val="en-US"/>
        </w:rPr>
        <w:t>International Conference on</w:t>
      </w:r>
      <w:r w:rsidRPr="00F20BCA">
        <w:rPr>
          <w:rFonts w:asciiTheme="minorHAnsi" w:hAnsiTheme="minorHAnsi" w:cstheme="minorHAnsi"/>
          <w:lang w:val="en-US"/>
        </w:rPr>
        <w:t xml:space="preserve"> </w:t>
      </w:r>
      <w:r w:rsidRPr="00F20BCA">
        <w:rPr>
          <w:rFonts w:asciiTheme="minorHAnsi" w:hAnsiTheme="minorHAnsi" w:cstheme="minorHAnsi"/>
          <w:i/>
          <w:iCs/>
          <w:lang w:val="en-US"/>
        </w:rPr>
        <w:t>European Integration Realities and Perspectives</w:t>
      </w:r>
      <w:r w:rsidRPr="00F20BCA">
        <w:rPr>
          <w:rFonts w:asciiTheme="minorHAnsi" w:hAnsiTheme="minorHAnsi" w:cstheme="minorHAnsi"/>
          <w:lang w:val="en-US"/>
        </w:rPr>
        <w:t>, 7</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Edition </w:t>
      </w:r>
      <w:proofErr w:type="spellStart"/>
      <w:r w:rsidRPr="00F20BCA">
        <w:rPr>
          <w:rFonts w:asciiTheme="minorHAnsi" w:hAnsiTheme="minorHAnsi" w:cstheme="minorHAnsi"/>
          <w:lang w:val="en-US"/>
        </w:rPr>
        <w:t>Danubius</w:t>
      </w:r>
      <w:proofErr w:type="spellEnd"/>
      <w:r w:rsidRPr="00F20BCA">
        <w:rPr>
          <w:rFonts w:asciiTheme="minorHAnsi" w:hAnsiTheme="minorHAnsi" w:cstheme="minorHAnsi"/>
          <w:lang w:val="en-US"/>
        </w:rPr>
        <w:t xml:space="preserve"> University May 18, 2012 – May 19: 21-34. </w:t>
      </w:r>
    </w:p>
    <w:p w14:paraId="1E1107C6" w14:textId="77777777"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GB"/>
        </w:rPr>
        <w:t xml:space="preserve">Samaan, J. L., &amp; Jacobs, A. (2020) ‘Countering jihadist terrorism: A comparative analysis of French and German experience’, </w:t>
      </w:r>
      <w:r w:rsidRPr="00F20BCA">
        <w:rPr>
          <w:rFonts w:asciiTheme="minorHAnsi" w:hAnsiTheme="minorHAnsi" w:cstheme="minorHAnsi"/>
          <w:i/>
          <w:iCs/>
          <w:lang w:val="en-GB"/>
        </w:rPr>
        <w:t>Terrorism and Political Violence</w:t>
      </w:r>
      <w:r w:rsidRPr="00F20BCA">
        <w:rPr>
          <w:rFonts w:asciiTheme="minorHAnsi" w:hAnsiTheme="minorHAnsi" w:cstheme="minorHAnsi"/>
          <w:lang w:val="en-GB"/>
        </w:rPr>
        <w:t xml:space="preserve">, </w:t>
      </w:r>
      <w:r w:rsidRPr="00F20BCA">
        <w:rPr>
          <w:rFonts w:asciiTheme="minorHAnsi" w:hAnsiTheme="minorHAnsi" w:cstheme="minorHAnsi"/>
          <w:i/>
          <w:iCs/>
          <w:lang w:val="en-GB"/>
        </w:rPr>
        <w:t xml:space="preserve">32 </w:t>
      </w:r>
      <w:r w:rsidRPr="00F20BCA">
        <w:rPr>
          <w:rFonts w:asciiTheme="minorHAnsi" w:hAnsiTheme="minorHAnsi" w:cstheme="minorHAnsi"/>
          <w:lang w:val="en-GB"/>
        </w:rPr>
        <w:t>(2): 401-415.</w:t>
      </w:r>
    </w:p>
    <w:p w14:paraId="0E63F26D" w14:textId="47AE4125" w:rsidR="00F20BCA" w:rsidRPr="00F20BCA" w:rsidRDefault="00020EAD" w:rsidP="00A947ED">
      <w:pPr>
        <w:ind w:left="709" w:hanging="709"/>
        <w:rPr>
          <w:rFonts w:asciiTheme="minorHAnsi" w:hAnsiTheme="minorHAnsi" w:cstheme="minorHAnsi"/>
          <w:lang w:val="en-US"/>
        </w:rPr>
      </w:pPr>
      <w:r>
        <w:rPr>
          <w:rFonts w:asciiTheme="minorHAnsi" w:hAnsiTheme="minorHAnsi" w:cstheme="minorHAnsi"/>
          <w:lang w:val="en-US"/>
        </w:rPr>
        <w:t>Said, B.</w:t>
      </w:r>
      <w:r w:rsidR="00F20BCA" w:rsidRPr="00F20BCA">
        <w:rPr>
          <w:rFonts w:asciiTheme="minorHAnsi" w:hAnsiTheme="minorHAnsi" w:cstheme="minorHAnsi"/>
          <w:lang w:val="en-US"/>
        </w:rPr>
        <w:t xml:space="preserve"> T</w:t>
      </w:r>
      <w:r>
        <w:rPr>
          <w:rFonts w:asciiTheme="minorHAnsi" w:hAnsiTheme="minorHAnsi" w:cstheme="minorHAnsi"/>
          <w:lang w:val="en-US"/>
        </w:rPr>
        <w:t>.</w:t>
      </w:r>
      <w:r w:rsidR="00F20BCA" w:rsidRPr="00F20BCA">
        <w:rPr>
          <w:rFonts w:asciiTheme="minorHAnsi" w:hAnsiTheme="minorHAnsi" w:cstheme="minorHAnsi"/>
          <w:lang w:val="en-US"/>
        </w:rPr>
        <w:t xml:space="preserve"> &amp; Fouad, H</w:t>
      </w:r>
      <w:r>
        <w:rPr>
          <w:rFonts w:asciiTheme="minorHAnsi" w:hAnsiTheme="minorHAnsi" w:cstheme="minorHAnsi"/>
          <w:lang w:val="en-US"/>
        </w:rPr>
        <w:t>.</w:t>
      </w:r>
      <w:r w:rsidR="00F20BCA" w:rsidRPr="00F20BCA">
        <w:rPr>
          <w:rFonts w:asciiTheme="minorHAnsi" w:hAnsiTheme="minorHAnsi" w:cstheme="minorHAnsi"/>
          <w:lang w:val="en-US"/>
        </w:rPr>
        <w:t xml:space="preserve"> (2018) ‘Countering Islamist </w:t>
      </w:r>
      <w:proofErr w:type="spellStart"/>
      <w:r w:rsidR="00F20BCA" w:rsidRPr="00F20BCA">
        <w:rPr>
          <w:rFonts w:asciiTheme="minorHAnsi" w:hAnsiTheme="minorHAnsi" w:cstheme="minorHAnsi"/>
          <w:lang w:val="en-US"/>
        </w:rPr>
        <w:t>Radicalisation</w:t>
      </w:r>
      <w:proofErr w:type="spellEnd"/>
      <w:r w:rsidR="00F20BCA" w:rsidRPr="00F20BCA">
        <w:rPr>
          <w:rFonts w:asciiTheme="minorHAnsi" w:hAnsiTheme="minorHAnsi" w:cstheme="minorHAnsi"/>
          <w:lang w:val="en-US"/>
        </w:rPr>
        <w:t xml:space="preserve"> in Germany: A Guide to Germany’s Growing Prevention Infrastructure’, </w:t>
      </w:r>
      <w:r w:rsidR="00F20BCA" w:rsidRPr="00F20BCA">
        <w:rPr>
          <w:rFonts w:asciiTheme="minorHAnsi" w:hAnsiTheme="minorHAnsi" w:cstheme="minorHAnsi"/>
          <w:i/>
          <w:iCs/>
          <w:lang w:val="en-US"/>
        </w:rPr>
        <w:t xml:space="preserve">ICCT Policy Brief. </w:t>
      </w:r>
      <w:r w:rsidR="00F20BCA" w:rsidRPr="00020EAD">
        <w:rPr>
          <w:rFonts w:asciiTheme="minorHAnsi" w:hAnsiTheme="minorHAnsi" w:cstheme="minorHAnsi"/>
          <w:iCs/>
          <w:lang w:val="en-US"/>
        </w:rPr>
        <w:t xml:space="preserve">The International Centre for </w:t>
      </w:r>
      <w:proofErr w:type="gramStart"/>
      <w:r w:rsidR="00F20BCA" w:rsidRPr="00020EAD">
        <w:rPr>
          <w:rFonts w:asciiTheme="minorHAnsi" w:hAnsiTheme="minorHAnsi" w:cstheme="minorHAnsi"/>
          <w:iCs/>
          <w:lang w:val="en-US"/>
        </w:rPr>
        <w:t>Counter-Terrorism</w:t>
      </w:r>
      <w:proofErr w:type="gramEnd"/>
      <w:r w:rsidR="00F20BCA" w:rsidRPr="00020EAD">
        <w:rPr>
          <w:rFonts w:asciiTheme="minorHAnsi" w:hAnsiTheme="minorHAnsi" w:cstheme="minorHAnsi"/>
          <w:iCs/>
          <w:lang w:val="en-US"/>
        </w:rPr>
        <w:t>:</w:t>
      </w:r>
      <w:r w:rsidR="00F20BCA" w:rsidRPr="00F20BCA">
        <w:rPr>
          <w:rFonts w:asciiTheme="minorHAnsi" w:hAnsiTheme="minorHAnsi" w:cstheme="minorHAnsi"/>
          <w:lang w:val="en-US"/>
        </w:rPr>
        <w:t xml:space="preserve"> The Hague. </w:t>
      </w:r>
    </w:p>
    <w:p w14:paraId="2B57FB9E" w14:textId="77777777"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Sheptycki</w:t>
      </w:r>
      <w:proofErr w:type="spellEnd"/>
      <w:r w:rsidRPr="00F20BCA">
        <w:rPr>
          <w:rFonts w:asciiTheme="minorHAnsi" w:hAnsiTheme="minorHAnsi" w:cstheme="minorHAnsi"/>
          <w:lang w:val="en-US"/>
        </w:rPr>
        <w:t xml:space="preserve">, J.W.E. (2002) </w:t>
      </w:r>
      <w:r w:rsidRPr="00F20BCA">
        <w:rPr>
          <w:rFonts w:asciiTheme="minorHAnsi" w:hAnsiTheme="minorHAnsi" w:cstheme="minorHAnsi"/>
          <w:i/>
          <w:iCs/>
          <w:lang w:val="en-US"/>
        </w:rPr>
        <w:t>In Search of Transnational Policing: Towards a Sociology</w:t>
      </w:r>
      <w:r w:rsidRPr="00F20BCA">
        <w:rPr>
          <w:rFonts w:asciiTheme="minorHAnsi" w:hAnsiTheme="minorHAnsi" w:cstheme="minorHAnsi"/>
          <w:lang w:val="en-US"/>
        </w:rPr>
        <w:t xml:space="preserve">. </w:t>
      </w:r>
      <w:proofErr w:type="spellStart"/>
      <w:r w:rsidRPr="00F20BCA">
        <w:rPr>
          <w:rFonts w:asciiTheme="minorHAnsi" w:hAnsiTheme="minorHAnsi" w:cstheme="minorHAnsi"/>
          <w:lang w:val="en-US"/>
        </w:rPr>
        <w:t>Aldershot</w:t>
      </w:r>
      <w:proofErr w:type="spellEnd"/>
      <w:r w:rsidRPr="00F20BCA">
        <w:rPr>
          <w:rFonts w:asciiTheme="minorHAnsi" w:hAnsiTheme="minorHAnsi" w:cstheme="minorHAnsi"/>
          <w:lang w:val="en-US"/>
        </w:rPr>
        <w:t xml:space="preserve">: Ashgate. </w:t>
      </w:r>
    </w:p>
    <w:p w14:paraId="695CA2D4" w14:textId="2B25F49E" w:rsid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US"/>
        </w:rPr>
        <w:t xml:space="preserve">Stephens, W., S. </w:t>
      </w:r>
      <w:proofErr w:type="spellStart"/>
      <w:r w:rsidRPr="00F20BCA">
        <w:rPr>
          <w:rFonts w:asciiTheme="minorHAnsi" w:hAnsiTheme="minorHAnsi" w:cstheme="minorHAnsi"/>
          <w:lang w:val="en-US"/>
        </w:rPr>
        <w:t>Sieckelinck</w:t>
      </w:r>
      <w:proofErr w:type="spellEnd"/>
      <w:r w:rsidRPr="00F20BCA">
        <w:rPr>
          <w:rFonts w:asciiTheme="minorHAnsi" w:hAnsiTheme="minorHAnsi" w:cstheme="minorHAnsi"/>
          <w:lang w:val="en-US"/>
        </w:rPr>
        <w:t xml:space="preserve">, and H. </w:t>
      </w:r>
      <w:proofErr w:type="spellStart"/>
      <w:r w:rsidRPr="00F20BCA">
        <w:rPr>
          <w:rFonts w:asciiTheme="minorHAnsi" w:hAnsiTheme="minorHAnsi" w:cstheme="minorHAnsi"/>
          <w:lang w:val="en-US"/>
        </w:rPr>
        <w:t>Boutellier</w:t>
      </w:r>
      <w:proofErr w:type="spellEnd"/>
      <w:r w:rsidRPr="00F20BCA">
        <w:rPr>
          <w:rFonts w:asciiTheme="minorHAnsi" w:hAnsiTheme="minorHAnsi" w:cstheme="minorHAnsi"/>
          <w:lang w:val="en-US"/>
        </w:rPr>
        <w:t xml:space="preserve"> (2019) ‘Preventing Violent Extremism: A Review of the Literature’, </w:t>
      </w:r>
      <w:r w:rsidRPr="00F20BCA">
        <w:rPr>
          <w:rFonts w:asciiTheme="minorHAnsi" w:hAnsiTheme="minorHAnsi" w:cstheme="minorHAnsi"/>
          <w:i/>
          <w:iCs/>
          <w:lang w:val="en-US"/>
        </w:rPr>
        <w:t>Studies in Conflict &amp; Terrorism,</w:t>
      </w:r>
      <w:r w:rsidRPr="00F20BCA">
        <w:rPr>
          <w:rFonts w:asciiTheme="minorHAnsi" w:hAnsiTheme="minorHAnsi" w:cstheme="minorHAnsi"/>
          <w:lang w:val="en-US"/>
        </w:rPr>
        <w:t> Online First: 1-16.</w:t>
      </w:r>
    </w:p>
    <w:p w14:paraId="1F416AD5" w14:textId="719F2E8D" w:rsidR="00BB0B01" w:rsidRPr="00020EAD" w:rsidRDefault="00BB0B01" w:rsidP="00020EAD">
      <w:pPr>
        <w:ind w:left="709" w:hanging="709"/>
        <w:rPr>
          <w:rFonts w:asciiTheme="minorHAnsi" w:hAnsiTheme="minorHAnsi" w:cstheme="minorHAnsi"/>
          <w:i/>
          <w:iCs/>
          <w:lang w:val="en-US"/>
        </w:rPr>
      </w:pPr>
      <w:r>
        <w:rPr>
          <w:rFonts w:asciiTheme="minorHAnsi" w:hAnsiTheme="minorHAnsi" w:cstheme="minorHAnsi"/>
          <w:lang w:val="en-US"/>
        </w:rPr>
        <w:t>Sweeney, S</w:t>
      </w:r>
      <w:r w:rsidR="00020EAD">
        <w:rPr>
          <w:rFonts w:asciiTheme="minorHAnsi" w:hAnsiTheme="minorHAnsi" w:cstheme="minorHAnsi"/>
          <w:lang w:val="en-US"/>
        </w:rPr>
        <w:t>.</w:t>
      </w:r>
      <w:r>
        <w:rPr>
          <w:rFonts w:asciiTheme="minorHAnsi" w:hAnsiTheme="minorHAnsi" w:cstheme="minorHAnsi"/>
          <w:lang w:val="en-US"/>
        </w:rPr>
        <w:t xml:space="preserve"> &amp; Winn, N</w:t>
      </w:r>
      <w:r w:rsidR="00020EAD">
        <w:rPr>
          <w:rFonts w:asciiTheme="minorHAnsi" w:hAnsiTheme="minorHAnsi" w:cstheme="minorHAnsi"/>
          <w:lang w:val="en-US"/>
        </w:rPr>
        <w:t>.</w:t>
      </w:r>
      <w:r>
        <w:rPr>
          <w:rFonts w:asciiTheme="minorHAnsi" w:hAnsiTheme="minorHAnsi" w:cstheme="minorHAnsi"/>
          <w:lang w:val="en-US"/>
        </w:rPr>
        <w:t xml:space="preserve"> (2021) ‘</w:t>
      </w:r>
      <w:r w:rsidRPr="00BB0B01">
        <w:rPr>
          <w:rFonts w:asciiTheme="minorHAnsi" w:hAnsiTheme="minorHAnsi" w:cstheme="minorHAnsi"/>
          <w:lang w:val="en-US"/>
        </w:rPr>
        <w:t>Do or die? The UK, the EU, and internal/external security cooperation after Brexit</w:t>
      </w:r>
      <w:r>
        <w:rPr>
          <w:rFonts w:asciiTheme="minorHAnsi" w:hAnsiTheme="minorHAnsi" w:cstheme="minorHAnsi"/>
          <w:lang w:val="en-US"/>
        </w:rPr>
        <w:t xml:space="preserve">’, </w:t>
      </w:r>
      <w:r>
        <w:rPr>
          <w:rFonts w:asciiTheme="minorHAnsi" w:hAnsiTheme="minorHAnsi" w:cstheme="minorHAnsi"/>
          <w:i/>
          <w:iCs/>
          <w:lang w:val="en-US"/>
        </w:rPr>
        <w:t xml:space="preserve">European Political Science, </w:t>
      </w:r>
      <w:r w:rsidRPr="00BB0B01">
        <w:rPr>
          <w:rFonts w:asciiTheme="minorHAnsi" w:hAnsiTheme="minorHAnsi" w:cstheme="minorHAnsi"/>
          <w:lang w:val="en-US"/>
        </w:rPr>
        <w:t>Online first: 1-18</w:t>
      </w:r>
    </w:p>
    <w:p w14:paraId="19708A17" w14:textId="77777777"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US"/>
        </w:rPr>
        <w:t>UN General Assembly (</w:t>
      </w:r>
      <w:r w:rsidRPr="00F20BCA">
        <w:rPr>
          <w:rFonts w:asciiTheme="minorHAnsi" w:hAnsiTheme="minorHAnsi" w:cstheme="minorHAnsi"/>
          <w:lang w:val="en-GB"/>
        </w:rPr>
        <w:t>2015) Plan of Action to Prevent Violent Extremism: Report of the Secretary-General, A/70/674, 24 December 2015, para. 44.</w:t>
      </w:r>
    </w:p>
    <w:p w14:paraId="0D6E4E47" w14:textId="77777777" w:rsidR="00F20BCA" w:rsidRPr="00F20BCA" w:rsidRDefault="00F20BCA" w:rsidP="00A947ED">
      <w:pPr>
        <w:ind w:left="709" w:hanging="709"/>
        <w:rPr>
          <w:rFonts w:asciiTheme="minorHAnsi" w:hAnsiTheme="minorHAnsi" w:cstheme="minorHAnsi"/>
          <w:lang w:val="en-GB"/>
        </w:rPr>
      </w:pPr>
      <w:r w:rsidRPr="00F20BCA">
        <w:rPr>
          <w:rFonts w:asciiTheme="minorHAnsi" w:hAnsiTheme="minorHAnsi" w:cstheme="minorHAnsi"/>
          <w:lang w:val="en-GB"/>
        </w:rPr>
        <w:lastRenderedPageBreak/>
        <w:t xml:space="preserve">Van </w:t>
      </w:r>
      <w:proofErr w:type="spellStart"/>
      <w:r w:rsidRPr="00F20BCA">
        <w:rPr>
          <w:rFonts w:asciiTheme="minorHAnsi" w:hAnsiTheme="minorHAnsi" w:cstheme="minorHAnsi"/>
          <w:lang w:val="en-GB"/>
        </w:rPr>
        <w:t>Dongen</w:t>
      </w:r>
      <w:proofErr w:type="spellEnd"/>
      <w:r w:rsidRPr="00F20BCA">
        <w:rPr>
          <w:rFonts w:asciiTheme="minorHAnsi" w:hAnsiTheme="minorHAnsi" w:cstheme="minorHAnsi"/>
          <w:lang w:val="en-GB"/>
        </w:rPr>
        <w:t xml:space="preserve">, T. (2010) ‘Mapping counterterrorism: A categorisation of policies and the promise of empirically based, systematic comparisons’, </w:t>
      </w:r>
      <w:r w:rsidRPr="00F20BCA">
        <w:rPr>
          <w:rFonts w:asciiTheme="minorHAnsi" w:hAnsiTheme="minorHAnsi" w:cstheme="minorHAnsi"/>
          <w:i/>
          <w:iCs/>
          <w:lang w:val="en-GB"/>
        </w:rPr>
        <w:t>Critical Studies on Terrorism</w:t>
      </w:r>
      <w:r w:rsidRPr="00F20BCA">
        <w:rPr>
          <w:rFonts w:asciiTheme="minorHAnsi" w:hAnsiTheme="minorHAnsi" w:cstheme="minorHAnsi"/>
          <w:lang w:val="en-GB"/>
        </w:rPr>
        <w:t xml:space="preserve">, </w:t>
      </w:r>
      <w:r w:rsidRPr="00F20BCA">
        <w:rPr>
          <w:rFonts w:asciiTheme="minorHAnsi" w:hAnsiTheme="minorHAnsi" w:cstheme="minorHAnsi"/>
          <w:i/>
          <w:iCs/>
          <w:lang w:val="en-GB"/>
        </w:rPr>
        <w:t xml:space="preserve">3 </w:t>
      </w:r>
      <w:r w:rsidRPr="00F20BCA">
        <w:rPr>
          <w:rFonts w:asciiTheme="minorHAnsi" w:hAnsiTheme="minorHAnsi" w:cstheme="minorHAnsi"/>
          <w:lang w:val="en-GB"/>
        </w:rPr>
        <w:t>(2):  227-241.</w:t>
      </w:r>
    </w:p>
    <w:p w14:paraId="5BBDBCED" w14:textId="77777777" w:rsidR="00F20BCA" w:rsidRPr="00F20BCA" w:rsidRDefault="00F20BCA" w:rsidP="00A947ED">
      <w:pPr>
        <w:ind w:left="709" w:hanging="709"/>
        <w:rPr>
          <w:rFonts w:asciiTheme="minorHAnsi" w:hAnsiTheme="minorHAnsi" w:cstheme="minorHAnsi"/>
          <w:lang w:val="en-US"/>
        </w:rPr>
      </w:pPr>
      <w:r w:rsidRPr="00F20BCA">
        <w:rPr>
          <w:rFonts w:asciiTheme="minorHAnsi" w:hAnsiTheme="minorHAnsi" w:cstheme="minorHAnsi"/>
          <w:lang w:val="en-GB"/>
        </w:rPr>
        <w:t xml:space="preserve">Vaughan-Williams, </w:t>
      </w:r>
      <w:r w:rsidRPr="00F20BCA">
        <w:rPr>
          <w:rFonts w:asciiTheme="minorHAnsi" w:hAnsiTheme="minorHAnsi" w:cstheme="minorHAnsi"/>
          <w:lang w:val="en-US"/>
        </w:rPr>
        <w:t>N</w:t>
      </w:r>
      <w:r w:rsidRPr="00F20BCA">
        <w:rPr>
          <w:rFonts w:asciiTheme="minorHAnsi" w:hAnsiTheme="minorHAnsi" w:cstheme="minorHAnsi"/>
          <w:lang w:val="en-GB"/>
        </w:rPr>
        <w:t xml:space="preserve">. </w:t>
      </w:r>
      <w:r w:rsidRPr="00F20BCA">
        <w:rPr>
          <w:rFonts w:asciiTheme="minorHAnsi" w:hAnsiTheme="minorHAnsi" w:cstheme="minorHAnsi"/>
          <w:lang w:val="en-US"/>
        </w:rPr>
        <w:t xml:space="preserve">(2015) </w:t>
      </w:r>
      <w:r w:rsidRPr="00F20BCA">
        <w:rPr>
          <w:rFonts w:asciiTheme="minorHAnsi" w:hAnsiTheme="minorHAnsi" w:cstheme="minorHAnsi"/>
          <w:i/>
          <w:iCs/>
          <w:lang w:val="en-GB"/>
        </w:rPr>
        <w:t xml:space="preserve">Europe's border crisis: Biopolitical </w:t>
      </w:r>
      <w:r w:rsidRPr="00F20BCA">
        <w:rPr>
          <w:rFonts w:asciiTheme="minorHAnsi" w:hAnsiTheme="minorHAnsi" w:cstheme="minorHAnsi"/>
          <w:i/>
          <w:iCs/>
          <w:lang w:val="en-US"/>
        </w:rPr>
        <w:t>S</w:t>
      </w:r>
      <w:proofErr w:type="spellStart"/>
      <w:r w:rsidRPr="00F20BCA">
        <w:rPr>
          <w:rFonts w:asciiTheme="minorHAnsi" w:hAnsiTheme="minorHAnsi" w:cstheme="minorHAnsi"/>
          <w:i/>
          <w:iCs/>
          <w:lang w:val="en-GB"/>
        </w:rPr>
        <w:t>ecurity</w:t>
      </w:r>
      <w:proofErr w:type="spellEnd"/>
      <w:r w:rsidRPr="00F20BCA">
        <w:rPr>
          <w:rFonts w:asciiTheme="minorHAnsi" w:hAnsiTheme="minorHAnsi" w:cstheme="minorHAnsi"/>
          <w:i/>
          <w:iCs/>
          <w:lang w:val="en-GB"/>
        </w:rPr>
        <w:t xml:space="preserve"> and </w:t>
      </w:r>
      <w:r w:rsidRPr="00F20BCA">
        <w:rPr>
          <w:rFonts w:asciiTheme="minorHAnsi" w:hAnsiTheme="minorHAnsi" w:cstheme="minorHAnsi"/>
          <w:i/>
          <w:iCs/>
          <w:lang w:val="en-US"/>
        </w:rPr>
        <w:t>B</w:t>
      </w:r>
      <w:proofErr w:type="spellStart"/>
      <w:r w:rsidRPr="00F20BCA">
        <w:rPr>
          <w:rFonts w:asciiTheme="minorHAnsi" w:hAnsiTheme="minorHAnsi" w:cstheme="minorHAnsi"/>
          <w:i/>
          <w:iCs/>
          <w:lang w:val="en-GB"/>
        </w:rPr>
        <w:t>eyond</w:t>
      </w:r>
      <w:proofErr w:type="spellEnd"/>
      <w:r w:rsidRPr="00F20BCA">
        <w:rPr>
          <w:rFonts w:asciiTheme="minorHAnsi" w:hAnsiTheme="minorHAnsi" w:cstheme="minorHAnsi"/>
          <w:lang w:val="en-GB"/>
        </w:rPr>
        <w:t xml:space="preserve">. </w:t>
      </w:r>
      <w:r w:rsidRPr="00F20BCA">
        <w:rPr>
          <w:rFonts w:asciiTheme="minorHAnsi" w:hAnsiTheme="minorHAnsi" w:cstheme="minorHAnsi"/>
          <w:lang w:val="en-US"/>
        </w:rPr>
        <w:t xml:space="preserve">Oxford: </w:t>
      </w:r>
      <w:r w:rsidRPr="00F20BCA">
        <w:rPr>
          <w:rFonts w:asciiTheme="minorHAnsi" w:hAnsiTheme="minorHAnsi" w:cstheme="minorHAnsi"/>
          <w:lang w:val="en-GB"/>
        </w:rPr>
        <w:t>Oxford University Press</w:t>
      </w:r>
      <w:r w:rsidRPr="00F20BCA">
        <w:rPr>
          <w:rFonts w:asciiTheme="minorHAnsi" w:hAnsiTheme="minorHAnsi" w:cstheme="minorHAnsi"/>
          <w:lang w:val="en-US"/>
        </w:rPr>
        <w:t>.</w:t>
      </w:r>
    </w:p>
    <w:p w14:paraId="1905C6B6" w14:textId="3D0134C5" w:rsidR="00F20BCA" w:rsidRPr="00F20BCA"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Volpicelli</w:t>
      </w:r>
      <w:proofErr w:type="spellEnd"/>
      <w:r w:rsidRPr="00F20BCA">
        <w:rPr>
          <w:rFonts w:asciiTheme="minorHAnsi" w:hAnsiTheme="minorHAnsi" w:cstheme="minorHAnsi"/>
          <w:lang w:val="en-US"/>
        </w:rPr>
        <w:t>, G</w:t>
      </w:r>
      <w:r w:rsidR="00020EAD">
        <w:rPr>
          <w:rFonts w:asciiTheme="minorHAnsi" w:hAnsiTheme="minorHAnsi" w:cstheme="minorHAnsi"/>
          <w:lang w:val="en-US"/>
        </w:rPr>
        <w:t>.</w:t>
      </w:r>
      <w:r w:rsidRPr="00F20BCA">
        <w:rPr>
          <w:rFonts w:asciiTheme="minorHAnsi" w:hAnsiTheme="minorHAnsi" w:cstheme="minorHAnsi"/>
          <w:lang w:val="en-US"/>
        </w:rPr>
        <w:t xml:space="preserve"> (2019) ‘The curious tale of Julian, the last King of Brussels’, </w:t>
      </w:r>
      <w:r w:rsidRPr="00F20BCA">
        <w:rPr>
          <w:rFonts w:asciiTheme="minorHAnsi" w:hAnsiTheme="minorHAnsi" w:cstheme="minorHAnsi"/>
          <w:i/>
          <w:iCs/>
          <w:lang w:val="en-US"/>
        </w:rPr>
        <w:t>Wired</w:t>
      </w:r>
      <w:r w:rsidRPr="00F20BCA">
        <w:rPr>
          <w:rFonts w:asciiTheme="minorHAnsi" w:hAnsiTheme="minorHAnsi" w:cstheme="minorHAnsi"/>
          <w:lang w:val="en-US"/>
        </w:rPr>
        <w:t>, 28</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of October. Available at: </w:t>
      </w:r>
      <w:hyperlink r:id="rId21" w:history="1">
        <w:r w:rsidRPr="00F20BCA">
          <w:rPr>
            <w:rStyle w:val="Hyperlink"/>
            <w:rFonts w:asciiTheme="minorHAnsi" w:hAnsiTheme="minorHAnsi" w:cstheme="minorHAnsi"/>
            <w:lang w:val="en-US"/>
          </w:rPr>
          <w:t>https://www.wired.co.uk/article/the-last-king-of-brussels</w:t>
        </w:r>
      </w:hyperlink>
      <w:r w:rsidRPr="00F20BCA">
        <w:rPr>
          <w:rFonts w:asciiTheme="minorHAnsi" w:hAnsiTheme="minorHAnsi" w:cstheme="minorHAnsi"/>
          <w:lang w:val="en-US"/>
        </w:rPr>
        <w:t>. Accessed: 20</w:t>
      </w:r>
      <w:r w:rsidRPr="00F20BCA">
        <w:rPr>
          <w:rFonts w:asciiTheme="minorHAnsi" w:hAnsiTheme="minorHAnsi" w:cstheme="minorHAnsi"/>
          <w:vertAlign w:val="superscript"/>
          <w:lang w:val="en-US"/>
        </w:rPr>
        <w:t>th</w:t>
      </w:r>
      <w:r w:rsidRPr="00F20BCA">
        <w:rPr>
          <w:rFonts w:asciiTheme="minorHAnsi" w:hAnsiTheme="minorHAnsi" w:cstheme="minorHAnsi"/>
          <w:lang w:val="en-US"/>
        </w:rPr>
        <w:t xml:space="preserve"> of April.</w:t>
      </w:r>
    </w:p>
    <w:p w14:paraId="19D844F3" w14:textId="216C1BD3" w:rsidR="0017476A" w:rsidRPr="0022071B" w:rsidRDefault="00F20BCA" w:rsidP="00A947ED">
      <w:pPr>
        <w:ind w:left="709" w:hanging="709"/>
        <w:rPr>
          <w:rFonts w:asciiTheme="minorHAnsi" w:hAnsiTheme="minorHAnsi" w:cstheme="minorHAnsi"/>
          <w:lang w:val="en-US"/>
        </w:rPr>
      </w:pPr>
      <w:proofErr w:type="spellStart"/>
      <w:r w:rsidRPr="00F20BCA">
        <w:rPr>
          <w:rFonts w:asciiTheme="minorHAnsi" w:hAnsiTheme="minorHAnsi" w:cstheme="minorHAnsi"/>
          <w:lang w:val="en-US"/>
        </w:rPr>
        <w:t>Wolfstadter</w:t>
      </w:r>
      <w:proofErr w:type="spellEnd"/>
      <w:r w:rsidRPr="00F20BCA">
        <w:rPr>
          <w:rFonts w:asciiTheme="minorHAnsi" w:hAnsiTheme="minorHAnsi" w:cstheme="minorHAnsi"/>
          <w:lang w:val="en-US"/>
        </w:rPr>
        <w:t>, L.</w:t>
      </w:r>
      <w:r w:rsidR="00020EAD">
        <w:rPr>
          <w:rFonts w:asciiTheme="minorHAnsi" w:hAnsiTheme="minorHAnsi" w:cstheme="minorHAnsi"/>
          <w:lang w:val="en-US"/>
        </w:rPr>
        <w:t xml:space="preserve"> </w:t>
      </w:r>
      <w:r w:rsidRPr="00F20BCA">
        <w:rPr>
          <w:rFonts w:asciiTheme="minorHAnsi" w:hAnsiTheme="minorHAnsi" w:cstheme="minorHAnsi"/>
          <w:lang w:val="en-US"/>
        </w:rPr>
        <w:t>M</w:t>
      </w:r>
      <w:r w:rsidR="00020EAD">
        <w:rPr>
          <w:rFonts w:asciiTheme="minorHAnsi" w:hAnsiTheme="minorHAnsi" w:cstheme="minorHAnsi"/>
          <w:lang w:val="en-US"/>
        </w:rPr>
        <w:t>.</w:t>
      </w:r>
      <w:r w:rsidRPr="00F20BCA">
        <w:rPr>
          <w:rFonts w:asciiTheme="minorHAnsi" w:hAnsiTheme="minorHAnsi" w:cstheme="minorHAnsi"/>
          <w:lang w:val="en-US"/>
        </w:rPr>
        <w:t xml:space="preserve"> &amp; </w:t>
      </w:r>
      <w:proofErr w:type="spellStart"/>
      <w:r w:rsidRPr="00F20BCA">
        <w:rPr>
          <w:rFonts w:asciiTheme="minorHAnsi" w:hAnsiTheme="minorHAnsi" w:cstheme="minorHAnsi"/>
          <w:lang w:val="en-US"/>
        </w:rPr>
        <w:t>Kreilinger</w:t>
      </w:r>
      <w:proofErr w:type="spellEnd"/>
      <w:r w:rsidRPr="00F20BCA">
        <w:rPr>
          <w:rFonts w:asciiTheme="minorHAnsi" w:hAnsiTheme="minorHAnsi" w:cstheme="minorHAnsi"/>
          <w:lang w:val="en-US"/>
        </w:rPr>
        <w:t>, V</w:t>
      </w:r>
      <w:r w:rsidR="00020EAD">
        <w:rPr>
          <w:rFonts w:asciiTheme="minorHAnsi" w:hAnsiTheme="minorHAnsi" w:cstheme="minorHAnsi"/>
          <w:lang w:val="en-US"/>
        </w:rPr>
        <w:t>.</w:t>
      </w:r>
      <w:r w:rsidRPr="00F20BCA">
        <w:rPr>
          <w:rFonts w:asciiTheme="minorHAnsi" w:hAnsiTheme="minorHAnsi" w:cstheme="minorHAnsi"/>
          <w:lang w:val="en-US"/>
        </w:rPr>
        <w:t xml:space="preserve"> (2017) European Integration via Flexibility tools: the cases of EPPO and PESCO. Jacques </w:t>
      </w:r>
      <w:proofErr w:type="spellStart"/>
      <w:r w:rsidRPr="00F20BCA">
        <w:rPr>
          <w:rFonts w:asciiTheme="minorHAnsi" w:hAnsiTheme="minorHAnsi" w:cstheme="minorHAnsi"/>
          <w:lang w:val="en-US"/>
        </w:rPr>
        <w:t>Delors</w:t>
      </w:r>
      <w:proofErr w:type="spellEnd"/>
      <w:r w:rsidRPr="00F20BCA">
        <w:rPr>
          <w:rFonts w:asciiTheme="minorHAnsi" w:hAnsiTheme="minorHAnsi" w:cstheme="minorHAnsi"/>
          <w:lang w:val="en-US"/>
        </w:rPr>
        <w:t xml:space="preserve"> </w:t>
      </w:r>
      <w:proofErr w:type="spellStart"/>
      <w:r w:rsidRPr="00F20BCA">
        <w:rPr>
          <w:rFonts w:asciiTheme="minorHAnsi" w:hAnsiTheme="minorHAnsi" w:cstheme="minorHAnsi"/>
          <w:lang w:val="en-US"/>
        </w:rPr>
        <w:t>Institut</w:t>
      </w:r>
      <w:proofErr w:type="spellEnd"/>
      <w:r w:rsidRPr="00F20BCA">
        <w:rPr>
          <w:rFonts w:asciiTheme="minorHAnsi" w:hAnsiTheme="minorHAnsi" w:cstheme="minorHAnsi"/>
          <w:lang w:val="en-US"/>
        </w:rPr>
        <w:t xml:space="preserve"> Berlin. Policy paper 209: November 2017. </w:t>
      </w:r>
    </w:p>
    <w:sectPr w:rsidR="0017476A" w:rsidRPr="0022071B" w:rsidSect="007D5158">
      <w:footerReference w:type="even"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9E4A7" w14:textId="77777777" w:rsidR="005B63D1" w:rsidRDefault="005B63D1" w:rsidP="009D71F9">
      <w:r>
        <w:separator/>
      </w:r>
    </w:p>
  </w:endnote>
  <w:endnote w:type="continuationSeparator" w:id="0">
    <w:p w14:paraId="4E8992C8" w14:textId="77777777" w:rsidR="005B63D1" w:rsidRDefault="005B63D1" w:rsidP="009D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1164823"/>
      <w:docPartObj>
        <w:docPartGallery w:val="Page Numbers (Bottom of Page)"/>
        <w:docPartUnique/>
      </w:docPartObj>
    </w:sdtPr>
    <w:sdtEndPr>
      <w:rPr>
        <w:rStyle w:val="PageNumber"/>
      </w:rPr>
    </w:sdtEndPr>
    <w:sdtContent>
      <w:p w14:paraId="1058387C" w14:textId="77777777" w:rsidR="005D3E26" w:rsidRDefault="005D3E26" w:rsidP="008318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BBA00" w14:textId="77777777" w:rsidR="005D3E26" w:rsidRDefault="005D3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6957800"/>
      <w:docPartObj>
        <w:docPartGallery w:val="Page Numbers (Bottom of Page)"/>
        <w:docPartUnique/>
      </w:docPartObj>
    </w:sdtPr>
    <w:sdtEndPr>
      <w:rPr>
        <w:rStyle w:val="PageNumber"/>
      </w:rPr>
    </w:sdtEndPr>
    <w:sdtContent>
      <w:p w14:paraId="4EE726E9" w14:textId="0FF619ED" w:rsidR="005D3E26" w:rsidRDefault="005D3E26" w:rsidP="008318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4117E">
          <w:rPr>
            <w:rStyle w:val="PageNumber"/>
            <w:noProof/>
          </w:rPr>
          <w:t>4</w:t>
        </w:r>
        <w:r>
          <w:rPr>
            <w:rStyle w:val="PageNumber"/>
          </w:rPr>
          <w:fldChar w:fldCharType="end"/>
        </w:r>
      </w:p>
    </w:sdtContent>
  </w:sdt>
  <w:p w14:paraId="14CC9329" w14:textId="77777777" w:rsidR="005D3E26" w:rsidRDefault="005D3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8E7FF" w14:textId="77777777" w:rsidR="005B63D1" w:rsidRDefault="005B63D1" w:rsidP="009D71F9">
      <w:r>
        <w:separator/>
      </w:r>
    </w:p>
  </w:footnote>
  <w:footnote w:type="continuationSeparator" w:id="0">
    <w:p w14:paraId="4EFBD0A3" w14:textId="77777777" w:rsidR="005B63D1" w:rsidRDefault="005B63D1" w:rsidP="009D7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126AC"/>
    <w:multiLevelType w:val="hybridMultilevel"/>
    <w:tmpl w:val="E06ADD30"/>
    <w:lvl w:ilvl="0" w:tplc="CD26B24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3017B"/>
    <w:multiLevelType w:val="multilevel"/>
    <w:tmpl w:val="D8BE7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955E80"/>
    <w:multiLevelType w:val="multilevel"/>
    <w:tmpl w:val="2A2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40287"/>
    <w:multiLevelType w:val="multilevel"/>
    <w:tmpl w:val="5C2E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DD4DA4"/>
    <w:multiLevelType w:val="hybridMultilevel"/>
    <w:tmpl w:val="E10A0200"/>
    <w:lvl w:ilvl="0" w:tplc="8BE6A0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E50A7"/>
    <w:multiLevelType w:val="hybridMultilevel"/>
    <w:tmpl w:val="57C473F4"/>
    <w:lvl w:ilvl="0" w:tplc="8EB63F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831B9"/>
    <w:multiLevelType w:val="hybridMultilevel"/>
    <w:tmpl w:val="A2E0E9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F9"/>
    <w:rsid w:val="00001398"/>
    <w:rsid w:val="000016CA"/>
    <w:rsid w:val="00002A10"/>
    <w:rsid w:val="00006165"/>
    <w:rsid w:val="00007678"/>
    <w:rsid w:val="000106F3"/>
    <w:rsid w:val="0001555A"/>
    <w:rsid w:val="000163F1"/>
    <w:rsid w:val="000177A7"/>
    <w:rsid w:val="00020EAD"/>
    <w:rsid w:val="00021935"/>
    <w:rsid w:val="00022716"/>
    <w:rsid w:val="000227D3"/>
    <w:rsid w:val="00030305"/>
    <w:rsid w:val="000365AC"/>
    <w:rsid w:val="000376C4"/>
    <w:rsid w:val="000416D5"/>
    <w:rsid w:val="000417CC"/>
    <w:rsid w:val="0004255C"/>
    <w:rsid w:val="00042D02"/>
    <w:rsid w:val="000435AA"/>
    <w:rsid w:val="00043785"/>
    <w:rsid w:val="00044D60"/>
    <w:rsid w:val="00047084"/>
    <w:rsid w:val="0004763E"/>
    <w:rsid w:val="0005104B"/>
    <w:rsid w:val="00051C81"/>
    <w:rsid w:val="00053475"/>
    <w:rsid w:val="00054F88"/>
    <w:rsid w:val="00057D30"/>
    <w:rsid w:val="000616DA"/>
    <w:rsid w:val="00061FC5"/>
    <w:rsid w:val="000620A7"/>
    <w:rsid w:val="00063274"/>
    <w:rsid w:val="000658DD"/>
    <w:rsid w:val="00065BF4"/>
    <w:rsid w:val="0007092D"/>
    <w:rsid w:val="00072640"/>
    <w:rsid w:val="00072F67"/>
    <w:rsid w:val="000734A5"/>
    <w:rsid w:val="00074B48"/>
    <w:rsid w:val="00077007"/>
    <w:rsid w:val="000807F2"/>
    <w:rsid w:val="000814D5"/>
    <w:rsid w:val="00083C8A"/>
    <w:rsid w:val="0008418C"/>
    <w:rsid w:val="00084833"/>
    <w:rsid w:val="00086178"/>
    <w:rsid w:val="00087504"/>
    <w:rsid w:val="00090F45"/>
    <w:rsid w:val="0009136C"/>
    <w:rsid w:val="00091EB3"/>
    <w:rsid w:val="00091F5C"/>
    <w:rsid w:val="00097DE1"/>
    <w:rsid w:val="000A3602"/>
    <w:rsid w:val="000A5F82"/>
    <w:rsid w:val="000B4256"/>
    <w:rsid w:val="000B7B28"/>
    <w:rsid w:val="000C0ACA"/>
    <w:rsid w:val="000C3A6E"/>
    <w:rsid w:val="000C5800"/>
    <w:rsid w:val="000C7382"/>
    <w:rsid w:val="000D06D0"/>
    <w:rsid w:val="000D46D8"/>
    <w:rsid w:val="000D5806"/>
    <w:rsid w:val="000D5A1A"/>
    <w:rsid w:val="000D723B"/>
    <w:rsid w:val="000D7FD3"/>
    <w:rsid w:val="000E0293"/>
    <w:rsid w:val="000E3B81"/>
    <w:rsid w:val="000F659C"/>
    <w:rsid w:val="001023AD"/>
    <w:rsid w:val="001033F9"/>
    <w:rsid w:val="0010399E"/>
    <w:rsid w:val="00107A95"/>
    <w:rsid w:val="00110B8F"/>
    <w:rsid w:val="00112196"/>
    <w:rsid w:val="0011568E"/>
    <w:rsid w:val="001212A6"/>
    <w:rsid w:val="00121F39"/>
    <w:rsid w:val="00125022"/>
    <w:rsid w:val="00125787"/>
    <w:rsid w:val="001300D9"/>
    <w:rsid w:val="00130460"/>
    <w:rsid w:val="00132234"/>
    <w:rsid w:val="001325B3"/>
    <w:rsid w:val="00133705"/>
    <w:rsid w:val="00137276"/>
    <w:rsid w:val="00142E38"/>
    <w:rsid w:val="00143E4D"/>
    <w:rsid w:val="001451E8"/>
    <w:rsid w:val="00147245"/>
    <w:rsid w:val="00147BC3"/>
    <w:rsid w:val="00147E46"/>
    <w:rsid w:val="00147FEF"/>
    <w:rsid w:val="00150CFB"/>
    <w:rsid w:val="00154805"/>
    <w:rsid w:val="00155233"/>
    <w:rsid w:val="001648C9"/>
    <w:rsid w:val="00170289"/>
    <w:rsid w:val="00171EE4"/>
    <w:rsid w:val="00172385"/>
    <w:rsid w:val="0017476A"/>
    <w:rsid w:val="00174AB2"/>
    <w:rsid w:val="00176436"/>
    <w:rsid w:val="0018197B"/>
    <w:rsid w:val="00181E9F"/>
    <w:rsid w:val="00182687"/>
    <w:rsid w:val="00184EBE"/>
    <w:rsid w:val="00186A6B"/>
    <w:rsid w:val="00190B52"/>
    <w:rsid w:val="001914B6"/>
    <w:rsid w:val="00196271"/>
    <w:rsid w:val="001A3316"/>
    <w:rsid w:val="001A45E5"/>
    <w:rsid w:val="001A53D6"/>
    <w:rsid w:val="001B1533"/>
    <w:rsid w:val="001B3AD7"/>
    <w:rsid w:val="001B4305"/>
    <w:rsid w:val="001B51CF"/>
    <w:rsid w:val="001B7E63"/>
    <w:rsid w:val="001C307E"/>
    <w:rsid w:val="001C6CAF"/>
    <w:rsid w:val="001C6ED6"/>
    <w:rsid w:val="001D22E6"/>
    <w:rsid w:val="001D5B81"/>
    <w:rsid w:val="001E19E5"/>
    <w:rsid w:val="001E3C02"/>
    <w:rsid w:val="001E3C1D"/>
    <w:rsid w:val="001E6726"/>
    <w:rsid w:val="001F0284"/>
    <w:rsid w:val="001F290C"/>
    <w:rsid w:val="001F2BF6"/>
    <w:rsid w:val="001F6C51"/>
    <w:rsid w:val="00201809"/>
    <w:rsid w:val="0020452F"/>
    <w:rsid w:val="00205B22"/>
    <w:rsid w:val="00205D14"/>
    <w:rsid w:val="002075C6"/>
    <w:rsid w:val="002075E4"/>
    <w:rsid w:val="002120D0"/>
    <w:rsid w:val="00213764"/>
    <w:rsid w:val="00213CFE"/>
    <w:rsid w:val="00215AD6"/>
    <w:rsid w:val="00216FAF"/>
    <w:rsid w:val="002205F8"/>
    <w:rsid w:val="0022071B"/>
    <w:rsid w:val="00220858"/>
    <w:rsid w:val="00221A41"/>
    <w:rsid w:val="00221A65"/>
    <w:rsid w:val="002243FA"/>
    <w:rsid w:val="00224D9E"/>
    <w:rsid w:val="00231DB6"/>
    <w:rsid w:val="00232123"/>
    <w:rsid w:val="00232DD3"/>
    <w:rsid w:val="00234986"/>
    <w:rsid w:val="00237403"/>
    <w:rsid w:val="00243C79"/>
    <w:rsid w:val="002532AE"/>
    <w:rsid w:val="00253C9E"/>
    <w:rsid w:val="00262038"/>
    <w:rsid w:val="00264C68"/>
    <w:rsid w:val="00266127"/>
    <w:rsid w:val="00271365"/>
    <w:rsid w:val="00274B5C"/>
    <w:rsid w:val="0027645C"/>
    <w:rsid w:val="00281B3B"/>
    <w:rsid w:val="00281C87"/>
    <w:rsid w:val="002824DB"/>
    <w:rsid w:val="00286223"/>
    <w:rsid w:val="002866F5"/>
    <w:rsid w:val="00291374"/>
    <w:rsid w:val="002A125A"/>
    <w:rsid w:val="002A2E5A"/>
    <w:rsid w:val="002A41CF"/>
    <w:rsid w:val="002A5000"/>
    <w:rsid w:val="002A5EAC"/>
    <w:rsid w:val="002A619D"/>
    <w:rsid w:val="002A775B"/>
    <w:rsid w:val="002A7A91"/>
    <w:rsid w:val="002B24FE"/>
    <w:rsid w:val="002B2B18"/>
    <w:rsid w:val="002B38E9"/>
    <w:rsid w:val="002B5DD3"/>
    <w:rsid w:val="002B62CE"/>
    <w:rsid w:val="002C4A91"/>
    <w:rsid w:val="002C4F1B"/>
    <w:rsid w:val="002C66FE"/>
    <w:rsid w:val="002C72E6"/>
    <w:rsid w:val="002C7385"/>
    <w:rsid w:val="002C7949"/>
    <w:rsid w:val="002C7AE1"/>
    <w:rsid w:val="002D1761"/>
    <w:rsid w:val="002D504F"/>
    <w:rsid w:val="002D61DE"/>
    <w:rsid w:val="002D6998"/>
    <w:rsid w:val="002D6CBD"/>
    <w:rsid w:val="002E00AB"/>
    <w:rsid w:val="002E3BE1"/>
    <w:rsid w:val="002F01A6"/>
    <w:rsid w:val="002F122E"/>
    <w:rsid w:val="002F74A6"/>
    <w:rsid w:val="003003DF"/>
    <w:rsid w:val="00304B3F"/>
    <w:rsid w:val="0030581F"/>
    <w:rsid w:val="00310DF4"/>
    <w:rsid w:val="00312119"/>
    <w:rsid w:val="003176ED"/>
    <w:rsid w:val="00320659"/>
    <w:rsid w:val="00325B95"/>
    <w:rsid w:val="00326082"/>
    <w:rsid w:val="00327D44"/>
    <w:rsid w:val="00327F09"/>
    <w:rsid w:val="00332565"/>
    <w:rsid w:val="003345E9"/>
    <w:rsid w:val="00337428"/>
    <w:rsid w:val="00345D74"/>
    <w:rsid w:val="003473A5"/>
    <w:rsid w:val="0035241A"/>
    <w:rsid w:val="00354ACF"/>
    <w:rsid w:val="00355121"/>
    <w:rsid w:val="003556FB"/>
    <w:rsid w:val="003610E6"/>
    <w:rsid w:val="00361FFD"/>
    <w:rsid w:val="0036241D"/>
    <w:rsid w:val="00362545"/>
    <w:rsid w:val="00364029"/>
    <w:rsid w:val="0037098A"/>
    <w:rsid w:val="00375D04"/>
    <w:rsid w:val="003839E6"/>
    <w:rsid w:val="003851F3"/>
    <w:rsid w:val="00386111"/>
    <w:rsid w:val="00387713"/>
    <w:rsid w:val="003927AC"/>
    <w:rsid w:val="00395390"/>
    <w:rsid w:val="003A0C85"/>
    <w:rsid w:val="003A3726"/>
    <w:rsid w:val="003A3A1B"/>
    <w:rsid w:val="003A6033"/>
    <w:rsid w:val="003A62A0"/>
    <w:rsid w:val="003A6596"/>
    <w:rsid w:val="003A7A97"/>
    <w:rsid w:val="003B129A"/>
    <w:rsid w:val="003B1569"/>
    <w:rsid w:val="003B1910"/>
    <w:rsid w:val="003B58A9"/>
    <w:rsid w:val="003B6D2E"/>
    <w:rsid w:val="003C388F"/>
    <w:rsid w:val="003C482C"/>
    <w:rsid w:val="003C730A"/>
    <w:rsid w:val="003C7472"/>
    <w:rsid w:val="003D078D"/>
    <w:rsid w:val="003D170B"/>
    <w:rsid w:val="003D5485"/>
    <w:rsid w:val="003D6E53"/>
    <w:rsid w:val="003D6EE4"/>
    <w:rsid w:val="003E2193"/>
    <w:rsid w:val="003E3725"/>
    <w:rsid w:val="003E463A"/>
    <w:rsid w:val="003E537E"/>
    <w:rsid w:val="003E6212"/>
    <w:rsid w:val="003E65D5"/>
    <w:rsid w:val="003F014F"/>
    <w:rsid w:val="003F16EE"/>
    <w:rsid w:val="003F2C28"/>
    <w:rsid w:val="003F5ACD"/>
    <w:rsid w:val="003F66DD"/>
    <w:rsid w:val="003F6DA6"/>
    <w:rsid w:val="00400C56"/>
    <w:rsid w:val="004011CC"/>
    <w:rsid w:val="0040755A"/>
    <w:rsid w:val="00410598"/>
    <w:rsid w:val="00413BB3"/>
    <w:rsid w:val="00417104"/>
    <w:rsid w:val="00422322"/>
    <w:rsid w:val="00424AC7"/>
    <w:rsid w:val="004256D8"/>
    <w:rsid w:val="00426527"/>
    <w:rsid w:val="00426C55"/>
    <w:rsid w:val="004271F8"/>
    <w:rsid w:val="00427BBD"/>
    <w:rsid w:val="0043101A"/>
    <w:rsid w:val="004327F2"/>
    <w:rsid w:val="00432D3B"/>
    <w:rsid w:val="004344C0"/>
    <w:rsid w:val="004347E9"/>
    <w:rsid w:val="00435707"/>
    <w:rsid w:val="00441858"/>
    <w:rsid w:val="004426BD"/>
    <w:rsid w:val="0045280A"/>
    <w:rsid w:val="00454B53"/>
    <w:rsid w:val="004627A7"/>
    <w:rsid w:val="004641C4"/>
    <w:rsid w:val="0046630E"/>
    <w:rsid w:val="00474A53"/>
    <w:rsid w:val="00480163"/>
    <w:rsid w:val="004812B1"/>
    <w:rsid w:val="004909E2"/>
    <w:rsid w:val="004946CB"/>
    <w:rsid w:val="004A36D6"/>
    <w:rsid w:val="004B04D7"/>
    <w:rsid w:val="004B09CD"/>
    <w:rsid w:val="004B149D"/>
    <w:rsid w:val="004B3F2B"/>
    <w:rsid w:val="004C1C28"/>
    <w:rsid w:val="004C2615"/>
    <w:rsid w:val="004C2CBE"/>
    <w:rsid w:val="004C3148"/>
    <w:rsid w:val="004C34F1"/>
    <w:rsid w:val="004C36DC"/>
    <w:rsid w:val="004C4121"/>
    <w:rsid w:val="004C5BCA"/>
    <w:rsid w:val="004D305E"/>
    <w:rsid w:val="004D48D8"/>
    <w:rsid w:val="004D62A2"/>
    <w:rsid w:val="004E1CE9"/>
    <w:rsid w:val="004E7173"/>
    <w:rsid w:val="004F0FE8"/>
    <w:rsid w:val="004F347B"/>
    <w:rsid w:val="004F3D58"/>
    <w:rsid w:val="004F5EA6"/>
    <w:rsid w:val="004F664F"/>
    <w:rsid w:val="004F68A1"/>
    <w:rsid w:val="004F76A0"/>
    <w:rsid w:val="005047F1"/>
    <w:rsid w:val="0051161C"/>
    <w:rsid w:val="00512EC3"/>
    <w:rsid w:val="005153F1"/>
    <w:rsid w:val="00515E11"/>
    <w:rsid w:val="0052043E"/>
    <w:rsid w:val="0052400C"/>
    <w:rsid w:val="005249C5"/>
    <w:rsid w:val="005278C6"/>
    <w:rsid w:val="005327C8"/>
    <w:rsid w:val="00533CC6"/>
    <w:rsid w:val="00534CB7"/>
    <w:rsid w:val="00535349"/>
    <w:rsid w:val="00536425"/>
    <w:rsid w:val="005426AE"/>
    <w:rsid w:val="00542B4F"/>
    <w:rsid w:val="0054610D"/>
    <w:rsid w:val="00546DCF"/>
    <w:rsid w:val="00551041"/>
    <w:rsid w:val="00551F6E"/>
    <w:rsid w:val="005524EF"/>
    <w:rsid w:val="005537BD"/>
    <w:rsid w:val="00556F46"/>
    <w:rsid w:val="00560A81"/>
    <w:rsid w:val="00560ED1"/>
    <w:rsid w:val="00562AEC"/>
    <w:rsid w:val="00565F7C"/>
    <w:rsid w:val="0057243C"/>
    <w:rsid w:val="00573609"/>
    <w:rsid w:val="00581B10"/>
    <w:rsid w:val="00584F7F"/>
    <w:rsid w:val="00585E49"/>
    <w:rsid w:val="00587837"/>
    <w:rsid w:val="00587AA0"/>
    <w:rsid w:val="005913D3"/>
    <w:rsid w:val="005969FC"/>
    <w:rsid w:val="005A05A7"/>
    <w:rsid w:val="005A07E3"/>
    <w:rsid w:val="005A1C1F"/>
    <w:rsid w:val="005A5917"/>
    <w:rsid w:val="005A744D"/>
    <w:rsid w:val="005B085C"/>
    <w:rsid w:val="005B6221"/>
    <w:rsid w:val="005B63D1"/>
    <w:rsid w:val="005D1CE8"/>
    <w:rsid w:val="005D208B"/>
    <w:rsid w:val="005D3E26"/>
    <w:rsid w:val="005D414F"/>
    <w:rsid w:val="005D4F8A"/>
    <w:rsid w:val="005E42FB"/>
    <w:rsid w:val="005E4768"/>
    <w:rsid w:val="005E6160"/>
    <w:rsid w:val="005E71C8"/>
    <w:rsid w:val="005F04EB"/>
    <w:rsid w:val="005F064D"/>
    <w:rsid w:val="005F0F89"/>
    <w:rsid w:val="005F1D92"/>
    <w:rsid w:val="005F340B"/>
    <w:rsid w:val="005F4540"/>
    <w:rsid w:val="005F64F9"/>
    <w:rsid w:val="00605607"/>
    <w:rsid w:val="00606E50"/>
    <w:rsid w:val="00607833"/>
    <w:rsid w:val="00607B09"/>
    <w:rsid w:val="00607C6B"/>
    <w:rsid w:val="0061586F"/>
    <w:rsid w:val="00620632"/>
    <w:rsid w:val="00621C0C"/>
    <w:rsid w:val="006258D2"/>
    <w:rsid w:val="0063039E"/>
    <w:rsid w:val="00630B8D"/>
    <w:rsid w:val="00631092"/>
    <w:rsid w:val="00631213"/>
    <w:rsid w:val="006350B0"/>
    <w:rsid w:val="006356D1"/>
    <w:rsid w:val="00640552"/>
    <w:rsid w:val="006407B5"/>
    <w:rsid w:val="00641998"/>
    <w:rsid w:val="00642505"/>
    <w:rsid w:val="00644E72"/>
    <w:rsid w:val="00647BE6"/>
    <w:rsid w:val="006520AF"/>
    <w:rsid w:val="00657053"/>
    <w:rsid w:val="00657F9C"/>
    <w:rsid w:val="0066084B"/>
    <w:rsid w:val="0066109D"/>
    <w:rsid w:val="006611D6"/>
    <w:rsid w:val="006647F8"/>
    <w:rsid w:val="00664EE0"/>
    <w:rsid w:val="006654CB"/>
    <w:rsid w:val="006670CD"/>
    <w:rsid w:val="0067125A"/>
    <w:rsid w:val="00671921"/>
    <w:rsid w:val="00672F30"/>
    <w:rsid w:val="006732A9"/>
    <w:rsid w:val="006735D6"/>
    <w:rsid w:val="00674929"/>
    <w:rsid w:val="00676528"/>
    <w:rsid w:val="00681F9D"/>
    <w:rsid w:val="00683168"/>
    <w:rsid w:val="0068482D"/>
    <w:rsid w:val="006855A0"/>
    <w:rsid w:val="006904D8"/>
    <w:rsid w:val="00691DFC"/>
    <w:rsid w:val="006922DD"/>
    <w:rsid w:val="00692BF2"/>
    <w:rsid w:val="00694C68"/>
    <w:rsid w:val="0069545B"/>
    <w:rsid w:val="006A2811"/>
    <w:rsid w:val="006A297B"/>
    <w:rsid w:val="006A559C"/>
    <w:rsid w:val="006A562A"/>
    <w:rsid w:val="006A6594"/>
    <w:rsid w:val="006B0D4B"/>
    <w:rsid w:val="006B0DF1"/>
    <w:rsid w:val="006B77B7"/>
    <w:rsid w:val="006C40A4"/>
    <w:rsid w:val="006C7CCF"/>
    <w:rsid w:val="006D1D8C"/>
    <w:rsid w:val="006E27AF"/>
    <w:rsid w:val="006E710A"/>
    <w:rsid w:val="006F163E"/>
    <w:rsid w:val="006F2268"/>
    <w:rsid w:val="006F2B6A"/>
    <w:rsid w:val="006F39A4"/>
    <w:rsid w:val="006F45A7"/>
    <w:rsid w:val="006F6A34"/>
    <w:rsid w:val="00700752"/>
    <w:rsid w:val="00701C67"/>
    <w:rsid w:val="00704943"/>
    <w:rsid w:val="00704B4A"/>
    <w:rsid w:val="00704BEA"/>
    <w:rsid w:val="00705B8E"/>
    <w:rsid w:val="0070755E"/>
    <w:rsid w:val="0071072E"/>
    <w:rsid w:val="00713297"/>
    <w:rsid w:val="00715BC3"/>
    <w:rsid w:val="00716625"/>
    <w:rsid w:val="00720A96"/>
    <w:rsid w:val="00720FB4"/>
    <w:rsid w:val="00722FE8"/>
    <w:rsid w:val="00726A1C"/>
    <w:rsid w:val="00730213"/>
    <w:rsid w:val="00730912"/>
    <w:rsid w:val="00732650"/>
    <w:rsid w:val="0073453D"/>
    <w:rsid w:val="00734F43"/>
    <w:rsid w:val="00736960"/>
    <w:rsid w:val="00736F45"/>
    <w:rsid w:val="00741732"/>
    <w:rsid w:val="00751482"/>
    <w:rsid w:val="00752423"/>
    <w:rsid w:val="007613D7"/>
    <w:rsid w:val="007623E8"/>
    <w:rsid w:val="00762500"/>
    <w:rsid w:val="00763D3B"/>
    <w:rsid w:val="00765EB8"/>
    <w:rsid w:val="007669F4"/>
    <w:rsid w:val="007702EF"/>
    <w:rsid w:val="0077399B"/>
    <w:rsid w:val="007746D4"/>
    <w:rsid w:val="0077671B"/>
    <w:rsid w:val="0077726D"/>
    <w:rsid w:val="00777D7A"/>
    <w:rsid w:val="007803FD"/>
    <w:rsid w:val="0078212F"/>
    <w:rsid w:val="00785659"/>
    <w:rsid w:val="0079047E"/>
    <w:rsid w:val="0079247A"/>
    <w:rsid w:val="0079550B"/>
    <w:rsid w:val="007969D2"/>
    <w:rsid w:val="007970C0"/>
    <w:rsid w:val="007A1E28"/>
    <w:rsid w:val="007A2747"/>
    <w:rsid w:val="007A488F"/>
    <w:rsid w:val="007A4D72"/>
    <w:rsid w:val="007A69BA"/>
    <w:rsid w:val="007B161B"/>
    <w:rsid w:val="007B20A8"/>
    <w:rsid w:val="007B25DD"/>
    <w:rsid w:val="007B6DB8"/>
    <w:rsid w:val="007C2B5F"/>
    <w:rsid w:val="007C4DF0"/>
    <w:rsid w:val="007D1E8B"/>
    <w:rsid w:val="007D5158"/>
    <w:rsid w:val="007E01C4"/>
    <w:rsid w:val="007E57AE"/>
    <w:rsid w:val="007E63FC"/>
    <w:rsid w:val="007F5FFB"/>
    <w:rsid w:val="007F79BC"/>
    <w:rsid w:val="008004BA"/>
    <w:rsid w:val="008026D0"/>
    <w:rsid w:val="00804575"/>
    <w:rsid w:val="008057FD"/>
    <w:rsid w:val="00806C7E"/>
    <w:rsid w:val="00806DF3"/>
    <w:rsid w:val="00810960"/>
    <w:rsid w:val="00810BF9"/>
    <w:rsid w:val="00812CB9"/>
    <w:rsid w:val="008131D3"/>
    <w:rsid w:val="00814E2B"/>
    <w:rsid w:val="00820B2E"/>
    <w:rsid w:val="00822F44"/>
    <w:rsid w:val="008232BD"/>
    <w:rsid w:val="008250AE"/>
    <w:rsid w:val="00825752"/>
    <w:rsid w:val="00825E72"/>
    <w:rsid w:val="00827035"/>
    <w:rsid w:val="008318D4"/>
    <w:rsid w:val="00832629"/>
    <w:rsid w:val="0083354A"/>
    <w:rsid w:val="008344D0"/>
    <w:rsid w:val="00841E71"/>
    <w:rsid w:val="008527B6"/>
    <w:rsid w:val="00855563"/>
    <w:rsid w:val="008557DD"/>
    <w:rsid w:val="00856E15"/>
    <w:rsid w:val="00857B44"/>
    <w:rsid w:val="00862B81"/>
    <w:rsid w:val="00863BBF"/>
    <w:rsid w:val="0086489F"/>
    <w:rsid w:val="00867D21"/>
    <w:rsid w:val="00871AEE"/>
    <w:rsid w:val="00875C1E"/>
    <w:rsid w:val="00876928"/>
    <w:rsid w:val="0088545B"/>
    <w:rsid w:val="00887AB3"/>
    <w:rsid w:val="00891470"/>
    <w:rsid w:val="00891A66"/>
    <w:rsid w:val="0089670F"/>
    <w:rsid w:val="00896A5F"/>
    <w:rsid w:val="008A210E"/>
    <w:rsid w:val="008A42E9"/>
    <w:rsid w:val="008A4FF8"/>
    <w:rsid w:val="008A67B7"/>
    <w:rsid w:val="008B7D53"/>
    <w:rsid w:val="008C1D7B"/>
    <w:rsid w:val="008C2602"/>
    <w:rsid w:val="008C27C2"/>
    <w:rsid w:val="008C30AE"/>
    <w:rsid w:val="008C5233"/>
    <w:rsid w:val="008C5773"/>
    <w:rsid w:val="008C70AB"/>
    <w:rsid w:val="008C7E54"/>
    <w:rsid w:val="008D0898"/>
    <w:rsid w:val="008D196B"/>
    <w:rsid w:val="008D3C3D"/>
    <w:rsid w:val="008D5F58"/>
    <w:rsid w:val="008E086B"/>
    <w:rsid w:val="008E1C39"/>
    <w:rsid w:val="008E56FE"/>
    <w:rsid w:val="008E575A"/>
    <w:rsid w:val="008F164C"/>
    <w:rsid w:val="008F2B4D"/>
    <w:rsid w:val="008F2FA7"/>
    <w:rsid w:val="008F70A1"/>
    <w:rsid w:val="00903829"/>
    <w:rsid w:val="0090418F"/>
    <w:rsid w:val="00904920"/>
    <w:rsid w:val="00904D38"/>
    <w:rsid w:val="00907001"/>
    <w:rsid w:val="0091046D"/>
    <w:rsid w:val="009105B5"/>
    <w:rsid w:val="00912BB5"/>
    <w:rsid w:val="0091564A"/>
    <w:rsid w:val="00915949"/>
    <w:rsid w:val="0092439B"/>
    <w:rsid w:val="009267C4"/>
    <w:rsid w:val="009304DD"/>
    <w:rsid w:val="00930DBD"/>
    <w:rsid w:val="00933F9C"/>
    <w:rsid w:val="00941AA1"/>
    <w:rsid w:val="009435F5"/>
    <w:rsid w:val="009452F3"/>
    <w:rsid w:val="00946B44"/>
    <w:rsid w:val="00952075"/>
    <w:rsid w:val="0095398C"/>
    <w:rsid w:val="00955EAA"/>
    <w:rsid w:val="00961328"/>
    <w:rsid w:val="00961B9E"/>
    <w:rsid w:val="00965435"/>
    <w:rsid w:val="009660AE"/>
    <w:rsid w:val="0096677B"/>
    <w:rsid w:val="009670D3"/>
    <w:rsid w:val="009708E8"/>
    <w:rsid w:val="00970AC7"/>
    <w:rsid w:val="009806B8"/>
    <w:rsid w:val="00981A5D"/>
    <w:rsid w:val="00985395"/>
    <w:rsid w:val="009854DA"/>
    <w:rsid w:val="0098696C"/>
    <w:rsid w:val="00987366"/>
    <w:rsid w:val="00987785"/>
    <w:rsid w:val="0099331D"/>
    <w:rsid w:val="009A1106"/>
    <w:rsid w:val="009A1922"/>
    <w:rsid w:val="009A25AB"/>
    <w:rsid w:val="009A2CF9"/>
    <w:rsid w:val="009A622F"/>
    <w:rsid w:val="009A6BA2"/>
    <w:rsid w:val="009A6C73"/>
    <w:rsid w:val="009B0819"/>
    <w:rsid w:val="009B1641"/>
    <w:rsid w:val="009B291E"/>
    <w:rsid w:val="009B3F9C"/>
    <w:rsid w:val="009B4166"/>
    <w:rsid w:val="009B71F7"/>
    <w:rsid w:val="009B7330"/>
    <w:rsid w:val="009C21BE"/>
    <w:rsid w:val="009C3BBF"/>
    <w:rsid w:val="009D01CC"/>
    <w:rsid w:val="009D0A42"/>
    <w:rsid w:val="009D259A"/>
    <w:rsid w:val="009D4CAF"/>
    <w:rsid w:val="009D5218"/>
    <w:rsid w:val="009D6AEE"/>
    <w:rsid w:val="009D71F9"/>
    <w:rsid w:val="009D7823"/>
    <w:rsid w:val="009E2DEE"/>
    <w:rsid w:val="009E3901"/>
    <w:rsid w:val="009E402D"/>
    <w:rsid w:val="009E50EA"/>
    <w:rsid w:val="009F302A"/>
    <w:rsid w:val="00A00C16"/>
    <w:rsid w:val="00A00F0C"/>
    <w:rsid w:val="00A044A6"/>
    <w:rsid w:val="00A06AB6"/>
    <w:rsid w:val="00A10165"/>
    <w:rsid w:val="00A1666D"/>
    <w:rsid w:val="00A16C60"/>
    <w:rsid w:val="00A17855"/>
    <w:rsid w:val="00A22600"/>
    <w:rsid w:val="00A23B83"/>
    <w:rsid w:val="00A250C6"/>
    <w:rsid w:val="00A26F50"/>
    <w:rsid w:val="00A332D9"/>
    <w:rsid w:val="00A349AF"/>
    <w:rsid w:val="00A35443"/>
    <w:rsid w:val="00A35A5E"/>
    <w:rsid w:val="00A36904"/>
    <w:rsid w:val="00A37325"/>
    <w:rsid w:val="00A47E1A"/>
    <w:rsid w:val="00A515F2"/>
    <w:rsid w:val="00A535AB"/>
    <w:rsid w:val="00A53F78"/>
    <w:rsid w:val="00A560C2"/>
    <w:rsid w:val="00A562E5"/>
    <w:rsid w:val="00A57B9F"/>
    <w:rsid w:val="00A61372"/>
    <w:rsid w:val="00A63E35"/>
    <w:rsid w:val="00A6407D"/>
    <w:rsid w:val="00A65EF6"/>
    <w:rsid w:val="00A70750"/>
    <w:rsid w:val="00A719AD"/>
    <w:rsid w:val="00A73522"/>
    <w:rsid w:val="00A73AEC"/>
    <w:rsid w:val="00A74A12"/>
    <w:rsid w:val="00A80AF0"/>
    <w:rsid w:val="00A80FA6"/>
    <w:rsid w:val="00A82532"/>
    <w:rsid w:val="00A82861"/>
    <w:rsid w:val="00A82A86"/>
    <w:rsid w:val="00A830E5"/>
    <w:rsid w:val="00A87435"/>
    <w:rsid w:val="00A9041C"/>
    <w:rsid w:val="00A931A9"/>
    <w:rsid w:val="00A947ED"/>
    <w:rsid w:val="00A97626"/>
    <w:rsid w:val="00AA0942"/>
    <w:rsid w:val="00AA460B"/>
    <w:rsid w:val="00AB14C8"/>
    <w:rsid w:val="00AB212F"/>
    <w:rsid w:val="00AB4257"/>
    <w:rsid w:val="00AB5FF4"/>
    <w:rsid w:val="00AB664B"/>
    <w:rsid w:val="00AC088F"/>
    <w:rsid w:val="00AC1312"/>
    <w:rsid w:val="00AC2255"/>
    <w:rsid w:val="00AC253D"/>
    <w:rsid w:val="00AD0097"/>
    <w:rsid w:val="00AD1451"/>
    <w:rsid w:val="00AD3EBE"/>
    <w:rsid w:val="00AD55C1"/>
    <w:rsid w:val="00AD561A"/>
    <w:rsid w:val="00AD5CDB"/>
    <w:rsid w:val="00AD70B1"/>
    <w:rsid w:val="00AE2FD7"/>
    <w:rsid w:val="00AE7D7F"/>
    <w:rsid w:val="00AF1631"/>
    <w:rsid w:val="00AF163B"/>
    <w:rsid w:val="00AF29F1"/>
    <w:rsid w:val="00AF2BE0"/>
    <w:rsid w:val="00AF2CB5"/>
    <w:rsid w:val="00AF7E30"/>
    <w:rsid w:val="00B04216"/>
    <w:rsid w:val="00B12C3A"/>
    <w:rsid w:val="00B14DBA"/>
    <w:rsid w:val="00B21D28"/>
    <w:rsid w:val="00B221B1"/>
    <w:rsid w:val="00B2394C"/>
    <w:rsid w:val="00B3001F"/>
    <w:rsid w:val="00B31652"/>
    <w:rsid w:val="00B40D3D"/>
    <w:rsid w:val="00B41A2D"/>
    <w:rsid w:val="00B46896"/>
    <w:rsid w:val="00B53FE3"/>
    <w:rsid w:val="00B64061"/>
    <w:rsid w:val="00B83051"/>
    <w:rsid w:val="00B87863"/>
    <w:rsid w:val="00B90E96"/>
    <w:rsid w:val="00B92B55"/>
    <w:rsid w:val="00B93242"/>
    <w:rsid w:val="00B93FB1"/>
    <w:rsid w:val="00B93FF5"/>
    <w:rsid w:val="00B95C5D"/>
    <w:rsid w:val="00B97BCC"/>
    <w:rsid w:val="00BA53D5"/>
    <w:rsid w:val="00BA7856"/>
    <w:rsid w:val="00BB0B01"/>
    <w:rsid w:val="00BB1DF9"/>
    <w:rsid w:val="00BB1F88"/>
    <w:rsid w:val="00BB2B2E"/>
    <w:rsid w:val="00BB5472"/>
    <w:rsid w:val="00BB61B3"/>
    <w:rsid w:val="00BC59E1"/>
    <w:rsid w:val="00BC5B32"/>
    <w:rsid w:val="00BC5F1D"/>
    <w:rsid w:val="00BD1650"/>
    <w:rsid w:val="00BD2759"/>
    <w:rsid w:val="00BD4460"/>
    <w:rsid w:val="00BE11CD"/>
    <w:rsid w:val="00BE3A79"/>
    <w:rsid w:val="00BE42E0"/>
    <w:rsid w:val="00BE60C9"/>
    <w:rsid w:val="00BF02B0"/>
    <w:rsid w:val="00BF04BB"/>
    <w:rsid w:val="00BF2136"/>
    <w:rsid w:val="00BF2D3B"/>
    <w:rsid w:val="00BF5D3A"/>
    <w:rsid w:val="00BF63FB"/>
    <w:rsid w:val="00C026B6"/>
    <w:rsid w:val="00C055FD"/>
    <w:rsid w:val="00C07460"/>
    <w:rsid w:val="00C078A9"/>
    <w:rsid w:val="00C10110"/>
    <w:rsid w:val="00C16AC8"/>
    <w:rsid w:val="00C17517"/>
    <w:rsid w:val="00C241A7"/>
    <w:rsid w:val="00C25003"/>
    <w:rsid w:val="00C27030"/>
    <w:rsid w:val="00C276CC"/>
    <w:rsid w:val="00C27928"/>
    <w:rsid w:val="00C32510"/>
    <w:rsid w:val="00C336A6"/>
    <w:rsid w:val="00C33C41"/>
    <w:rsid w:val="00C405A5"/>
    <w:rsid w:val="00C40BBC"/>
    <w:rsid w:val="00C40F5C"/>
    <w:rsid w:val="00C4286E"/>
    <w:rsid w:val="00C44513"/>
    <w:rsid w:val="00C45A4E"/>
    <w:rsid w:val="00C512B9"/>
    <w:rsid w:val="00C5192D"/>
    <w:rsid w:val="00C53666"/>
    <w:rsid w:val="00C558E8"/>
    <w:rsid w:val="00C55D5E"/>
    <w:rsid w:val="00C67880"/>
    <w:rsid w:val="00C72424"/>
    <w:rsid w:val="00C7583B"/>
    <w:rsid w:val="00C77034"/>
    <w:rsid w:val="00C8157B"/>
    <w:rsid w:val="00C81E90"/>
    <w:rsid w:val="00C85701"/>
    <w:rsid w:val="00C867FC"/>
    <w:rsid w:val="00C92FBC"/>
    <w:rsid w:val="00C94A70"/>
    <w:rsid w:val="00CA2A76"/>
    <w:rsid w:val="00CA3DB3"/>
    <w:rsid w:val="00CA504C"/>
    <w:rsid w:val="00CA6E04"/>
    <w:rsid w:val="00CB44CD"/>
    <w:rsid w:val="00CB5049"/>
    <w:rsid w:val="00CB5160"/>
    <w:rsid w:val="00CC051A"/>
    <w:rsid w:val="00CC40E2"/>
    <w:rsid w:val="00CC5287"/>
    <w:rsid w:val="00CC6001"/>
    <w:rsid w:val="00CD0400"/>
    <w:rsid w:val="00CD0EA0"/>
    <w:rsid w:val="00CD4266"/>
    <w:rsid w:val="00CD47BD"/>
    <w:rsid w:val="00CD4DCD"/>
    <w:rsid w:val="00CD7289"/>
    <w:rsid w:val="00CE0901"/>
    <w:rsid w:val="00CE12E3"/>
    <w:rsid w:val="00CE5651"/>
    <w:rsid w:val="00CE629A"/>
    <w:rsid w:val="00CF26C6"/>
    <w:rsid w:val="00CF3F7D"/>
    <w:rsid w:val="00CF40B4"/>
    <w:rsid w:val="00CF5BEC"/>
    <w:rsid w:val="00CF5CFB"/>
    <w:rsid w:val="00CF74C0"/>
    <w:rsid w:val="00D00A7A"/>
    <w:rsid w:val="00D0131D"/>
    <w:rsid w:val="00D03403"/>
    <w:rsid w:val="00D055DE"/>
    <w:rsid w:val="00D06DCF"/>
    <w:rsid w:val="00D11B2C"/>
    <w:rsid w:val="00D15873"/>
    <w:rsid w:val="00D21591"/>
    <w:rsid w:val="00D2287A"/>
    <w:rsid w:val="00D25C63"/>
    <w:rsid w:val="00D27BD5"/>
    <w:rsid w:val="00D3044F"/>
    <w:rsid w:val="00D33756"/>
    <w:rsid w:val="00D438C4"/>
    <w:rsid w:val="00D50F86"/>
    <w:rsid w:val="00D52DE0"/>
    <w:rsid w:val="00D52EA8"/>
    <w:rsid w:val="00D533E9"/>
    <w:rsid w:val="00D53A53"/>
    <w:rsid w:val="00D62E59"/>
    <w:rsid w:val="00D646CA"/>
    <w:rsid w:val="00D6596B"/>
    <w:rsid w:val="00D66F73"/>
    <w:rsid w:val="00D70301"/>
    <w:rsid w:val="00D724DF"/>
    <w:rsid w:val="00D739BC"/>
    <w:rsid w:val="00D7464B"/>
    <w:rsid w:val="00D81A1A"/>
    <w:rsid w:val="00D82556"/>
    <w:rsid w:val="00D85AE3"/>
    <w:rsid w:val="00D86A20"/>
    <w:rsid w:val="00D92626"/>
    <w:rsid w:val="00D97AA5"/>
    <w:rsid w:val="00DA0D97"/>
    <w:rsid w:val="00DA16F0"/>
    <w:rsid w:val="00DA174F"/>
    <w:rsid w:val="00DA3B29"/>
    <w:rsid w:val="00DA5B4A"/>
    <w:rsid w:val="00DA7AA9"/>
    <w:rsid w:val="00DB26D2"/>
    <w:rsid w:val="00DC040C"/>
    <w:rsid w:val="00DC46CD"/>
    <w:rsid w:val="00DC621A"/>
    <w:rsid w:val="00DD02DB"/>
    <w:rsid w:val="00DD0391"/>
    <w:rsid w:val="00DD04F6"/>
    <w:rsid w:val="00DD0F26"/>
    <w:rsid w:val="00DD139A"/>
    <w:rsid w:val="00DE075D"/>
    <w:rsid w:val="00DE31F1"/>
    <w:rsid w:val="00DE3200"/>
    <w:rsid w:val="00DE3F1E"/>
    <w:rsid w:val="00DE4E68"/>
    <w:rsid w:val="00DF0C6C"/>
    <w:rsid w:val="00DF182D"/>
    <w:rsid w:val="00DF2044"/>
    <w:rsid w:val="00DF5448"/>
    <w:rsid w:val="00DF7E80"/>
    <w:rsid w:val="00E02008"/>
    <w:rsid w:val="00E038F9"/>
    <w:rsid w:val="00E05282"/>
    <w:rsid w:val="00E07D96"/>
    <w:rsid w:val="00E1130B"/>
    <w:rsid w:val="00E15E52"/>
    <w:rsid w:val="00E164DC"/>
    <w:rsid w:val="00E27EF5"/>
    <w:rsid w:val="00E3016D"/>
    <w:rsid w:val="00E30534"/>
    <w:rsid w:val="00E34033"/>
    <w:rsid w:val="00E4015E"/>
    <w:rsid w:val="00E40768"/>
    <w:rsid w:val="00E42930"/>
    <w:rsid w:val="00E45BD1"/>
    <w:rsid w:val="00E46BAF"/>
    <w:rsid w:val="00E51BB3"/>
    <w:rsid w:val="00E55979"/>
    <w:rsid w:val="00E565FA"/>
    <w:rsid w:val="00E57802"/>
    <w:rsid w:val="00E60348"/>
    <w:rsid w:val="00E65743"/>
    <w:rsid w:val="00E65C32"/>
    <w:rsid w:val="00E66E9F"/>
    <w:rsid w:val="00E7104F"/>
    <w:rsid w:val="00E7469E"/>
    <w:rsid w:val="00E8459E"/>
    <w:rsid w:val="00E85607"/>
    <w:rsid w:val="00E86297"/>
    <w:rsid w:val="00E920F9"/>
    <w:rsid w:val="00E932A4"/>
    <w:rsid w:val="00EA139F"/>
    <w:rsid w:val="00EA3B69"/>
    <w:rsid w:val="00EA6240"/>
    <w:rsid w:val="00EA797E"/>
    <w:rsid w:val="00EB1C27"/>
    <w:rsid w:val="00EB3317"/>
    <w:rsid w:val="00EB5100"/>
    <w:rsid w:val="00EB53B4"/>
    <w:rsid w:val="00EC20EC"/>
    <w:rsid w:val="00EC2824"/>
    <w:rsid w:val="00EC35F0"/>
    <w:rsid w:val="00EC3D07"/>
    <w:rsid w:val="00EC3F00"/>
    <w:rsid w:val="00EC5AC6"/>
    <w:rsid w:val="00EC6441"/>
    <w:rsid w:val="00EC7BC9"/>
    <w:rsid w:val="00ED068D"/>
    <w:rsid w:val="00ED3F92"/>
    <w:rsid w:val="00ED6FD4"/>
    <w:rsid w:val="00EE067C"/>
    <w:rsid w:val="00EE32E8"/>
    <w:rsid w:val="00EF02AF"/>
    <w:rsid w:val="00EF1126"/>
    <w:rsid w:val="00EF44AF"/>
    <w:rsid w:val="00EF4DEE"/>
    <w:rsid w:val="00EF7730"/>
    <w:rsid w:val="00F018FF"/>
    <w:rsid w:val="00F034F9"/>
    <w:rsid w:val="00F03E75"/>
    <w:rsid w:val="00F07E2C"/>
    <w:rsid w:val="00F10A3A"/>
    <w:rsid w:val="00F12379"/>
    <w:rsid w:val="00F1280E"/>
    <w:rsid w:val="00F134D7"/>
    <w:rsid w:val="00F20338"/>
    <w:rsid w:val="00F20BCA"/>
    <w:rsid w:val="00F21246"/>
    <w:rsid w:val="00F23683"/>
    <w:rsid w:val="00F32B33"/>
    <w:rsid w:val="00F33FBC"/>
    <w:rsid w:val="00F3472E"/>
    <w:rsid w:val="00F364C2"/>
    <w:rsid w:val="00F40F01"/>
    <w:rsid w:val="00F4117E"/>
    <w:rsid w:val="00F4222C"/>
    <w:rsid w:val="00F42533"/>
    <w:rsid w:val="00F46270"/>
    <w:rsid w:val="00F475AC"/>
    <w:rsid w:val="00F5048A"/>
    <w:rsid w:val="00F5362E"/>
    <w:rsid w:val="00F54534"/>
    <w:rsid w:val="00F57E47"/>
    <w:rsid w:val="00F6160B"/>
    <w:rsid w:val="00F61972"/>
    <w:rsid w:val="00F657C7"/>
    <w:rsid w:val="00F65C5F"/>
    <w:rsid w:val="00F65EF3"/>
    <w:rsid w:val="00F715E1"/>
    <w:rsid w:val="00F72C6E"/>
    <w:rsid w:val="00F72D9C"/>
    <w:rsid w:val="00F73C84"/>
    <w:rsid w:val="00F749E5"/>
    <w:rsid w:val="00F75306"/>
    <w:rsid w:val="00F77095"/>
    <w:rsid w:val="00F80D53"/>
    <w:rsid w:val="00F840DA"/>
    <w:rsid w:val="00F90EF8"/>
    <w:rsid w:val="00F91DA4"/>
    <w:rsid w:val="00F945BC"/>
    <w:rsid w:val="00F9565F"/>
    <w:rsid w:val="00F96540"/>
    <w:rsid w:val="00FA1FE2"/>
    <w:rsid w:val="00FA4DA3"/>
    <w:rsid w:val="00FA4FCA"/>
    <w:rsid w:val="00FA5876"/>
    <w:rsid w:val="00FA5D53"/>
    <w:rsid w:val="00FA6A33"/>
    <w:rsid w:val="00FB18B2"/>
    <w:rsid w:val="00FB263A"/>
    <w:rsid w:val="00FB323E"/>
    <w:rsid w:val="00FB3B07"/>
    <w:rsid w:val="00FB3C9E"/>
    <w:rsid w:val="00FB4D98"/>
    <w:rsid w:val="00FB5CCD"/>
    <w:rsid w:val="00FB65F6"/>
    <w:rsid w:val="00FC080A"/>
    <w:rsid w:val="00FC1248"/>
    <w:rsid w:val="00FC1CC5"/>
    <w:rsid w:val="00FC3D67"/>
    <w:rsid w:val="00FC5931"/>
    <w:rsid w:val="00FD0201"/>
    <w:rsid w:val="00FD05CA"/>
    <w:rsid w:val="00FD338E"/>
    <w:rsid w:val="00FD3EA3"/>
    <w:rsid w:val="00FD4838"/>
    <w:rsid w:val="00FD6F3B"/>
    <w:rsid w:val="00FD7AA2"/>
    <w:rsid w:val="00FE0389"/>
    <w:rsid w:val="00FE3CA3"/>
    <w:rsid w:val="00FE5E87"/>
    <w:rsid w:val="00FF382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8634A"/>
  <w15:docId w15:val="{0553C643-498C-2C4C-9A51-1FDC5114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1F9"/>
    <w:rPr>
      <w:rFonts w:ascii="Times New Roman" w:eastAsia="Times New Roman" w:hAnsi="Times New Roman" w:cs="Times New Roman"/>
      <w:lang w:eastAsia="fr-FR"/>
    </w:rPr>
  </w:style>
  <w:style w:type="paragraph" w:styleId="Heading1">
    <w:name w:val="heading 1"/>
    <w:basedOn w:val="Normal"/>
    <w:next w:val="Normal"/>
    <w:link w:val="Heading1Char"/>
    <w:uiPriority w:val="9"/>
    <w:qFormat/>
    <w:rsid w:val="0008418C"/>
    <w:pPr>
      <w:keepNext/>
      <w:keepLines/>
      <w:spacing w:before="240"/>
      <w:outlineLvl w:val="0"/>
    </w:pPr>
    <w:rPr>
      <w:rFonts w:asciiTheme="minorHAnsi" w:eastAsiaTheme="majorEastAsia" w:hAnsiTheme="minorHAnsi" w:cstheme="majorBidi"/>
      <w:b/>
      <w:color w:val="000000" w:themeColor="text1"/>
      <w:szCs w:val="32"/>
    </w:rPr>
  </w:style>
  <w:style w:type="paragraph" w:styleId="Heading2">
    <w:name w:val="heading 2"/>
    <w:basedOn w:val="Normal"/>
    <w:next w:val="Normal"/>
    <w:link w:val="Heading2Char"/>
    <w:uiPriority w:val="9"/>
    <w:unhideWhenUsed/>
    <w:qFormat/>
    <w:rsid w:val="00533CC6"/>
    <w:pPr>
      <w:keepNext/>
      <w:keepLines/>
      <w:spacing w:before="4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08418C"/>
    <w:pPr>
      <w:keepNext/>
      <w:keepLines/>
      <w:spacing w:before="40"/>
      <w:ind w:left="708"/>
      <w:outlineLvl w:val="2"/>
    </w:pPr>
    <w:rPr>
      <w:rFonts w:asciiTheme="majorHAnsi" w:eastAsiaTheme="majorEastAsia" w:hAnsiTheme="majorHAnsi"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71F9"/>
    <w:rPr>
      <w:sz w:val="16"/>
      <w:szCs w:val="16"/>
    </w:rPr>
  </w:style>
  <w:style w:type="paragraph" w:styleId="CommentText">
    <w:name w:val="annotation text"/>
    <w:basedOn w:val="Normal"/>
    <w:link w:val="CommentTextChar"/>
    <w:uiPriority w:val="99"/>
    <w:unhideWhenUsed/>
    <w:rsid w:val="009D71F9"/>
    <w:rPr>
      <w:sz w:val="20"/>
      <w:szCs w:val="20"/>
    </w:rPr>
  </w:style>
  <w:style w:type="character" w:customStyle="1" w:styleId="CommentTextChar">
    <w:name w:val="Comment Text Char"/>
    <w:basedOn w:val="DefaultParagraphFont"/>
    <w:link w:val="CommentText"/>
    <w:uiPriority w:val="99"/>
    <w:rsid w:val="009D71F9"/>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9D71F9"/>
    <w:pPr>
      <w:spacing w:before="100" w:beforeAutospacing="1" w:after="100" w:afterAutospacing="1"/>
    </w:pPr>
  </w:style>
  <w:style w:type="paragraph" w:styleId="FootnoteText">
    <w:name w:val="footnote text"/>
    <w:basedOn w:val="Normal"/>
    <w:link w:val="FootnoteTextChar"/>
    <w:uiPriority w:val="99"/>
    <w:semiHidden/>
    <w:unhideWhenUsed/>
    <w:rsid w:val="009D71F9"/>
    <w:rPr>
      <w:sz w:val="20"/>
      <w:szCs w:val="20"/>
    </w:rPr>
  </w:style>
  <w:style w:type="character" w:customStyle="1" w:styleId="FootnoteTextChar">
    <w:name w:val="Footnote Text Char"/>
    <w:basedOn w:val="DefaultParagraphFont"/>
    <w:link w:val="FootnoteText"/>
    <w:uiPriority w:val="99"/>
    <w:semiHidden/>
    <w:rsid w:val="009D71F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9D71F9"/>
    <w:rPr>
      <w:vertAlign w:val="superscript"/>
    </w:rPr>
  </w:style>
  <w:style w:type="paragraph" w:styleId="BalloonText">
    <w:name w:val="Balloon Text"/>
    <w:basedOn w:val="Normal"/>
    <w:link w:val="BalloonTextChar"/>
    <w:uiPriority w:val="99"/>
    <w:semiHidden/>
    <w:unhideWhenUsed/>
    <w:rsid w:val="009D71F9"/>
    <w:rPr>
      <w:sz w:val="18"/>
      <w:szCs w:val="18"/>
    </w:rPr>
  </w:style>
  <w:style w:type="character" w:customStyle="1" w:styleId="BalloonTextChar">
    <w:name w:val="Balloon Text Char"/>
    <w:basedOn w:val="DefaultParagraphFont"/>
    <w:link w:val="BalloonText"/>
    <w:uiPriority w:val="99"/>
    <w:semiHidden/>
    <w:rsid w:val="009D71F9"/>
    <w:rPr>
      <w:rFonts w:ascii="Times New Roman" w:eastAsia="Times New Roman" w:hAnsi="Times New Roman" w:cs="Times New Roman"/>
      <w:sz w:val="18"/>
      <w:szCs w:val="18"/>
      <w:lang w:eastAsia="fr-FR"/>
    </w:rPr>
  </w:style>
  <w:style w:type="paragraph" w:styleId="CommentSubject">
    <w:name w:val="annotation subject"/>
    <w:basedOn w:val="CommentText"/>
    <w:next w:val="CommentText"/>
    <w:link w:val="CommentSubjectChar"/>
    <w:uiPriority w:val="99"/>
    <w:semiHidden/>
    <w:unhideWhenUsed/>
    <w:rsid w:val="00AE7D7F"/>
    <w:rPr>
      <w:b/>
      <w:bCs/>
    </w:rPr>
  </w:style>
  <w:style w:type="character" w:customStyle="1" w:styleId="CommentSubjectChar">
    <w:name w:val="Comment Subject Char"/>
    <w:basedOn w:val="CommentTextChar"/>
    <w:link w:val="CommentSubject"/>
    <w:uiPriority w:val="99"/>
    <w:semiHidden/>
    <w:rsid w:val="00AE7D7F"/>
    <w:rPr>
      <w:rFonts w:ascii="Times New Roman" w:eastAsia="Times New Roman" w:hAnsi="Times New Roman" w:cs="Times New Roman"/>
      <w:b/>
      <w:bCs/>
      <w:sz w:val="20"/>
      <w:szCs w:val="20"/>
      <w:lang w:eastAsia="fr-FR"/>
    </w:rPr>
  </w:style>
  <w:style w:type="paragraph" w:styleId="Revision">
    <w:name w:val="Revision"/>
    <w:hidden/>
    <w:uiPriority w:val="99"/>
    <w:semiHidden/>
    <w:rsid w:val="00CE12E3"/>
    <w:rPr>
      <w:rFonts w:ascii="Times New Roman" w:eastAsia="Times New Roman" w:hAnsi="Times New Roman" w:cs="Times New Roman"/>
      <w:lang w:eastAsia="fr-FR"/>
    </w:rPr>
  </w:style>
  <w:style w:type="character" w:styleId="Hyperlink">
    <w:name w:val="Hyperlink"/>
    <w:basedOn w:val="DefaultParagraphFont"/>
    <w:uiPriority w:val="99"/>
    <w:unhideWhenUsed/>
    <w:rsid w:val="00E02008"/>
    <w:rPr>
      <w:color w:val="0563C1" w:themeColor="hyperlink"/>
      <w:u w:val="single"/>
    </w:rPr>
  </w:style>
  <w:style w:type="character" w:customStyle="1" w:styleId="Mentionnonrsolue1">
    <w:name w:val="Mention non résolue1"/>
    <w:basedOn w:val="DefaultParagraphFont"/>
    <w:uiPriority w:val="99"/>
    <w:semiHidden/>
    <w:unhideWhenUsed/>
    <w:rsid w:val="00E02008"/>
    <w:rPr>
      <w:color w:val="605E5C"/>
      <w:shd w:val="clear" w:color="auto" w:fill="E1DFDD"/>
    </w:rPr>
  </w:style>
  <w:style w:type="character" w:customStyle="1" w:styleId="UnresolvedMention1">
    <w:name w:val="Unresolved Mention1"/>
    <w:basedOn w:val="DefaultParagraphFont"/>
    <w:uiPriority w:val="99"/>
    <w:semiHidden/>
    <w:unhideWhenUsed/>
    <w:rsid w:val="000E0293"/>
    <w:rPr>
      <w:color w:val="605E5C"/>
      <w:shd w:val="clear" w:color="auto" w:fill="E1DFDD"/>
    </w:rPr>
  </w:style>
  <w:style w:type="character" w:styleId="FollowedHyperlink">
    <w:name w:val="FollowedHyperlink"/>
    <w:basedOn w:val="DefaultParagraphFont"/>
    <w:uiPriority w:val="99"/>
    <w:semiHidden/>
    <w:unhideWhenUsed/>
    <w:rsid w:val="00DB26D2"/>
    <w:rPr>
      <w:color w:val="954F72" w:themeColor="followedHyperlink"/>
      <w:u w:val="single"/>
    </w:rPr>
  </w:style>
  <w:style w:type="paragraph" w:styleId="ListParagraph">
    <w:name w:val="List Paragraph"/>
    <w:basedOn w:val="Normal"/>
    <w:uiPriority w:val="34"/>
    <w:qFormat/>
    <w:rsid w:val="00533CC6"/>
    <w:pPr>
      <w:ind w:left="720"/>
      <w:contextualSpacing/>
    </w:pPr>
  </w:style>
  <w:style w:type="character" w:customStyle="1" w:styleId="Heading1Char">
    <w:name w:val="Heading 1 Char"/>
    <w:basedOn w:val="DefaultParagraphFont"/>
    <w:link w:val="Heading1"/>
    <w:uiPriority w:val="9"/>
    <w:rsid w:val="0008418C"/>
    <w:rPr>
      <w:rFonts w:eastAsiaTheme="majorEastAsia" w:cstheme="majorBidi"/>
      <w:b/>
      <w:color w:val="000000" w:themeColor="text1"/>
      <w:szCs w:val="32"/>
      <w:lang w:eastAsia="fr-FR"/>
    </w:rPr>
  </w:style>
  <w:style w:type="character" w:customStyle="1" w:styleId="Heading2Char">
    <w:name w:val="Heading 2 Char"/>
    <w:basedOn w:val="DefaultParagraphFont"/>
    <w:link w:val="Heading2"/>
    <w:uiPriority w:val="9"/>
    <w:rsid w:val="00533CC6"/>
    <w:rPr>
      <w:rFonts w:ascii="Times New Roman" w:eastAsiaTheme="majorEastAsia" w:hAnsi="Times New Roman" w:cstheme="majorBidi"/>
      <w:i/>
      <w:color w:val="000000" w:themeColor="text1"/>
      <w:szCs w:val="26"/>
      <w:lang w:eastAsia="fr-FR"/>
    </w:rPr>
  </w:style>
  <w:style w:type="character" w:customStyle="1" w:styleId="Heading3Char">
    <w:name w:val="Heading 3 Char"/>
    <w:basedOn w:val="DefaultParagraphFont"/>
    <w:link w:val="Heading3"/>
    <w:uiPriority w:val="9"/>
    <w:rsid w:val="0008418C"/>
    <w:rPr>
      <w:rFonts w:asciiTheme="majorHAnsi" w:eastAsiaTheme="majorEastAsia" w:hAnsiTheme="majorHAnsi" w:cstheme="majorBidi"/>
      <w:i/>
      <w:color w:val="000000" w:themeColor="text1"/>
      <w:lang w:eastAsia="fr-FR"/>
    </w:rPr>
  </w:style>
  <w:style w:type="paragraph" w:styleId="NoSpacing">
    <w:name w:val="No Spacing"/>
    <w:uiPriority w:val="1"/>
    <w:qFormat/>
    <w:rsid w:val="0008418C"/>
    <w:rPr>
      <w:rFonts w:ascii="Times New Roman" w:eastAsia="Times New Roman" w:hAnsi="Times New Roman" w:cs="Times New Roman"/>
      <w:lang w:eastAsia="fr-FR"/>
    </w:rPr>
  </w:style>
  <w:style w:type="paragraph" w:styleId="Footer">
    <w:name w:val="footer"/>
    <w:basedOn w:val="Normal"/>
    <w:link w:val="FooterChar"/>
    <w:uiPriority w:val="99"/>
    <w:unhideWhenUsed/>
    <w:rsid w:val="00FD6F3B"/>
    <w:pPr>
      <w:tabs>
        <w:tab w:val="center" w:pos="4513"/>
        <w:tab w:val="right" w:pos="9026"/>
      </w:tabs>
    </w:pPr>
  </w:style>
  <w:style w:type="character" w:customStyle="1" w:styleId="FooterChar">
    <w:name w:val="Footer Char"/>
    <w:basedOn w:val="DefaultParagraphFont"/>
    <w:link w:val="Footer"/>
    <w:uiPriority w:val="99"/>
    <w:rsid w:val="00FD6F3B"/>
    <w:rPr>
      <w:rFonts w:ascii="Times New Roman" w:eastAsia="Times New Roman" w:hAnsi="Times New Roman" w:cs="Times New Roman"/>
      <w:lang w:eastAsia="fr-FR"/>
    </w:rPr>
  </w:style>
  <w:style w:type="character" w:styleId="PageNumber">
    <w:name w:val="page number"/>
    <w:basedOn w:val="DefaultParagraphFont"/>
    <w:uiPriority w:val="99"/>
    <w:semiHidden/>
    <w:unhideWhenUsed/>
    <w:rsid w:val="00FD6F3B"/>
  </w:style>
  <w:style w:type="paragraph" w:styleId="Header">
    <w:name w:val="header"/>
    <w:basedOn w:val="Normal"/>
    <w:link w:val="HeaderChar"/>
    <w:uiPriority w:val="99"/>
    <w:semiHidden/>
    <w:unhideWhenUsed/>
    <w:rsid w:val="00A1666D"/>
    <w:pPr>
      <w:tabs>
        <w:tab w:val="center" w:pos="4320"/>
        <w:tab w:val="right" w:pos="8640"/>
      </w:tabs>
    </w:pPr>
  </w:style>
  <w:style w:type="character" w:customStyle="1" w:styleId="HeaderChar">
    <w:name w:val="Header Char"/>
    <w:basedOn w:val="DefaultParagraphFont"/>
    <w:link w:val="Header"/>
    <w:uiPriority w:val="99"/>
    <w:semiHidden/>
    <w:rsid w:val="00A1666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8688">
      <w:bodyDiv w:val="1"/>
      <w:marLeft w:val="0"/>
      <w:marRight w:val="0"/>
      <w:marTop w:val="0"/>
      <w:marBottom w:val="0"/>
      <w:divBdr>
        <w:top w:val="none" w:sz="0" w:space="0" w:color="auto"/>
        <w:left w:val="none" w:sz="0" w:space="0" w:color="auto"/>
        <w:bottom w:val="none" w:sz="0" w:space="0" w:color="auto"/>
        <w:right w:val="none" w:sz="0" w:space="0" w:color="auto"/>
      </w:divBdr>
    </w:div>
    <w:div w:id="96027475">
      <w:bodyDiv w:val="1"/>
      <w:marLeft w:val="0"/>
      <w:marRight w:val="0"/>
      <w:marTop w:val="0"/>
      <w:marBottom w:val="0"/>
      <w:divBdr>
        <w:top w:val="none" w:sz="0" w:space="0" w:color="auto"/>
        <w:left w:val="none" w:sz="0" w:space="0" w:color="auto"/>
        <w:bottom w:val="none" w:sz="0" w:space="0" w:color="auto"/>
        <w:right w:val="none" w:sz="0" w:space="0" w:color="auto"/>
      </w:divBdr>
      <w:divsChild>
        <w:div w:id="236716696">
          <w:marLeft w:val="0"/>
          <w:marRight w:val="0"/>
          <w:marTop w:val="0"/>
          <w:marBottom w:val="0"/>
          <w:divBdr>
            <w:top w:val="none" w:sz="0" w:space="0" w:color="auto"/>
            <w:left w:val="none" w:sz="0" w:space="0" w:color="auto"/>
            <w:bottom w:val="none" w:sz="0" w:space="0" w:color="auto"/>
            <w:right w:val="none" w:sz="0" w:space="0" w:color="auto"/>
          </w:divBdr>
          <w:divsChild>
            <w:div w:id="615796572">
              <w:marLeft w:val="0"/>
              <w:marRight w:val="0"/>
              <w:marTop w:val="0"/>
              <w:marBottom w:val="0"/>
              <w:divBdr>
                <w:top w:val="none" w:sz="0" w:space="0" w:color="auto"/>
                <w:left w:val="none" w:sz="0" w:space="0" w:color="auto"/>
                <w:bottom w:val="none" w:sz="0" w:space="0" w:color="auto"/>
                <w:right w:val="none" w:sz="0" w:space="0" w:color="auto"/>
              </w:divBdr>
              <w:divsChild>
                <w:div w:id="20320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5512">
      <w:bodyDiv w:val="1"/>
      <w:marLeft w:val="0"/>
      <w:marRight w:val="0"/>
      <w:marTop w:val="0"/>
      <w:marBottom w:val="0"/>
      <w:divBdr>
        <w:top w:val="none" w:sz="0" w:space="0" w:color="auto"/>
        <w:left w:val="none" w:sz="0" w:space="0" w:color="auto"/>
        <w:bottom w:val="none" w:sz="0" w:space="0" w:color="auto"/>
        <w:right w:val="none" w:sz="0" w:space="0" w:color="auto"/>
      </w:divBdr>
    </w:div>
    <w:div w:id="160967814">
      <w:bodyDiv w:val="1"/>
      <w:marLeft w:val="0"/>
      <w:marRight w:val="0"/>
      <w:marTop w:val="0"/>
      <w:marBottom w:val="0"/>
      <w:divBdr>
        <w:top w:val="none" w:sz="0" w:space="0" w:color="auto"/>
        <w:left w:val="none" w:sz="0" w:space="0" w:color="auto"/>
        <w:bottom w:val="none" w:sz="0" w:space="0" w:color="auto"/>
        <w:right w:val="none" w:sz="0" w:space="0" w:color="auto"/>
      </w:divBdr>
    </w:div>
    <w:div w:id="217477560">
      <w:bodyDiv w:val="1"/>
      <w:marLeft w:val="0"/>
      <w:marRight w:val="0"/>
      <w:marTop w:val="0"/>
      <w:marBottom w:val="0"/>
      <w:divBdr>
        <w:top w:val="none" w:sz="0" w:space="0" w:color="auto"/>
        <w:left w:val="none" w:sz="0" w:space="0" w:color="auto"/>
        <w:bottom w:val="none" w:sz="0" w:space="0" w:color="auto"/>
        <w:right w:val="none" w:sz="0" w:space="0" w:color="auto"/>
      </w:divBdr>
    </w:div>
    <w:div w:id="283466866">
      <w:bodyDiv w:val="1"/>
      <w:marLeft w:val="0"/>
      <w:marRight w:val="0"/>
      <w:marTop w:val="0"/>
      <w:marBottom w:val="0"/>
      <w:divBdr>
        <w:top w:val="none" w:sz="0" w:space="0" w:color="auto"/>
        <w:left w:val="none" w:sz="0" w:space="0" w:color="auto"/>
        <w:bottom w:val="none" w:sz="0" w:space="0" w:color="auto"/>
        <w:right w:val="none" w:sz="0" w:space="0" w:color="auto"/>
      </w:divBdr>
      <w:divsChild>
        <w:div w:id="1288463668">
          <w:marLeft w:val="0"/>
          <w:marRight w:val="0"/>
          <w:marTop w:val="0"/>
          <w:marBottom w:val="0"/>
          <w:divBdr>
            <w:top w:val="none" w:sz="0" w:space="0" w:color="auto"/>
            <w:left w:val="none" w:sz="0" w:space="0" w:color="auto"/>
            <w:bottom w:val="none" w:sz="0" w:space="0" w:color="auto"/>
            <w:right w:val="none" w:sz="0" w:space="0" w:color="auto"/>
          </w:divBdr>
        </w:div>
      </w:divsChild>
    </w:div>
    <w:div w:id="298078044">
      <w:bodyDiv w:val="1"/>
      <w:marLeft w:val="0"/>
      <w:marRight w:val="0"/>
      <w:marTop w:val="0"/>
      <w:marBottom w:val="0"/>
      <w:divBdr>
        <w:top w:val="none" w:sz="0" w:space="0" w:color="auto"/>
        <w:left w:val="none" w:sz="0" w:space="0" w:color="auto"/>
        <w:bottom w:val="none" w:sz="0" w:space="0" w:color="auto"/>
        <w:right w:val="none" w:sz="0" w:space="0" w:color="auto"/>
      </w:divBdr>
    </w:div>
    <w:div w:id="463429548">
      <w:bodyDiv w:val="1"/>
      <w:marLeft w:val="0"/>
      <w:marRight w:val="0"/>
      <w:marTop w:val="0"/>
      <w:marBottom w:val="0"/>
      <w:divBdr>
        <w:top w:val="none" w:sz="0" w:space="0" w:color="auto"/>
        <w:left w:val="none" w:sz="0" w:space="0" w:color="auto"/>
        <w:bottom w:val="none" w:sz="0" w:space="0" w:color="auto"/>
        <w:right w:val="none" w:sz="0" w:space="0" w:color="auto"/>
      </w:divBdr>
    </w:div>
    <w:div w:id="491603779">
      <w:bodyDiv w:val="1"/>
      <w:marLeft w:val="0"/>
      <w:marRight w:val="0"/>
      <w:marTop w:val="0"/>
      <w:marBottom w:val="0"/>
      <w:divBdr>
        <w:top w:val="none" w:sz="0" w:space="0" w:color="auto"/>
        <w:left w:val="none" w:sz="0" w:space="0" w:color="auto"/>
        <w:bottom w:val="none" w:sz="0" w:space="0" w:color="auto"/>
        <w:right w:val="none" w:sz="0" w:space="0" w:color="auto"/>
      </w:divBdr>
    </w:div>
    <w:div w:id="570432760">
      <w:bodyDiv w:val="1"/>
      <w:marLeft w:val="0"/>
      <w:marRight w:val="0"/>
      <w:marTop w:val="0"/>
      <w:marBottom w:val="0"/>
      <w:divBdr>
        <w:top w:val="none" w:sz="0" w:space="0" w:color="auto"/>
        <w:left w:val="none" w:sz="0" w:space="0" w:color="auto"/>
        <w:bottom w:val="none" w:sz="0" w:space="0" w:color="auto"/>
        <w:right w:val="none" w:sz="0" w:space="0" w:color="auto"/>
      </w:divBdr>
    </w:div>
    <w:div w:id="651835066">
      <w:bodyDiv w:val="1"/>
      <w:marLeft w:val="0"/>
      <w:marRight w:val="0"/>
      <w:marTop w:val="0"/>
      <w:marBottom w:val="0"/>
      <w:divBdr>
        <w:top w:val="none" w:sz="0" w:space="0" w:color="auto"/>
        <w:left w:val="none" w:sz="0" w:space="0" w:color="auto"/>
        <w:bottom w:val="none" w:sz="0" w:space="0" w:color="auto"/>
        <w:right w:val="none" w:sz="0" w:space="0" w:color="auto"/>
      </w:divBdr>
      <w:divsChild>
        <w:div w:id="2142575629">
          <w:marLeft w:val="0"/>
          <w:marRight w:val="0"/>
          <w:marTop w:val="0"/>
          <w:marBottom w:val="0"/>
          <w:divBdr>
            <w:top w:val="none" w:sz="0" w:space="0" w:color="auto"/>
            <w:left w:val="none" w:sz="0" w:space="0" w:color="auto"/>
            <w:bottom w:val="none" w:sz="0" w:space="0" w:color="auto"/>
            <w:right w:val="none" w:sz="0" w:space="0" w:color="auto"/>
          </w:divBdr>
          <w:divsChild>
            <w:div w:id="1847984351">
              <w:marLeft w:val="0"/>
              <w:marRight w:val="0"/>
              <w:marTop w:val="0"/>
              <w:marBottom w:val="0"/>
              <w:divBdr>
                <w:top w:val="none" w:sz="0" w:space="0" w:color="auto"/>
                <w:left w:val="none" w:sz="0" w:space="0" w:color="auto"/>
                <w:bottom w:val="none" w:sz="0" w:space="0" w:color="auto"/>
                <w:right w:val="none" w:sz="0" w:space="0" w:color="auto"/>
              </w:divBdr>
              <w:divsChild>
                <w:div w:id="19050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7918">
      <w:bodyDiv w:val="1"/>
      <w:marLeft w:val="0"/>
      <w:marRight w:val="0"/>
      <w:marTop w:val="0"/>
      <w:marBottom w:val="0"/>
      <w:divBdr>
        <w:top w:val="none" w:sz="0" w:space="0" w:color="auto"/>
        <w:left w:val="none" w:sz="0" w:space="0" w:color="auto"/>
        <w:bottom w:val="none" w:sz="0" w:space="0" w:color="auto"/>
        <w:right w:val="none" w:sz="0" w:space="0" w:color="auto"/>
      </w:divBdr>
      <w:divsChild>
        <w:div w:id="574163729">
          <w:marLeft w:val="0"/>
          <w:marRight w:val="0"/>
          <w:marTop w:val="0"/>
          <w:marBottom w:val="0"/>
          <w:divBdr>
            <w:top w:val="none" w:sz="0" w:space="0" w:color="auto"/>
            <w:left w:val="none" w:sz="0" w:space="0" w:color="auto"/>
            <w:bottom w:val="none" w:sz="0" w:space="0" w:color="auto"/>
            <w:right w:val="none" w:sz="0" w:space="0" w:color="auto"/>
          </w:divBdr>
          <w:divsChild>
            <w:div w:id="1121805196">
              <w:marLeft w:val="0"/>
              <w:marRight w:val="0"/>
              <w:marTop w:val="0"/>
              <w:marBottom w:val="0"/>
              <w:divBdr>
                <w:top w:val="none" w:sz="0" w:space="0" w:color="auto"/>
                <w:left w:val="none" w:sz="0" w:space="0" w:color="auto"/>
                <w:bottom w:val="none" w:sz="0" w:space="0" w:color="auto"/>
                <w:right w:val="none" w:sz="0" w:space="0" w:color="auto"/>
              </w:divBdr>
              <w:divsChild>
                <w:div w:id="242227076">
                  <w:marLeft w:val="0"/>
                  <w:marRight w:val="0"/>
                  <w:marTop w:val="0"/>
                  <w:marBottom w:val="0"/>
                  <w:divBdr>
                    <w:top w:val="none" w:sz="0" w:space="0" w:color="auto"/>
                    <w:left w:val="none" w:sz="0" w:space="0" w:color="auto"/>
                    <w:bottom w:val="none" w:sz="0" w:space="0" w:color="auto"/>
                    <w:right w:val="none" w:sz="0" w:space="0" w:color="auto"/>
                  </w:divBdr>
                  <w:divsChild>
                    <w:div w:id="12955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6365">
      <w:bodyDiv w:val="1"/>
      <w:marLeft w:val="0"/>
      <w:marRight w:val="0"/>
      <w:marTop w:val="0"/>
      <w:marBottom w:val="0"/>
      <w:divBdr>
        <w:top w:val="none" w:sz="0" w:space="0" w:color="auto"/>
        <w:left w:val="none" w:sz="0" w:space="0" w:color="auto"/>
        <w:bottom w:val="none" w:sz="0" w:space="0" w:color="auto"/>
        <w:right w:val="none" w:sz="0" w:space="0" w:color="auto"/>
      </w:divBdr>
    </w:div>
    <w:div w:id="740636554">
      <w:bodyDiv w:val="1"/>
      <w:marLeft w:val="0"/>
      <w:marRight w:val="0"/>
      <w:marTop w:val="0"/>
      <w:marBottom w:val="0"/>
      <w:divBdr>
        <w:top w:val="none" w:sz="0" w:space="0" w:color="auto"/>
        <w:left w:val="none" w:sz="0" w:space="0" w:color="auto"/>
        <w:bottom w:val="none" w:sz="0" w:space="0" w:color="auto"/>
        <w:right w:val="none" w:sz="0" w:space="0" w:color="auto"/>
      </w:divBdr>
      <w:divsChild>
        <w:div w:id="1077048986">
          <w:marLeft w:val="0"/>
          <w:marRight w:val="0"/>
          <w:marTop w:val="0"/>
          <w:marBottom w:val="0"/>
          <w:divBdr>
            <w:top w:val="none" w:sz="0" w:space="0" w:color="auto"/>
            <w:left w:val="none" w:sz="0" w:space="0" w:color="auto"/>
            <w:bottom w:val="none" w:sz="0" w:space="0" w:color="auto"/>
            <w:right w:val="none" w:sz="0" w:space="0" w:color="auto"/>
          </w:divBdr>
          <w:divsChild>
            <w:div w:id="1605335874">
              <w:marLeft w:val="0"/>
              <w:marRight w:val="0"/>
              <w:marTop w:val="0"/>
              <w:marBottom w:val="0"/>
              <w:divBdr>
                <w:top w:val="none" w:sz="0" w:space="0" w:color="auto"/>
                <w:left w:val="none" w:sz="0" w:space="0" w:color="auto"/>
                <w:bottom w:val="none" w:sz="0" w:space="0" w:color="auto"/>
                <w:right w:val="none" w:sz="0" w:space="0" w:color="auto"/>
              </w:divBdr>
              <w:divsChild>
                <w:div w:id="429817070">
                  <w:marLeft w:val="0"/>
                  <w:marRight w:val="0"/>
                  <w:marTop w:val="0"/>
                  <w:marBottom w:val="0"/>
                  <w:divBdr>
                    <w:top w:val="none" w:sz="0" w:space="0" w:color="auto"/>
                    <w:left w:val="none" w:sz="0" w:space="0" w:color="auto"/>
                    <w:bottom w:val="none" w:sz="0" w:space="0" w:color="auto"/>
                    <w:right w:val="none" w:sz="0" w:space="0" w:color="auto"/>
                  </w:divBdr>
                  <w:divsChild>
                    <w:div w:id="15891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63437">
      <w:bodyDiv w:val="1"/>
      <w:marLeft w:val="0"/>
      <w:marRight w:val="0"/>
      <w:marTop w:val="0"/>
      <w:marBottom w:val="0"/>
      <w:divBdr>
        <w:top w:val="none" w:sz="0" w:space="0" w:color="auto"/>
        <w:left w:val="none" w:sz="0" w:space="0" w:color="auto"/>
        <w:bottom w:val="none" w:sz="0" w:space="0" w:color="auto"/>
        <w:right w:val="none" w:sz="0" w:space="0" w:color="auto"/>
      </w:divBdr>
    </w:div>
    <w:div w:id="814445949">
      <w:bodyDiv w:val="1"/>
      <w:marLeft w:val="0"/>
      <w:marRight w:val="0"/>
      <w:marTop w:val="0"/>
      <w:marBottom w:val="0"/>
      <w:divBdr>
        <w:top w:val="none" w:sz="0" w:space="0" w:color="auto"/>
        <w:left w:val="none" w:sz="0" w:space="0" w:color="auto"/>
        <w:bottom w:val="none" w:sz="0" w:space="0" w:color="auto"/>
        <w:right w:val="none" w:sz="0" w:space="0" w:color="auto"/>
      </w:divBdr>
      <w:divsChild>
        <w:div w:id="2047288110">
          <w:marLeft w:val="0"/>
          <w:marRight w:val="0"/>
          <w:marTop w:val="0"/>
          <w:marBottom w:val="0"/>
          <w:divBdr>
            <w:top w:val="none" w:sz="0" w:space="0" w:color="auto"/>
            <w:left w:val="none" w:sz="0" w:space="0" w:color="auto"/>
            <w:bottom w:val="none" w:sz="0" w:space="0" w:color="auto"/>
            <w:right w:val="none" w:sz="0" w:space="0" w:color="auto"/>
          </w:divBdr>
          <w:divsChild>
            <w:div w:id="357781536">
              <w:marLeft w:val="0"/>
              <w:marRight w:val="0"/>
              <w:marTop w:val="0"/>
              <w:marBottom w:val="0"/>
              <w:divBdr>
                <w:top w:val="none" w:sz="0" w:space="0" w:color="auto"/>
                <w:left w:val="none" w:sz="0" w:space="0" w:color="auto"/>
                <w:bottom w:val="none" w:sz="0" w:space="0" w:color="auto"/>
                <w:right w:val="none" w:sz="0" w:space="0" w:color="auto"/>
              </w:divBdr>
              <w:divsChild>
                <w:div w:id="709188418">
                  <w:marLeft w:val="0"/>
                  <w:marRight w:val="0"/>
                  <w:marTop w:val="0"/>
                  <w:marBottom w:val="0"/>
                  <w:divBdr>
                    <w:top w:val="none" w:sz="0" w:space="0" w:color="auto"/>
                    <w:left w:val="none" w:sz="0" w:space="0" w:color="auto"/>
                    <w:bottom w:val="none" w:sz="0" w:space="0" w:color="auto"/>
                    <w:right w:val="none" w:sz="0" w:space="0" w:color="auto"/>
                  </w:divBdr>
                  <w:divsChild>
                    <w:div w:id="2551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037987">
      <w:bodyDiv w:val="1"/>
      <w:marLeft w:val="0"/>
      <w:marRight w:val="0"/>
      <w:marTop w:val="0"/>
      <w:marBottom w:val="0"/>
      <w:divBdr>
        <w:top w:val="none" w:sz="0" w:space="0" w:color="auto"/>
        <w:left w:val="none" w:sz="0" w:space="0" w:color="auto"/>
        <w:bottom w:val="none" w:sz="0" w:space="0" w:color="auto"/>
        <w:right w:val="none" w:sz="0" w:space="0" w:color="auto"/>
      </w:divBdr>
    </w:div>
    <w:div w:id="866598563">
      <w:bodyDiv w:val="1"/>
      <w:marLeft w:val="0"/>
      <w:marRight w:val="0"/>
      <w:marTop w:val="0"/>
      <w:marBottom w:val="0"/>
      <w:divBdr>
        <w:top w:val="none" w:sz="0" w:space="0" w:color="auto"/>
        <w:left w:val="none" w:sz="0" w:space="0" w:color="auto"/>
        <w:bottom w:val="none" w:sz="0" w:space="0" w:color="auto"/>
        <w:right w:val="none" w:sz="0" w:space="0" w:color="auto"/>
      </w:divBdr>
      <w:divsChild>
        <w:div w:id="801774101">
          <w:marLeft w:val="0"/>
          <w:marRight w:val="0"/>
          <w:marTop w:val="0"/>
          <w:marBottom w:val="0"/>
          <w:divBdr>
            <w:top w:val="none" w:sz="0" w:space="0" w:color="auto"/>
            <w:left w:val="none" w:sz="0" w:space="0" w:color="auto"/>
            <w:bottom w:val="none" w:sz="0" w:space="0" w:color="auto"/>
            <w:right w:val="none" w:sz="0" w:space="0" w:color="auto"/>
          </w:divBdr>
          <w:divsChild>
            <w:div w:id="328406599">
              <w:marLeft w:val="0"/>
              <w:marRight w:val="0"/>
              <w:marTop w:val="0"/>
              <w:marBottom w:val="0"/>
              <w:divBdr>
                <w:top w:val="none" w:sz="0" w:space="0" w:color="auto"/>
                <w:left w:val="none" w:sz="0" w:space="0" w:color="auto"/>
                <w:bottom w:val="none" w:sz="0" w:space="0" w:color="auto"/>
                <w:right w:val="none" w:sz="0" w:space="0" w:color="auto"/>
              </w:divBdr>
              <w:divsChild>
                <w:div w:id="6745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38319">
      <w:bodyDiv w:val="1"/>
      <w:marLeft w:val="0"/>
      <w:marRight w:val="0"/>
      <w:marTop w:val="0"/>
      <w:marBottom w:val="0"/>
      <w:divBdr>
        <w:top w:val="none" w:sz="0" w:space="0" w:color="auto"/>
        <w:left w:val="none" w:sz="0" w:space="0" w:color="auto"/>
        <w:bottom w:val="none" w:sz="0" w:space="0" w:color="auto"/>
        <w:right w:val="none" w:sz="0" w:space="0" w:color="auto"/>
      </w:divBdr>
      <w:divsChild>
        <w:div w:id="1699239680">
          <w:marLeft w:val="0"/>
          <w:marRight w:val="0"/>
          <w:marTop w:val="0"/>
          <w:marBottom w:val="0"/>
          <w:divBdr>
            <w:top w:val="none" w:sz="0" w:space="0" w:color="auto"/>
            <w:left w:val="none" w:sz="0" w:space="0" w:color="auto"/>
            <w:bottom w:val="none" w:sz="0" w:space="0" w:color="auto"/>
            <w:right w:val="none" w:sz="0" w:space="0" w:color="auto"/>
          </w:divBdr>
          <w:divsChild>
            <w:div w:id="1659726574">
              <w:marLeft w:val="0"/>
              <w:marRight w:val="0"/>
              <w:marTop w:val="0"/>
              <w:marBottom w:val="0"/>
              <w:divBdr>
                <w:top w:val="none" w:sz="0" w:space="0" w:color="auto"/>
                <w:left w:val="none" w:sz="0" w:space="0" w:color="auto"/>
                <w:bottom w:val="none" w:sz="0" w:space="0" w:color="auto"/>
                <w:right w:val="none" w:sz="0" w:space="0" w:color="auto"/>
              </w:divBdr>
              <w:divsChild>
                <w:div w:id="11352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20183">
      <w:bodyDiv w:val="1"/>
      <w:marLeft w:val="0"/>
      <w:marRight w:val="0"/>
      <w:marTop w:val="0"/>
      <w:marBottom w:val="0"/>
      <w:divBdr>
        <w:top w:val="none" w:sz="0" w:space="0" w:color="auto"/>
        <w:left w:val="none" w:sz="0" w:space="0" w:color="auto"/>
        <w:bottom w:val="none" w:sz="0" w:space="0" w:color="auto"/>
        <w:right w:val="none" w:sz="0" w:space="0" w:color="auto"/>
      </w:divBdr>
    </w:div>
    <w:div w:id="920286800">
      <w:bodyDiv w:val="1"/>
      <w:marLeft w:val="0"/>
      <w:marRight w:val="0"/>
      <w:marTop w:val="0"/>
      <w:marBottom w:val="0"/>
      <w:divBdr>
        <w:top w:val="none" w:sz="0" w:space="0" w:color="auto"/>
        <w:left w:val="none" w:sz="0" w:space="0" w:color="auto"/>
        <w:bottom w:val="none" w:sz="0" w:space="0" w:color="auto"/>
        <w:right w:val="none" w:sz="0" w:space="0" w:color="auto"/>
      </w:divBdr>
      <w:divsChild>
        <w:div w:id="246960081">
          <w:marLeft w:val="0"/>
          <w:marRight w:val="0"/>
          <w:marTop w:val="0"/>
          <w:marBottom w:val="0"/>
          <w:divBdr>
            <w:top w:val="none" w:sz="0" w:space="0" w:color="auto"/>
            <w:left w:val="none" w:sz="0" w:space="0" w:color="auto"/>
            <w:bottom w:val="none" w:sz="0" w:space="0" w:color="auto"/>
            <w:right w:val="none" w:sz="0" w:space="0" w:color="auto"/>
          </w:divBdr>
          <w:divsChild>
            <w:div w:id="696859005">
              <w:marLeft w:val="0"/>
              <w:marRight w:val="0"/>
              <w:marTop w:val="0"/>
              <w:marBottom w:val="0"/>
              <w:divBdr>
                <w:top w:val="none" w:sz="0" w:space="0" w:color="auto"/>
                <w:left w:val="none" w:sz="0" w:space="0" w:color="auto"/>
                <w:bottom w:val="none" w:sz="0" w:space="0" w:color="auto"/>
                <w:right w:val="none" w:sz="0" w:space="0" w:color="auto"/>
              </w:divBdr>
              <w:divsChild>
                <w:div w:id="3107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4660">
      <w:bodyDiv w:val="1"/>
      <w:marLeft w:val="0"/>
      <w:marRight w:val="0"/>
      <w:marTop w:val="0"/>
      <w:marBottom w:val="0"/>
      <w:divBdr>
        <w:top w:val="none" w:sz="0" w:space="0" w:color="auto"/>
        <w:left w:val="none" w:sz="0" w:space="0" w:color="auto"/>
        <w:bottom w:val="none" w:sz="0" w:space="0" w:color="auto"/>
        <w:right w:val="none" w:sz="0" w:space="0" w:color="auto"/>
      </w:divBdr>
    </w:div>
    <w:div w:id="937248795">
      <w:bodyDiv w:val="1"/>
      <w:marLeft w:val="0"/>
      <w:marRight w:val="0"/>
      <w:marTop w:val="0"/>
      <w:marBottom w:val="0"/>
      <w:divBdr>
        <w:top w:val="none" w:sz="0" w:space="0" w:color="auto"/>
        <w:left w:val="none" w:sz="0" w:space="0" w:color="auto"/>
        <w:bottom w:val="none" w:sz="0" w:space="0" w:color="auto"/>
        <w:right w:val="none" w:sz="0" w:space="0" w:color="auto"/>
      </w:divBdr>
    </w:div>
    <w:div w:id="956763082">
      <w:bodyDiv w:val="1"/>
      <w:marLeft w:val="0"/>
      <w:marRight w:val="0"/>
      <w:marTop w:val="0"/>
      <w:marBottom w:val="0"/>
      <w:divBdr>
        <w:top w:val="none" w:sz="0" w:space="0" w:color="auto"/>
        <w:left w:val="none" w:sz="0" w:space="0" w:color="auto"/>
        <w:bottom w:val="none" w:sz="0" w:space="0" w:color="auto"/>
        <w:right w:val="none" w:sz="0" w:space="0" w:color="auto"/>
      </w:divBdr>
    </w:div>
    <w:div w:id="1017731767">
      <w:bodyDiv w:val="1"/>
      <w:marLeft w:val="0"/>
      <w:marRight w:val="0"/>
      <w:marTop w:val="0"/>
      <w:marBottom w:val="0"/>
      <w:divBdr>
        <w:top w:val="none" w:sz="0" w:space="0" w:color="auto"/>
        <w:left w:val="none" w:sz="0" w:space="0" w:color="auto"/>
        <w:bottom w:val="none" w:sz="0" w:space="0" w:color="auto"/>
        <w:right w:val="none" w:sz="0" w:space="0" w:color="auto"/>
      </w:divBdr>
    </w:div>
    <w:div w:id="1020159235">
      <w:bodyDiv w:val="1"/>
      <w:marLeft w:val="0"/>
      <w:marRight w:val="0"/>
      <w:marTop w:val="0"/>
      <w:marBottom w:val="0"/>
      <w:divBdr>
        <w:top w:val="none" w:sz="0" w:space="0" w:color="auto"/>
        <w:left w:val="none" w:sz="0" w:space="0" w:color="auto"/>
        <w:bottom w:val="none" w:sz="0" w:space="0" w:color="auto"/>
        <w:right w:val="none" w:sz="0" w:space="0" w:color="auto"/>
      </w:divBdr>
    </w:div>
    <w:div w:id="1024677016">
      <w:bodyDiv w:val="1"/>
      <w:marLeft w:val="0"/>
      <w:marRight w:val="0"/>
      <w:marTop w:val="0"/>
      <w:marBottom w:val="0"/>
      <w:divBdr>
        <w:top w:val="none" w:sz="0" w:space="0" w:color="auto"/>
        <w:left w:val="none" w:sz="0" w:space="0" w:color="auto"/>
        <w:bottom w:val="none" w:sz="0" w:space="0" w:color="auto"/>
        <w:right w:val="none" w:sz="0" w:space="0" w:color="auto"/>
      </w:divBdr>
    </w:div>
    <w:div w:id="1029717105">
      <w:bodyDiv w:val="1"/>
      <w:marLeft w:val="0"/>
      <w:marRight w:val="0"/>
      <w:marTop w:val="0"/>
      <w:marBottom w:val="0"/>
      <w:divBdr>
        <w:top w:val="none" w:sz="0" w:space="0" w:color="auto"/>
        <w:left w:val="none" w:sz="0" w:space="0" w:color="auto"/>
        <w:bottom w:val="none" w:sz="0" w:space="0" w:color="auto"/>
        <w:right w:val="none" w:sz="0" w:space="0" w:color="auto"/>
      </w:divBdr>
      <w:divsChild>
        <w:div w:id="306739010">
          <w:marLeft w:val="0"/>
          <w:marRight w:val="0"/>
          <w:marTop w:val="0"/>
          <w:marBottom w:val="0"/>
          <w:divBdr>
            <w:top w:val="none" w:sz="0" w:space="0" w:color="auto"/>
            <w:left w:val="none" w:sz="0" w:space="0" w:color="auto"/>
            <w:bottom w:val="none" w:sz="0" w:space="0" w:color="auto"/>
            <w:right w:val="none" w:sz="0" w:space="0" w:color="auto"/>
          </w:divBdr>
          <w:divsChild>
            <w:div w:id="466315932">
              <w:marLeft w:val="0"/>
              <w:marRight w:val="0"/>
              <w:marTop w:val="0"/>
              <w:marBottom w:val="0"/>
              <w:divBdr>
                <w:top w:val="none" w:sz="0" w:space="0" w:color="auto"/>
                <w:left w:val="none" w:sz="0" w:space="0" w:color="auto"/>
                <w:bottom w:val="none" w:sz="0" w:space="0" w:color="auto"/>
                <w:right w:val="none" w:sz="0" w:space="0" w:color="auto"/>
              </w:divBdr>
              <w:divsChild>
                <w:div w:id="1906524689">
                  <w:marLeft w:val="0"/>
                  <w:marRight w:val="0"/>
                  <w:marTop w:val="0"/>
                  <w:marBottom w:val="0"/>
                  <w:divBdr>
                    <w:top w:val="none" w:sz="0" w:space="0" w:color="auto"/>
                    <w:left w:val="none" w:sz="0" w:space="0" w:color="auto"/>
                    <w:bottom w:val="none" w:sz="0" w:space="0" w:color="auto"/>
                    <w:right w:val="none" w:sz="0" w:space="0" w:color="auto"/>
                  </w:divBdr>
                  <w:divsChild>
                    <w:div w:id="1098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4932">
      <w:bodyDiv w:val="1"/>
      <w:marLeft w:val="0"/>
      <w:marRight w:val="0"/>
      <w:marTop w:val="0"/>
      <w:marBottom w:val="0"/>
      <w:divBdr>
        <w:top w:val="none" w:sz="0" w:space="0" w:color="auto"/>
        <w:left w:val="none" w:sz="0" w:space="0" w:color="auto"/>
        <w:bottom w:val="none" w:sz="0" w:space="0" w:color="auto"/>
        <w:right w:val="none" w:sz="0" w:space="0" w:color="auto"/>
      </w:divBdr>
    </w:div>
    <w:div w:id="1212574524">
      <w:bodyDiv w:val="1"/>
      <w:marLeft w:val="0"/>
      <w:marRight w:val="0"/>
      <w:marTop w:val="0"/>
      <w:marBottom w:val="0"/>
      <w:divBdr>
        <w:top w:val="none" w:sz="0" w:space="0" w:color="auto"/>
        <w:left w:val="none" w:sz="0" w:space="0" w:color="auto"/>
        <w:bottom w:val="none" w:sz="0" w:space="0" w:color="auto"/>
        <w:right w:val="none" w:sz="0" w:space="0" w:color="auto"/>
      </w:divBdr>
    </w:div>
    <w:div w:id="1221556822">
      <w:bodyDiv w:val="1"/>
      <w:marLeft w:val="0"/>
      <w:marRight w:val="0"/>
      <w:marTop w:val="0"/>
      <w:marBottom w:val="0"/>
      <w:divBdr>
        <w:top w:val="none" w:sz="0" w:space="0" w:color="auto"/>
        <w:left w:val="none" w:sz="0" w:space="0" w:color="auto"/>
        <w:bottom w:val="none" w:sz="0" w:space="0" w:color="auto"/>
        <w:right w:val="none" w:sz="0" w:space="0" w:color="auto"/>
      </w:divBdr>
    </w:div>
    <w:div w:id="1280379769">
      <w:bodyDiv w:val="1"/>
      <w:marLeft w:val="0"/>
      <w:marRight w:val="0"/>
      <w:marTop w:val="0"/>
      <w:marBottom w:val="0"/>
      <w:divBdr>
        <w:top w:val="none" w:sz="0" w:space="0" w:color="auto"/>
        <w:left w:val="none" w:sz="0" w:space="0" w:color="auto"/>
        <w:bottom w:val="none" w:sz="0" w:space="0" w:color="auto"/>
        <w:right w:val="none" w:sz="0" w:space="0" w:color="auto"/>
      </w:divBdr>
    </w:div>
    <w:div w:id="1283154415">
      <w:bodyDiv w:val="1"/>
      <w:marLeft w:val="0"/>
      <w:marRight w:val="0"/>
      <w:marTop w:val="0"/>
      <w:marBottom w:val="0"/>
      <w:divBdr>
        <w:top w:val="none" w:sz="0" w:space="0" w:color="auto"/>
        <w:left w:val="none" w:sz="0" w:space="0" w:color="auto"/>
        <w:bottom w:val="none" w:sz="0" w:space="0" w:color="auto"/>
        <w:right w:val="none" w:sz="0" w:space="0" w:color="auto"/>
      </w:divBdr>
    </w:div>
    <w:div w:id="1381394618">
      <w:bodyDiv w:val="1"/>
      <w:marLeft w:val="0"/>
      <w:marRight w:val="0"/>
      <w:marTop w:val="0"/>
      <w:marBottom w:val="0"/>
      <w:divBdr>
        <w:top w:val="none" w:sz="0" w:space="0" w:color="auto"/>
        <w:left w:val="none" w:sz="0" w:space="0" w:color="auto"/>
        <w:bottom w:val="none" w:sz="0" w:space="0" w:color="auto"/>
        <w:right w:val="none" w:sz="0" w:space="0" w:color="auto"/>
      </w:divBdr>
      <w:divsChild>
        <w:div w:id="742489012">
          <w:marLeft w:val="0"/>
          <w:marRight w:val="0"/>
          <w:marTop w:val="0"/>
          <w:marBottom w:val="0"/>
          <w:divBdr>
            <w:top w:val="none" w:sz="0" w:space="0" w:color="auto"/>
            <w:left w:val="none" w:sz="0" w:space="0" w:color="auto"/>
            <w:bottom w:val="none" w:sz="0" w:space="0" w:color="auto"/>
            <w:right w:val="none" w:sz="0" w:space="0" w:color="auto"/>
          </w:divBdr>
          <w:divsChild>
            <w:div w:id="1574387037">
              <w:marLeft w:val="0"/>
              <w:marRight w:val="0"/>
              <w:marTop w:val="0"/>
              <w:marBottom w:val="0"/>
              <w:divBdr>
                <w:top w:val="none" w:sz="0" w:space="0" w:color="auto"/>
                <w:left w:val="none" w:sz="0" w:space="0" w:color="auto"/>
                <w:bottom w:val="none" w:sz="0" w:space="0" w:color="auto"/>
                <w:right w:val="none" w:sz="0" w:space="0" w:color="auto"/>
              </w:divBdr>
              <w:divsChild>
                <w:div w:id="15099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8139">
      <w:bodyDiv w:val="1"/>
      <w:marLeft w:val="0"/>
      <w:marRight w:val="0"/>
      <w:marTop w:val="0"/>
      <w:marBottom w:val="0"/>
      <w:divBdr>
        <w:top w:val="none" w:sz="0" w:space="0" w:color="auto"/>
        <w:left w:val="none" w:sz="0" w:space="0" w:color="auto"/>
        <w:bottom w:val="none" w:sz="0" w:space="0" w:color="auto"/>
        <w:right w:val="none" w:sz="0" w:space="0" w:color="auto"/>
      </w:divBdr>
    </w:div>
    <w:div w:id="1586836455">
      <w:bodyDiv w:val="1"/>
      <w:marLeft w:val="0"/>
      <w:marRight w:val="0"/>
      <w:marTop w:val="0"/>
      <w:marBottom w:val="0"/>
      <w:divBdr>
        <w:top w:val="none" w:sz="0" w:space="0" w:color="auto"/>
        <w:left w:val="none" w:sz="0" w:space="0" w:color="auto"/>
        <w:bottom w:val="none" w:sz="0" w:space="0" w:color="auto"/>
        <w:right w:val="none" w:sz="0" w:space="0" w:color="auto"/>
      </w:divBdr>
    </w:div>
    <w:div w:id="1608850597">
      <w:bodyDiv w:val="1"/>
      <w:marLeft w:val="0"/>
      <w:marRight w:val="0"/>
      <w:marTop w:val="0"/>
      <w:marBottom w:val="0"/>
      <w:divBdr>
        <w:top w:val="none" w:sz="0" w:space="0" w:color="auto"/>
        <w:left w:val="none" w:sz="0" w:space="0" w:color="auto"/>
        <w:bottom w:val="none" w:sz="0" w:space="0" w:color="auto"/>
        <w:right w:val="none" w:sz="0" w:space="0" w:color="auto"/>
      </w:divBdr>
      <w:divsChild>
        <w:div w:id="1525053721">
          <w:marLeft w:val="0"/>
          <w:marRight w:val="0"/>
          <w:marTop w:val="0"/>
          <w:marBottom w:val="0"/>
          <w:divBdr>
            <w:top w:val="none" w:sz="0" w:space="0" w:color="auto"/>
            <w:left w:val="none" w:sz="0" w:space="0" w:color="auto"/>
            <w:bottom w:val="none" w:sz="0" w:space="0" w:color="auto"/>
            <w:right w:val="none" w:sz="0" w:space="0" w:color="auto"/>
          </w:divBdr>
          <w:divsChild>
            <w:div w:id="213934172">
              <w:marLeft w:val="0"/>
              <w:marRight w:val="0"/>
              <w:marTop w:val="0"/>
              <w:marBottom w:val="0"/>
              <w:divBdr>
                <w:top w:val="none" w:sz="0" w:space="0" w:color="auto"/>
                <w:left w:val="none" w:sz="0" w:space="0" w:color="auto"/>
                <w:bottom w:val="none" w:sz="0" w:space="0" w:color="auto"/>
                <w:right w:val="none" w:sz="0" w:space="0" w:color="auto"/>
              </w:divBdr>
              <w:divsChild>
                <w:div w:id="12426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753">
      <w:bodyDiv w:val="1"/>
      <w:marLeft w:val="0"/>
      <w:marRight w:val="0"/>
      <w:marTop w:val="0"/>
      <w:marBottom w:val="0"/>
      <w:divBdr>
        <w:top w:val="none" w:sz="0" w:space="0" w:color="auto"/>
        <w:left w:val="none" w:sz="0" w:space="0" w:color="auto"/>
        <w:bottom w:val="none" w:sz="0" w:space="0" w:color="auto"/>
        <w:right w:val="none" w:sz="0" w:space="0" w:color="auto"/>
      </w:divBdr>
    </w:div>
    <w:div w:id="1659726959">
      <w:bodyDiv w:val="1"/>
      <w:marLeft w:val="0"/>
      <w:marRight w:val="0"/>
      <w:marTop w:val="0"/>
      <w:marBottom w:val="0"/>
      <w:divBdr>
        <w:top w:val="none" w:sz="0" w:space="0" w:color="auto"/>
        <w:left w:val="none" w:sz="0" w:space="0" w:color="auto"/>
        <w:bottom w:val="none" w:sz="0" w:space="0" w:color="auto"/>
        <w:right w:val="none" w:sz="0" w:space="0" w:color="auto"/>
      </w:divBdr>
      <w:divsChild>
        <w:div w:id="428619092">
          <w:marLeft w:val="0"/>
          <w:marRight w:val="0"/>
          <w:marTop w:val="0"/>
          <w:marBottom w:val="0"/>
          <w:divBdr>
            <w:top w:val="none" w:sz="0" w:space="0" w:color="auto"/>
            <w:left w:val="none" w:sz="0" w:space="0" w:color="auto"/>
            <w:bottom w:val="none" w:sz="0" w:space="0" w:color="auto"/>
            <w:right w:val="none" w:sz="0" w:space="0" w:color="auto"/>
          </w:divBdr>
          <w:divsChild>
            <w:div w:id="1681197441">
              <w:marLeft w:val="0"/>
              <w:marRight w:val="0"/>
              <w:marTop w:val="0"/>
              <w:marBottom w:val="0"/>
              <w:divBdr>
                <w:top w:val="none" w:sz="0" w:space="0" w:color="auto"/>
                <w:left w:val="none" w:sz="0" w:space="0" w:color="auto"/>
                <w:bottom w:val="none" w:sz="0" w:space="0" w:color="auto"/>
                <w:right w:val="none" w:sz="0" w:space="0" w:color="auto"/>
              </w:divBdr>
              <w:divsChild>
                <w:div w:id="4261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3263">
      <w:bodyDiv w:val="1"/>
      <w:marLeft w:val="0"/>
      <w:marRight w:val="0"/>
      <w:marTop w:val="0"/>
      <w:marBottom w:val="0"/>
      <w:divBdr>
        <w:top w:val="none" w:sz="0" w:space="0" w:color="auto"/>
        <w:left w:val="none" w:sz="0" w:space="0" w:color="auto"/>
        <w:bottom w:val="none" w:sz="0" w:space="0" w:color="auto"/>
        <w:right w:val="none" w:sz="0" w:space="0" w:color="auto"/>
      </w:divBdr>
    </w:div>
    <w:div w:id="1690259336">
      <w:bodyDiv w:val="1"/>
      <w:marLeft w:val="0"/>
      <w:marRight w:val="0"/>
      <w:marTop w:val="0"/>
      <w:marBottom w:val="0"/>
      <w:divBdr>
        <w:top w:val="none" w:sz="0" w:space="0" w:color="auto"/>
        <w:left w:val="none" w:sz="0" w:space="0" w:color="auto"/>
        <w:bottom w:val="none" w:sz="0" w:space="0" w:color="auto"/>
        <w:right w:val="none" w:sz="0" w:space="0" w:color="auto"/>
      </w:divBdr>
    </w:div>
    <w:div w:id="1714037598">
      <w:bodyDiv w:val="1"/>
      <w:marLeft w:val="0"/>
      <w:marRight w:val="0"/>
      <w:marTop w:val="0"/>
      <w:marBottom w:val="0"/>
      <w:divBdr>
        <w:top w:val="none" w:sz="0" w:space="0" w:color="auto"/>
        <w:left w:val="none" w:sz="0" w:space="0" w:color="auto"/>
        <w:bottom w:val="none" w:sz="0" w:space="0" w:color="auto"/>
        <w:right w:val="none" w:sz="0" w:space="0" w:color="auto"/>
      </w:divBdr>
    </w:div>
    <w:div w:id="1748918267">
      <w:bodyDiv w:val="1"/>
      <w:marLeft w:val="0"/>
      <w:marRight w:val="0"/>
      <w:marTop w:val="0"/>
      <w:marBottom w:val="0"/>
      <w:divBdr>
        <w:top w:val="none" w:sz="0" w:space="0" w:color="auto"/>
        <w:left w:val="none" w:sz="0" w:space="0" w:color="auto"/>
        <w:bottom w:val="none" w:sz="0" w:space="0" w:color="auto"/>
        <w:right w:val="none" w:sz="0" w:space="0" w:color="auto"/>
      </w:divBdr>
      <w:divsChild>
        <w:div w:id="870411037">
          <w:marLeft w:val="0"/>
          <w:marRight w:val="0"/>
          <w:marTop w:val="0"/>
          <w:marBottom w:val="0"/>
          <w:divBdr>
            <w:top w:val="none" w:sz="0" w:space="0" w:color="auto"/>
            <w:left w:val="none" w:sz="0" w:space="0" w:color="auto"/>
            <w:bottom w:val="none" w:sz="0" w:space="0" w:color="auto"/>
            <w:right w:val="none" w:sz="0" w:space="0" w:color="auto"/>
          </w:divBdr>
          <w:divsChild>
            <w:div w:id="1801454073">
              <w:marLeft w:val="0"/>
              <w:marRight w:val="0"/>
              <w:marTop w:val="0"/>
              <w:marBottom w:val="0"/>
              <w:divBdr>
                <w:top w:val="none" w:sz="0" w:space="0" w:color="auto"/>
                <w:left w:val="none" w:sz="0" w:space="0" w:color="auto"/>
                <w:bottom w:val="none" w:sz="0" w:space="0" w:color="auto"/>
                <w:right w:val="none" w:sz="0" w:space="0" w:color="auto"/>
              </w:divBdr>
              <w:divsChild>
                <w:div w:id="11347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8193">
      <w:bodyDiv w:val="1"/>
      <w:marLeft w:val="0"/>
      <w:marRight w:val="0"/>
      <w:marTop w:val="0"/>
      <w:marBottom w:val="0"/>
      <w:divBdr>
        <w:top w:val="none" w:sz="0" w:space="0" w:color="auto"/>
        <w:left w:val="none" w:sz="0" w:space="0" w:color="auto"/>
        <w:bottom w:val="none" w:sz="0" w:space="0" w:color="auto"/>
        <w:right w:val="none" w:sz="0" w:space="0" w:color="auto"/>
      </w:divBdr>
      <w:divsChild>
        <w:div w:id="1887646066">
          <w:marLeft w:val="0"/>
          <w:marRight w:val="0"/>
          <w:marTop w:val="0"/>
          <w:marBottom w:val="0"/>
          <w:divBdr>
            <w:top w:val="none" w:sz="0" w:space="0" w:color="auto"/>
            <w:left w:val="none" w:sz="0" w:space="0" w:color="auto"/>
            <w:bottom w:val="none" w:sz="0" w:space="0" w:color="auto"/>
            <w:right w:val="none" w:sz="0" w:space="0" w:color="auto"/>
          </w:divBdr>
          <w:divsChild>
            <w:div w:id="337661787">
              <w:marLeft w:val="0"/>
              <w:marRight w:val="0"/>
              <w:marTop w:val="0"/>
              <w:marBottom w:val="0"/>
              <w:divBdr>
                <w:top w:val="none" w:sz="0" w:space="0" w:color="auto"/>
                <w:left w:val="none" w:sz="0" w:space="0" w:color="auto"/>
                <w:bottom w:val="none" w:sz="0" w:space="0" w:color="auto"/>
                <w:right w:val="none" w:sz="0" w:space="0" w:color="auto"/>
              </w:divBdr>
              <w:divsChild>
                <w:div w:id="1615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4159">
      <w:bodyDiv w:val="1"/>
      <w:marLeft w:val="0"/>
      <w:marRight w:val="0"/>
      <w:marTop w:val="0"/>
      <w:marBottom w:val="0"/>
      <w:divBdr>
        <w:top w:val="none" w:sz="0" w:space="0" w:color="auto"/>
        <w:left w:val="none" w:sz="0" w:space="0" w:color="auto"/>
        <w:bottom w:val="none" w:sz="0" w:space="0" w:color="auto"/>
        <w:right w:val="none" w:sz="0" w:space="0" w:color="auto"/>
      </w:divBdr>
    </w:div>
    <w:div w:id="1828207787">
      <w:bodyDiv w:val="1"/>
      <w:marLeft w:val="0"/>
      <w:marRight w:val="0"/>
      <w:marTop w:val="0"/>
      <w:marBottom w:val="0"/>
      <w:divBdr>
        <w:top w:val="none" w:sz="0" w:space="0" w:color="auto"/>
        <w:left w:val="none" w:sz="0" w:space="0" w:color="auto"/>
        <w:bottom w:val="none" w:sz="0" w:space="0" w:color="auto"/>
        <w:right w:val="none" w:sz="0" w:space="0" w:color="auto"/>
      </w:divBdr>
    </w:div>
    <w:div w:id="1838382816">
      <w:bodyDiv w:val="1"/>
      <w:marLeft w:val="0"/>
      <w:marRight w:val="0"/>
      <w:marTop w:val="0"/>
      <w:marBottom w:val="0"/>
      <w:divBdr>
        <w:top w:val="none" w:sz="0" w:space="0" w:color="auto"/>
        <w:left w:val="none" w:sz="0" w:space="0" w:color="auto"/>
        <w:bottom w:val="none" w:sz="0" w:space="0" w:color="auto"/>
        <w:right w:val="none" w:sz="0" w:space="0" w:color="auto"/>
      </w:divBdr>
    </w:div>
    <w:div w:id="1847672152">
      <w:bodyDiv w:val="1"/>
      <w:marLeft w:val="0"/>
      <w:marRight w:val="0"/>
      <w:marTop w:val="0"/>
      <w:marBottom w:val="0"/>
      <w:divBdr>
        <w:top w:val="none" w:sz="0" w:space="0" w:color="auto"/>
        <w:left w:val="none" w:sz="0" w:space="0" w:color="auto"/>
        <w:bottom w:val="none" w:sz="0" w:space="0" w:color="auto"/>
        <w:right w:val="none" w:sz="0" w:space="0" w:color="auto"/>
      </w:divBdr>
    </w:div>
    <w:div w:id="1863594782">
      <w:bodyDiv w:val="1"/>
      <w:marLeft w:val="0"/>
      <w:marRight w:val="0"/>
      <w:marTop w:val="0"/>
      <w:marBottom w:val="0"/>
      <w:divBdr>
        <w:top w:val="none" w:sz="0" w:space="0" w:color="auto"/>
        <w:left w:val="none" w:sz="0" w:space="0" w:color="auto"/>
        <w:bottom w:val="none" w:sz="0" w:space="0" w:color="auto"/>
        <w:right w:val="none" w:sz="0" w:space="0" w:color="auto"/>
      </w:divBdr>
    </w:div>
    <w:div w:id="1877156844">
      <w:bodyDiv w:val="1"/>
      <w:marLeft w:val="0"/>
      <w:marRight w:val="0"/>
      <w:marTop w:val="0"/>
      <w:marBottom w:val="0"/>
      <w:divBdr>
        <w:top w:val="none" w:sz="0" w:space="0" w:color="auto"/>
        <w:left w:val="none" w:sz="0" w:space="0" w:color="auto"/>
        <w:bottom w:val="none" w:sz="0" w:space="0" w:color="auto"/>
        <w:right w:val="none" w:sz="0" w:space="0" w:color="auto"/>
      </w:divBdr>
      <w:divsChild>
        <w:div w:id="68961721">
          <w:marLeft w:val="0"/>
          <w:marRight w:val="0"/>
          <w:marTop w:val="0"/>
          <w:marBottom w:val="0"/>
          <w:divBdr>
            <w:top w:val="none" w:sz="0" w:space="0" w:color="auto"/>
            <w:left w:val="none" w:sz="0" w:space="0" w:color="auto"/>
            <w:bottom w:val="none" w:sz="0" w:space="0" w:color="auto"/>
            <w:right w:val="none" w:sz="0" w:space="0" w:color="auto"/>
          </w:divBdr>
          <w:divsChild>
            <w:div w:id="152332429">
              <w:marLeft w:val="0"/>
              <w:marRight w:val="0"/>
              <w:marTop w:val="0"/>
              <w:marBottom w:val="0"/>
              <w:divBdr>
                <w:top w:val="none" w:sz="0" w:space="0" w:color="auto"/>
                <w:left w:val="none" w:sz="0" w:space="0" w:color="auto"/>
                <w:bottom w:val="none" w:sz="0" w:space="0" w:color="auto"/>
                <w:right w:val="none" w:sz="0" w:space="0" w:color="auto"/>
              </w:divBdr>
              <w:divsChild>
                <w:div w:id="16429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1071">
      <w:bodyDiv w:val="1"/>
      <w:marLeft w:val="0"/>
      <w:marRight w:val="0"/>
      <w:marTop w:val="0"/>
      <w:marBottom w:val="0"/>
      <w:divBdr>
        <w:top w:val="none" w:sz="0" w:space="0" w:color="auto"/>
        <w:left w:val="none" w:sz="0" w:space="0" w:color="auto"/>
        <w:bottom w:val="none" w:sz="0" w:space="0" w:color="auto"/>
        <w:right w:val="none" w:sz="0" w:space="0" w:color="auto"/>
      </w:divBdr>
    </w:div>
    <w:div w:id="1929192892">
      <w:bodyDiv w:val="1"/>
      <w:marLeft w:val="0"/>
      <w:marRight w:val="0"/>
      <w:marTop w:val="0"/>
      <w:marBottom w:val="0"/>
      <w:divBdr>
        <w:top w:val="none" w:sz="0" w:space="0" w:color="auto"/>
        <w:left w:val="none" w:sz="0" w:space="0" w:color="auto"/>
        <w:bottom w:val="none" w:sz="0" w:space="0" w:color="auto"/>
        <w:right w:val="none" w:sz="0" w:space="0" w:color="auto"/>
      </w:divBdr>
      <w:divsChild>
        <w:div w:id="1746493386">
          <w:marLeft w:val="0"/>
          <w:marRight w:val="0"/>
          <w:marTop w:val="0"/>
          <w:marBottom w:val="0"/>
          <w:divBdr>
            <w:top w:val="none" w:sz="0" w:space="0" w:color="auto"/>
            <w:left w:val="none" w:sz="0" w:space="0" w:color="auto"/>
            <w:bottom w:val="none" w:sz="0" w:space="0" w:color="auto"/>
            <w:right w:val="none" w:sz="0" w:space="0" w:color="auto"/>
          </w:divBdr>
          <w:divsChild>
            <w:div w:id="1434008913">
              <w:marLeft w:val="0"/>
              <w:marRight w:val="0"/>
              <w:marTop w:val="0"/>
              <w:marBottom w:val="0"/>
              <w:divBdr>
                <w:top w:val="none" w:sz="0" w:space="0" w:color="auto"/>
                <w:left w:val="none" w:sz="0" w:space="0" w:color="auto"/>
                <w:bottom w:val="none" w:sz="0" w:space="0" w:color="auto"/>
                <w:right w:val="none" w:sz="0" w:space="0" w:color="auto"/>
              </w:divBdr>
              <w:divsChild>
                <w:div w:id="1139805297">
                  <w:marLeft w:val="0"/>
                  <w:marRight w:val="0"/>
                  <w:marTop w:val="0"/>
                  <w:marBottom w:val="0"/>
                  <w:divBdr>
                    <w:top w:val="none" w:sz="0" w:space="0" w:color="auto"/>
                    <w:left w:val="none" w:sz="0" w:space="0" w:color="auto"/>
                    <w:bottom w:val="none" w:sz="0" w:space="0" w:color="auto"/>
                    <w:right w:val="none" w:sz="0" w:space="0" w:color="auto"/>
                  </w:divBdr>
                  <w:divsChild>
                    <w:div w:id="3526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5995">
      <w:bodyDiv w:val="1"/>
      <w:marLeft w:val="0"/>
      <w:marRight w:val="0"/>
      <w:marTop w:val="0"/>
      <w:marBottom w:val="0"/>
      <w:divBdr>
        <w:top w:val="none" w:sz="0" w:space="0" w:color="auto"/>
        <w:left w:val="none" w:sz="0" w:space="0" w:color="auto"/>
        <w:bottom w:val="none" w:sz="0" w:space="0" w:color="auto"/>
        <w:right w:val="none" w:sz="0" w:space="0" w:color="auto"/>
      </w:divBdr>
    </w:div>
    <w:div w:id="2014800195">
      <w:bodyDiv w:val="1"/>
      <w:marLeft w:val="0"/>
      <w:marRight w:val="0"/>
      <w:marTop w:val="0"/>
      <w:marBottom w:val="0"/>
      <w:divBdr>
        <w:top w:val="none" w:sz="0" w:space="0" w:color="auto"/>
        <w:left w:val="none" w:sz="0" w:space="0" w:color="auto"/>
        <w:bottom w:val="none" w:sz="0" w:space="0" w:color="auto"/>
        <w:right w:val="none" w:sz="0" w:space="0" w:color="auto"/>
      </w:divBdr>
      <w:divsChild>
        <w:div w:id="2062168100">
          <w:marLeft w:val="0"/>
          <w:marRight w:val="0"/>
          <w:marTop w:val="0"/>
          <w:marBottom w:val="0"/>
          <w:divBdr>
            <w:top w:val="none" w:sz="0" w:space="0" w:color="auto"/>
            <w:left w:val="none" w:sz="0" w:space="0" w:color="auto"/>
            <w:bottom w:val="none" w:sz="0" w:space="0" w:color="auto"/>
            <w:right w:val="none" w:sz="0" w:space="0" w:color="auto"/>
          </w:divBdr>
          <w:divsChild>
            <w:div w:id="68965308">
              <w:marLeft w:val="0"/>
              <w:marRight w:val="0"/>
              <w:marTop w:val="0"/>
              <w:marBottom w:val="0"/>
              <w:divBdr>
                <w:top w:val="none" w:sz="0" w:space="0" w:color="auto"/>
                <w:left w:val="none" w:sz="0" w:space="0" w:color="auto"/>
                <w:bottom w:val="none" w:sz="0" w:space="0" w:color="auto"/>
                <w:right w:val="none" w:sz="0" w:space="0" w:color="auto"/>
              </w:divBdr>
              <w:divsChild>
                <w:div w:id="497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4052">
      <w:bodyDiv w:val="1"/>
      <w:marLeft w:val="0"/>
      <w:marRight w:val="0"/>
      <w:marTop w:val="0"/>
      <w:marBottom w:val="0"/>
      <w:divBdr>
        <w:top w:val="none" w:sz="0" w:space="0" w:color="auto"/>
        <w:left w:val="none" w:sz="0" w:space="0" w:color="auto"/>
        <w:bottom w:val="none" w:sz="0" w:space="0" w:color="auto"/>
        <w:right w:val="none" w:sz="0" w:space="0" w:color="auto"/>
      </w:divBdr>
      <w:divsChild>
        <w:div w:id="1275092251">
          <w:marLeft w:val="0"/>
          <w:marRight w:val="0"/>
          <w:marTop w:val="0"/>
          <w:marBottom w:val="0"/>
          <w:divBdr>
            <w:top w:val="none" w:sz="0" w:space="0" w:color="auto"/>
            <w:left w:val="none" w:sz="0" w:space="0" w:color="auto"/>
            <w:bottom w:val="none" w:sz="0" w:space="0" w:color="auto"/>
            <w:right w:val="none" w:sz="0" w:space="0" w:color="auto"/>
          </w:divBdr>
          <w:divsChild>
            <w:div w:id="1330983388">
              <w:marLeft w:val="0"/>
              <w:marRight w:val="0"/>
              <w:marTop w:val="0"/>
              <w:marBottom w:val="0"/>
              <w:divBdr>
                <w:top w:val="none" w:sz="0" w:space="0" w:color="auto"/>
                <w:left w:val="none" w:sz="0" w:space="0" w:color="auto"/>
                <w:bottom w:val="none" w:sz="0" w:space="0" w:color="auto"/>
                <w:right w:val="none" w:sz="0" w:space="0" w:color="auto"/>
              </w:divBdr>
              <w:divsChild>
                <w:div w:id="6859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7077">
      <w:bodyDiv w:val="1"/>
      <w:marLeft w:val="0"/>
      <w:marRight w:val="0"/>
      <w:marTop w:val="0"/>
      <w:marBottom w:val="0"/>
      <w:divBdr>
        <w:top w:val="none" w:sz="0" w:space="0" w:color="auto"/>
        <w:left w:val="none" w:sz="0" w:space="0" w:color="auto"/>
        <w:bottom w:val="none" w:sz="0" w:space="0" w:color="auto"/>
        <w:right w:val="none" w:sz="0" w:space="0" w:color="auto"/>
      </w:divBdr>
    </w:div>
    <w:div w:id="2118789624">
      <w:bodyDiv w:val="1"/>
      <w:marLeft w:val="0"/>
      <w:marRight w:val="0"/>
      <w:marTop w:val="0"/>
      <w:marBottom w:val="0"/>
      <w:divBdr>
        <w:top w:val="none" w:sz="0" w:space="0" w:color="auto"/>
        <w:left w:val="none" w:sz="0" w:space="0" w:color="auto"/>
        <w:bottom w:val="none" w:sz="0" w:space="0" w:color="auto"/>
        <w:right w:val="none" w:sz="0" w:space="0" w:color="auto"/>
      </w:divBdr>
      <w:divsChild>
        <w:div w:id="1756433042">
          <w:marLeft w:val="0"/>
          <w:marRight w:val="0"/>
          <w:marTop w:val="0"/>
          <w:marBottom w:val="0"/>
          <w:divBdr>
            <w:top w:val="none" w:sz="0" w:space="0" w:color="auto"/>
            <w:left w:val="none" w:sz="0" w:space="0" w:color="auto"/>
            <w:bottom w:val="none" w:sz="0" w:space="0" w:color="auto"/>
            <w:right w:val="none" w:sz="0" w:space="0" w:color="auto"/>
          </w:divBdr>
          <w:divsChild>
            <w:div w:id="1802651639">
              <w:marLeft w:val="0"/>
              <w:marRight w:val="0"/>
              <w:marTop w:val="0"/>
              <w:marBottom w:val="0"/>
              <w:divBdr>
                <w:top w:val="none" w:sz="0" w:space="0" w:color="auto"/>
                <w:left w:val="none" w:sz="0" w:space="0" w:color="auto"/>
                <w:bottom w:val="none" w:sz="0" w:space="0" w:color="auto"/>
                <w:right w:val="none" w:sz="0" w:space="0" w:color="auto"/>
              </w:divBdr>
              <w:divsChild>
                <w:div w:id="5954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4838">
      <w:bodyDiv w:val="1"/>
      <w:marLeft w:val="0"/>
      <w:marRight w:val="0"/>
      <w:marTop w:val="0"/>
      <w:marBottom w:val="0"/>
      <w:divBdr>
        <w:top w:val="none" w:sz="0" w:space="0" w:color="auto"/>
        <w:left w:val="none" w:sz="0" w:space="0" w:color="auto"/>
        <w:bottom w:val="none" w:sz="0" w:space="0" w:color="auto"/>
        <w:right w:val="none" w:sz="0" w:space="0" w:color="auto"/>
      </w:divBdr>
    </w:div>
    <w:div w:id="21451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EN/TXT/?uri=CELEX%3A32017L0541" TargetMode="External"/><Relationship Id="rId18" Type="http://schemas.openxmlformats.org/officeDocument/2006/relationships/hyperlink" Target="https://www.ft.com/content/57c9f719-b05b-474c-96c9-fd5e2c71e00f" TargetMode="External"/><Relationship Id="rId3" Type="http://schemas.openxmlformats.org/officeDocument/2006/relationships/customXml" Target="../customXml/item3.xml"/><Relationship Id="rId21" Type="http://schemas.openxmlformats.org/officeDocument/2006/relationships/hyperlink" Target="https://www.wired.co.uk/article/the-last-king-of-brussels" TargetMode="External"/><Relationship Id="rId7" Type="http://schemas.openxmlformats.org/officeDocument/2006/relationships/webSettings" Target="webSettings.xml"/><Relationship Id="rId12" Type="http://schemas.openxmlformats.org/officeDocument/2006/relationships/hyperlink" Target="http://www.eurojust.europa.eu/press/PressReleases/Pages/2020/2020-01-20.aspx" TargetMode="External"/><Relationship Id="rId17" Type="http://schemas.openxmlformats.org/officeDocument/2006/relationships/hyperlink" Target="https://www.gov.uk/government/publications/critiquing-approaches-to-countering-extremism-via-certain-preventive-meas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uropol.europa.eu/activities-services/main-reports/european-union-terrorism-situation-and-trend-report-te-sat-2020" TargetMode="External"/><Relationship Id="rId20" Type="http://schemas.openxmlformats.org/officeDocument/2006/relationships/hyperlink" Target="https://www.occrp.org/en/daily/12375-malta-delays-start-of-european-prosecutor-s-ope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ishtimes.com/news/crime-and-law/poland-s-assault-on-the-rule-of-law-echoes-problems-in-other-eu-member-states-1.342594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c.europa.eu/commission/presscorner/detail/en/FS_19_6194" TargetMode="External"/><Relationship Id="rId23" Type="http://schemas.openxmlformats.org/officeDocument/2006/relationships/footer" Target="footer2.xml"/><Relationship Id="rId10" Type="http://schemas.openxmlformats.org/officeDocument/2006/relationships/hyperlink" Target="https://behorizon.org/europe-as-a-security-actor-and-the-common-security-and-defense-policy-csdp/" TargetMode="External"/><Relationship Id="rId19" Type="http://schemas.openxmlformats.org/officeDocument/2006/relationships/hyperlink" Target="https://www.dw.com/en/poland-joins-hungary-in-planning-stringent-anti-terrorism-laws-in-wake-of-brussels-attacks/a-19141781%20Accessed%2015th%20July%20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home-affairs/sites/homeaffairs/files/what-we-do/policies/european-agenda-security/20170629_a_european_agenda_on_security_-_state_of_play_june_2017_en.pdf"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5F415C9D8814FBFD6C6CF426A5677" ma:contentTypeVersion="13" ma:contentTypeDescription="Create a new document." ma:contentTypeScope="" ma:versionID="59ca1f3276e2872967dfca9d714fbb2e">
  <xsd:schema xmlns:xsd="http://www.w3.org/2001/XMLSchema" xmlns:xs="http://www.w3.org/2001/XMLSchema" xmlns:p="http://schemas.microsoft.com/office/2006/metadata/properties" xmlns:ns3="4a133397-0785-4830-af87-76ce322ddc5f" xmlns:ns4="3942fc58-04f6-45b2-9ade-9f5e1804637e" targetNamespace="http://schemas.microsoft.com/office/2006/metadata/properties" ma:root="true" ma:fieldsID="c9ab023a463c0e0a45cd721277408514" ns3:_="" ns4:_="">
    <xsd:import namespace="4a133397-0785-4830-af87-76ce322ddc5f"/>
    <xsd:import namespace="3942fc58-04f6-45b2-9ade-9f5e180463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33397-0785-4830-af87-76ce322dd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2fc58-04f6-45b2-9ade-9f5e180463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A3E01-60B1-4ADF-9152-A4A278300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33397-0785-4830-af87-76ce322ddc5f"/>
    <ds:schemaRef ds:uri="3942fc58-04f6-45b2-9ade-9f5e18046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C7BCF-AC2B-401D-AD62-EE2EA69FCC8E}">
  <ds:schemaRefs>
    <ds:schemaRef ds:uri="http://schemas.microsoft.com/sharepoint/v3/contenttype/forms"/>
  </ds:schemaRefs>
</ds:datastoreItem>
</file>

<file path=customXml/itemProps3.xml><?xml version="1.0" encoding="utf-8"?>
<ds:datastoreItem xmlns:ds="http://schemas.openxmlformats.org/officeDocument/2006/customXml" ds:itemID="{085C2354-A6D5-45C2-8E26-16E238DC1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6291</Words>
  <Characters>35859</Characters>
  <Application>Microsoft Office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Maryon</dc:creator>
  <cp:keywords/>
  <cp:lastModifiedBy>Rosa Maryon</cp:lastModifiedBy>
  <cp:revision>5</cp:revision>
  <cp:lastPrinted>2020-11-04T14:18:00Z</cp:lastPrinted>
  <dcterms:created xsi:type="dcterms:W3CDTF">2021-04-30T16:24:00Z</dcterms:created>
  <dcterms:modified xsi:type="dcterms:W3CDTF">2021-04-30T16:34:00Z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0x010100E565F415C9D8814FBFD6C6CF426A5677</vt:lpwstr>
  </property>
</Properties>
</file>