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B6D7" w14:textId="77777777" w:rsidR="002A09C0" w:rsidRPr="009F173A" w:rsidRDefault="002A09C0" w:rsidP="002A09C0">
      <w:pPr>
        <w:spacing w:after="200" w:line="276" w:lineRule="auto"/>
        <w:jc w:val="center"/>
        <w:rPr>
          <w:b/>
        </w:rPr>
      </w:pPr>
      <w:r w:rsidRPr="009F173A">
        <w:rPr>
          <w:b/>
        </w:rPr>
        <w:t>Title page</w:t>
      </w:r>
    </w:p>
    <w:p w14:paraId="658F3FE7" w14:textId="77777777" w:rsidR="002A09C0" w:rsidRPr="009F173A" w:rsidRDefault="002A09C0" w:rsidP="002A09C0">
      <w:pPr>
        <w:spacing w:after="200" w:line="276" w:lineRule="auto"/>
        <w:rPr>
          <w:b/>
        </w:rPr>
      </w:pPr>
      <w:r w:rsidRPr="009F173A">
        <w:rPr>
          <w:b/>
        </w:rPr>
        <w:t>Title</w:t>
      </w:r>
    </w:p>
    <w:p w14:paraId="43936D0A" w14:textId="77777777" w:rsidR="002A09C0" w:rsidRPr="009F173A" w:rsidRDefault="002A09C0" w:rsidP="002A09C0">
      <w:pPr>
        <w:spacing w:after="200" w:line="360" w:lineRule="auto"/>
      </w:pPr>
      <w:r w:rsidRPr="009F173A">
        <w:t>Evaluation of bioelectrical impedance analysis in measuring body fat in 6-to-12-year-old boys compared to air displacement plethysmography</w:t>
      </w:r>
    </w:p>
    <w:p w14:paraId="09CAF699" w14:textId="77777777" w:rsidR="002A09C0" w:rsidRPr="009F173A" w:rsidRDefault="002A09C0" w:rsidP="002A09C0">
      <w:pPr>
        <w:spacing w:after="200" w:line="360" w:lineRule="auto"/>
        <w:rPr>
          <w:rFonts w:eastAsiaTheme="minorEastAsia"/>
          <w:lang w:eastAsia="en-GB"/>
        </w:rPr>
      </w:pPr>
      <w:bookmarkStart w:id="0" w:name="_GoBack"/>
      <w:bookmarkEnd w:id="0"/>
    </w:p>
    <w:p w14:paraId="4A62F684" w14:textId="77777777" w:rsidR="002A09C0" w:rsidRPr="009F173A" w:rsidRDefault="002A09C0" w:rsidP="002A09C0">
      <w:pPr>
        <w:spacing w:after="200" w:line="360" w:lineRule="auto"/>
        <w:rPr>
          <w:rFonts w:eastAsiaTheme="minorEastAsia"/>
          <w:b/>
          <w:lang w:eastAsia="en-GB"/>
        </w:rPr>
      </w:pPr>
      <w:r w:rsidRPr="009F173A">
        <w:rPr>
          <w:rFonts w:eastAsiaTheme="minorEastAsia"/>
          <w:b/>
          <w:lang w:eastAsia="en-GB"/>
        </w:rPr>
        <w:t>Authors</w:t>
      </w:r>
    </w:p>
    <w:p w14:paraId="519802DD" w14:textId="06D05536" w:rsidR="002A09C0" w:rsidRPr="009F173A" w:rsidRDefault="002A09C0" w:rsidP="002A09C0">
      <w:pPr>
        <w:rPr>
          <w:rFonts w:eastAsiaTheme="minorEastAsia" w:cs="Times New Roman"/>
        </w:rPr>
      </w:pPr>
      <w:r w:rsidRPr="009F173A">
        <w:rPr>
          <w:rFonts w:eastAsiaTheme="minorEastAsia" w:cs="Times New Roman"/>
          <w:lang w:val="en-US"/>
        </w:rPr>
        <w:t>Ryan Mahaffey</w:t>
      </w:r>
      <w:r w:rsidRPr="009F173A">
        <w:rPr>
          <w:rFonts w:eastAsiaTheme="minorEastAsia" w:cs="Times New Roman"/>
          <w:vertAlign w:val="superscript"/>
          <w:lang w:val="en-US"/>
        </w:rPr>
        <w:t>*1</w:t>
      </w:r>
    </w:p>
    <w:p w14:paraId="16C137C8" w14:textId="25DF9096" w:rsidR="002A09C0" w:rsidRPr="009F173A" w:rsidRDefault="002A09C0" w:rsidP="002A09C0">
      <w:pPr>
        <w:rPr>
          <w:rFonts w:eastAsiaTheme="minorEastAsia" w:cs="Times New Roman"/>
        </w:rPr>
      </w:pPr>
      <w:r w:rsidRPr="009F173A">
        <w:rPr>
          <w:rFonts w:eastAsiaTheme="minorEastAsia" w:cs="Times New Roman"/>
        </w:rPr>
        <w:t>Nicola Brown</w:t>
      </w:r>
      <w:r w:rsidRPr="009F173A">
        <w:rPr>
          <w:rFonts w:eastAsiaTheme="minorEastAsia" w:cs="Times New Roman"/>
          <w:vertAlign w:val="superscript"/>
        </w:rPr>
        <w:t>1</w:t>
      </w:r>
    </w:p>
    <w:p w14:paraId="0D85AAE2" w14:textId="35E6BD5A" w:rsidR="002A09C0" w:rsidRPr="009F173A" w:rsidRDefault="002A09C0" w:rsidP="002A09C0">
      <w:r w:rsidRPr="009F173A">
        <w:rPr>
          <w:rFonts w:eastAsiaTheme="minorEastAsia" w:cs="Times New Roman"/>
        </w:rPr>
        <w:t>Mary Cramp</w:t>
      </w:r>
      <w:r w:rsidRPr="009F173A">
        <w:rPr>
          <w:rFonts w:eastAsiaTheme="minorEastAsia" w:cs="Times New Roman"/>
          <w:vertAlign w:val="superscript"/>
        </w:rPr>
        <w:t>2</w:t>
      </w:r>
    </w:p>
    <w:p w14:paraId="06478F1B" w14:textId="609FDB52" w:rsidR="002A09C0" w:rsidRPr="009F173A" w:rsidRDefault="002A09C0" w:rsidP="002A09C0">
      <w:pPr>
        <w:rPr>
          <w:rFonts w:eastAsiaTheme="minorEastAsia" w:cs="Times New Roman"/>
          <w:vertAlign w:val="superscript"/>
        </w:rPr>
      </w:pPr>
      <w:r w:rsidRPr="009F173A">
        <w:rPr>
          <w:rFonts w:eastAsiaTheme="minorEastAsia" w:cs="Times New Roman"/>
        </w:rPr>
        <w:t>Stewart C. Morrison</w:t>
      </w:r>
      <w:r w:rsidRPr="009F173A">
        <w:rPr>
          <w:rFonts w:eastAsiaTheme="minorEastAsia" w:cs="Times New Roman"/>
          <w:vertAlign w:val="superscript"/>
        </w:rPr>
        <w:t>3</w:t>
      </w:r>
    </w:p>
    <w:p w14:paraId="0249B968" w14:textId="77777777" w:rsidR="002A09C0" w:rsidRPr="009F173A" w:rsidRDefault="002A09C0" w:rsidP="002A09C0">
      <w:pPr>
        <w:rPr>
          <w:rFonts w:eastAsiaTheme="minorEastAsia" w:cs="Times New Roman"/>
          <w:lang w:val="en-US"/>
        </w:rPr>
      </w:pPr>
      <w:r w:rsidRPr="009F173A">
        <w:rPr>
          <w:rFonts w:eastAsiaTheme="minorEastAsia" w:cs="Times New Roman"/>
          <w:lang w:val="en-US"/>
        </w:rPr>
        <w:t>Wendy I Drechsler</w:t>
      </w:r>
      <w:r w:rsidRPr="009F173A">
        <w:rPr>
          <w:rFonts w:eastAsiaTheme="minorEastAsia" w:cs="Times New Roman"/>
          <w:vertAlign w:val="superscript"/>
          <w:lang w:val="en-US"/>
        </w:rPr>
        <w:t>4</w:t>
      </w:r>
      <w:r w:rsidRPr="009F173A">
        <w:rPr>
          <w:rFonts w:eastAsiaTheme="minorEastAsia" w:cs="Times New Roman"/>
          <w:lang w:val="en-US"/>
        </w:rPr>
        <w:br/>
      </w:r>
    </w:p>
    <w:p w14:paraId="615A7FE7" w14:textId="77777777" w:rsidR="002A09C0" w:rsidRPr="009F173A" w:rsidRDefault="002A09C0" w:rsidP="002A09C0">
      <w:pPr>
        <w:rPr>
          <w:rFonts w:eastAsiaTheme="minorEastAsia" w:cs="Times New Roman"/>
          <w:lang w:val="en-US"/>
        </w:rPr>
      </w:pPr>
      <w:r w:rsidRPr="009F173A">
        <w:rPr>
          <w:rFonts w:eastAsiaTheme="minorEastAsia" w:cs="Times New Roman"/>
          <w:vertAlign w:val="superscript"/>
          <w:lang w:val="en-US"/>
        </w:rPr>
        <w:t>*</w:t>
      </w:r>
      <w:r w:rsidRPr="009F173A">
        <w:rPr>
          <w:rFonts w:eastAsiaTheme="minorEastAsia" w:cs="Times New Roman"/>
          <w:lang w:val="en-US"/>
        </w:rPr>
        <w:t xml:space="preserve"> Corresponding author</w:t>
      </w:r>
      <w:r w:rsidRPr="009F173A">
        <w:rPr>
          <w:rFonts w:eastAsiaTheme="minorEastAsia" w:cs="Times New Roman"/>
          <w:lang w:val="en-US"/>
        </w:rPr>
        <w:br/>
        <w:t xml:space="preserve">Email: </w:t>
      </w:r>
      <w:hyperlink r:id="rId11" w:history="1">
        <w:r w:rsidRPr="009F173A">
          <w:rPr>
            <w:rStyle w:val="Hyperlink"/>
            <w:color w:val="auto"/>
            <w:lang w:val="it-IT"/>
          </w:rPr>
          <w:t>ryan.mahaffey@stmarys.ac.uk</w:t>
        </w:r>
      </w:hyperlink>
      <w:r w:rsidRPr="009F173A">
        <w:rPr>
          <w:lang w:val="it-IT"/>
        </w:rPr>
        <w:t xml:space="preserve"> </w:t>
      </w:r>
    </w:p>
    <w:p w14:paraId="67E9B8CE" w14:textId="77777777" w:rsidR="002A09C0" w:rsidRPr="009F173A" w:rsidRDefault="002A09C0" w:rsidP="002A09C0">
      <w:pPr>
        <w:rPr>
          <w:rFonts w:eastAsiaTheme="minorEastAsia" w:cs="Times New Roman"/>
          <w:lang w:val="en-US"/>
        </w:rPr>
      </w:pPr>
      <w:r w:rsidRPr="009F173A">
        <w:rPr>
          <w:rFonts w:eastAsiaTheme="minorEastAsia" w:cs="Times New Roman"/>
          <w:lang w:val="en-US"/>
        </w:rPr>
        <w:t>Tel: +44 (0)7708258741</w:t>
      </w:r>
    </w:p>
    <w:p w14:paraId="0C63994C" w14:textId="77777777" w:rsidR="002A09C0" w:rsidRPr="009F173A" w:rsidRDefault="002A09C0" w:rsidP="002A09C0">
      <w:pPr>
        <w:rPr>
          <w:rFonts w:eastAsiaTheme="minorEastAsia" w:cs="Times New Roman"/>
          <w:lang w:val="en-US"/>
        </w:rPr>
      </w:pPr>
      <w:r w:rsidRPr="009F173A">
        <w:rPr>
          <w:rFonts w:eastAsiaTheme="minorEastAsia" w:cs="Times New Roman"/>
        </w:rPr>
        <w:t xml:space="preserve">St Mary’s University, Waldegrave Road, Twickenham, </w:t>
      </w:r>
      <w:r w:rsidRPr="009F173A">
        <w:rPr>
          <w:rFonts w:cstheme="minorHAnsi"/>
          <w:shd w:val="clear" w:color="auto" w:fill="FFFFFF"/>
        </w:rPr>
        <w:t>TW1 4SX</w:t>
      </w:r>
    </w:p>
    <w:p w14:paraId="6D856F21" w14:textId="77777777" w:rsidR="002A09C0" w:rsidRPr="009F173A" w:rsidRDefault="002A09C0" w:rsidP="002A09C0">
      <w:pPr>
        <w:rPr>
          <w:rFonts w:eastAsiaTheme="minorEastAsia" w:cs="Times New Roman"/>
          <w:lang w:val="en-US"/>
        </w:rPr>
      </w:pPr>
    </w:p>
    <w:p w14:paraId="33053E4C" w14:textId="77777777" w:rsidR="002A09C0" w:rsidRPr="009F173A" w:rsidRDefault="002A09C0" w:rsidP="002A09C0">
      <w:pPr>
        <w:rPr>
          <w:rFonts w:eastAsiaTheme="minorEastAsia" w:cs="Times New Roman"/>
        </w:rPr>
      </w:pPr>
      <w:r w:rsidRPr="009F173A">
        <w:rPr>
          <w:rFonts w:eastAsiaTheme="minorEastAsia" w:cs="Times New Roman"/>
          <w:vertAlign w:val="superscript"/>
        </w:rPr>
        <w:t>1</w:t>
      </w:r>
      <w:r w:rsidRPr="009F173A">
        <w:rPr>
          <w:rFonts w:eastAsiaTheme="minorEastAsia" w:cs="Times New Roman"/>
        </w:rPr>
        <w:t>School of Sport, Health and Applied Sciences, St Mary’s University, Twickenham, UK</w:t>
      </w:r>
    </w:p>
    <w:p w14:paraId="6B33C671" w14:textId="77777777" w:rsidR="002A09C0" w:rsidRPr="009F173A" w:rsidRDefault="002A09C0" w:rsidP="002A09C0">
      <w:r w:rsidRPr="009F173A">
        <w:rPr>
          <w:vertAlign w:val="superscript"/>
        </w:rPr>
        <w:t>2</w:t>
      </w:r>
      <w:r w:rsidRPr="009F173A">
        <w:t>Department of Allied Health Professions, University of the West of England Bristol, UK</w:t>
      </w:r>
    </w:p>
    <w:p w14:paraId="3C50DF47" w14:textId="77777777" w:rsidR="002A09C0" w:rsidRPr="009F173A" w:rsidRDefault="002A09C0" w:rsidP="002A09C0">
      <w:r w:rsidRPr="009F173A">
        <w:rPr>
          <w:vertAlign w:val="superscript"/>
        </w:rPr>
        <w:t>3</w:t>
      </w:r>
      <w:r w:rsidRPr="009F173A">
        <w:t>School of Life Course and Population Sciences, King’s College London, UK</w:t>
      </w:r>
    </w:p>
    <w:p w14:paraId="059274F2" w14:textId="42E08D4A" w:rsidR="002A09C0" w:rsidRPr="009F173A" w:rsidRDefault="002A09C0" w:rsidP="002A09C0">
      <w:pPr>
        <w:rPr>
          <w:rFonts w:eastAsiaTheme="minorEastAsia" w:cs="Times New Roman"/>
        </w:rPr>
      </w:pPr>
      <w:r w:rsidRPr="009F173A">
        <w:rPr>
          <w:rFonts w:eastAsiaTheme="minorEastAsia" w:cs="Times New Roman"/>
          <w:vertAlign w:val="superscript"/>
        </w:rPr>
        <w:t>4</w:t>
      </w:r>
      <w:r w:rsidR="00A87BA1" w:rsidRPr="009F173A">
        <w:rPr>
          <w:rFonts w:eastAsiaTheme="minorEastAsia" w:cs="Times New Roman"/>
        </w:rPr>
        <w:t>Haemophilia Centre, East Kent Hospitals University NHS Trust, UK</w:t>
      </w:r>
      <w:r w:rsidRPr="009F173A">
        <w:rPr>
          <w:rFonts w:eastAsiaTheme="minorEastAsia" w:cs="Times New Roman"/>
        </w:rPr>
        <w:t>.</w:t>
      </w:r>
    </w:p>
    <w:p w14:paraId="5E9D2CB2" w14:textId="049CD0A7" w:rsidR="002A09C0" w:rsidRPr="009F173A" w:rsidRDefault="002A09C0" w:rsidP="002A09C0">
      <w:pPr>
        <w:spacing w:before="100" w:beforeAutospacing="1" w:after="100" w:afterAutospacing="1"/>
      </w:pPr>
    </w:p>
    <w:p w14:paraId="0EFD5024" w14:textId="263808EF" w:rsidR="002A09C0" w:rsidRPr="009F173A" w:rsidRDefault="002A09C0" w:rsidP="002A09C0">
      <w:pPr>
        <w:spacing w:before="100" w:beforeAutospacing="1" w:after="100" w:afterAutospacing="1"/>
        <w:rPr>
          <w:b/>
        </w:rPr>
      </w:pPr>
      <w:r w:rsidRPr="009F173A">
        <w:rPr>
          <w:b/>
        </w:rPr>
        <w:t>Abbreviations</w:t>
      </w:r>
    </w:p>
    <w:p w14:paraId="70CA7182" w14:textId="6CED6650" w:rsidR="002A09C0" w:rsidRPr="009F173A" w:rsidRDefault="003625DF" w:rsidP="002A09C0">
      <w:pPr>
        <w:spacing w:before="100" w:beforeAutospacing="1" w:after="100" w:afterAutospacing="1"/>
        <w:rPr>
          <w:bCs/>
        </w:rPr>
      </w:pPr>
      <w:r w:rsidRPr="009F173A">
        <w:t xml:space="preserve">Percentage fat mass (%FM), </w:t>
      </w:r>
      <w:r w:rsidRPr="009F173A">
        <w:rPr>
          <w:bCs/>
        </w:rPr>
        <w:t>dual-energy x-ray absorptiometry (DXA), three-compartment model (3C), four-compartment model (4C), air displacement plethysmography (ADP), limits of agreement (LoA), bioelectrical impedance analysis (BIA), percentage fat mass measured by air displacement plethysmography (%FM</w:t>
      </w:r>
      <w:r w:rsidRPr="009F173A">
        <w:rPr>
          <w:bCs/>
          <w:vertAlign w:val="subscript"/>
        </w:rPr>
        <w:t>ADP</w:t>
      </w:r>
      <w:r w:rsidRPr="009F173A">
        <w:rPr>
          <w:bCs/>
        </w:rPr>
        <w:t>), percentage fat mass measured by bioelectrical impedance analysis (%FM</w:t>
      </w:r>
      <w:r w:rsidRPr="009F173A">
        <w:rPr>
          <w:bCs/>
          <w:vertAlign w:val="subscript"/>
        </w:rPr>
        <w:t>BIA</w:t>
      </w:r>
      <w:r w:rsidRPr="009F173A">
        <w:rPr>
          <w:bCs/>
        </w:rPr>
        <w:t>), intraclass correlation coefficients (ICCs), Technical error of the measurement (TEM), body volumes (Vb), thoracic gas volumes (TGV), skin surface area (SSA), Effect size (ES), 95% confidence intervals (95%CI).</w:t>
      </w:r>
    </w:p>
    <w:p w14:paraId="6A7B0D49" w14:textId="77777777" w:rsidR="003625DF" w:rsidRPr="009F173A" w:rsidRDefault="003625DF" w:rsidP="002A09C0">
      <w:pPr>
        <w:spacing w:before="100" w:beforeAutospacing="1" w:after="100" w:afterAutospacing="1"/>
      </w:pPr>
    </w:p>
    <w:p w14:paraId="4EC89F20" w14:textId="77777777" w:rsidR="002A09C0" w:rsidRPr="009F173A" w:rsidRDefault="002A09C0" w:rsidP="002A09C0">
      <w:pPr>
        <w:spacing w:before="100" w:beforeAutospacing="1" w:after="100" w:afterAutospacing="1"/>
        <w:rPr>
          <w:b/>
        </w:rPr>
      </w:pPr>
      <w:r w:rsidRPr="009F173A">
        <w:rPr>
          <w:b/>
        </w:rPr>
        <w:lastRenderedPageBreak/>
        <w:t>Running Title</w:t>
      </w:r>
    </w:p>
    <w:p w14:paraId="018D6F23" w14:textId="77777777" w:rsidR="002A09C0" w:rsidRPr="009F173A" w:rsidRDefault="002A09C0" w:rsidP="002A09C0">
      <w:pPr>
        <w:spacing w:before="100" w:beforeAutospacing="1" w:after="100" w:afterAutospacing="1"/>
      </w:pPr>
      <w:r w:rsidRPr="009F173A">
        <w:t>Body fat by BIA v ADP in 6-12 year olds</w:t>
      </w:r>
    </w:p>
    <w:p w14:paraId="29ED4365" w14:textId="77777777" w:rsidR="002A09C0" w:rsidRPr="009F173A" w:rsidRDefault="002A09C0" w:rsidP="002A09C0">
      <w:pPr>
        <w:spacing w:before="100" w:beforeAutospacing="1" w:after="100" w:afterAutospacing="1"/>
      </w:pPr>
    </w:p>
    <w:p w14:paraId="0E3F3D95" w14:textId="77777777" w:rsidR="002A09C0" w:rsidRPr="009F173A" w:rsidRDefault="002A09C0" w:rsidP="002A09C0">
      <w:pPr>
        <w:spacing w:before="100" w:beforeAutospacing="1" w:after="100" w:afterAutospacing="1"/>
        <w:rPr>
          <w:b/>
        </w:rPr>
      </w:pPr>
      <w:r w:rsidRPr="009F173A">
        <w:rPr>
          <w:b/>
        </w:rPr>
        <w:t>Keywords</w:t>
      </w:r>
    </w:p>
    <w:p w14:paraId="2B2A2B79" w14:textId="77777777" w:rsidR="002A09C0" w:rsidRPr="009F173A" w:rsidRDefault="002A09C0" w:rsidP="002A09C0">
      <w:pPr>
        <w:spacing w:before="100" w:beforeAutospacing="1" w:after="100" w:afterAutospacing="1"/>
      </w:pPr>
      <w:r w:rsidRPr="009F173A">
        <w:t>Body composition, obesity, pediatric, concurrent validity, reliability</w:t>
      </w:r>
    </w:p>
    <w:p w14:paraId="0BD294D8" w14:textId="0629595E" w:rsidR="002A09C0" w:rsidRPr="009F173A" w:rsidRDefault="002A09C0" w:rsidP="002A09C0">
      <w:pPr>
        <w:spacing w:before="100" w:beforeAutospacing="1" w:after="100" w:afterAutospacing="1"/>
        <w:rPr>
          <w:rFonts w:eastAsiaTheme="minorEastAsia" w:cs="Times New Roman"/>
          <w:lang w:val="en-US"/>
        </w:rPr>
      </w:pPr>
    </w:p>
    <w:p w14:paraId="7B5622F7" w14:textId="187E472E" w:rsidR="003625DF" w:rsidRPr="009F173A" w:rsidRDefault="003625DF" w:rsidP="002A09C0">
      <w:pPr>
        <w:spacing w:before="100" w:beforeAutospacing="1" w:after="100" w:afterAutospacing="1"/>
        <w:rPr>
          <w:rFonts w:eastAsiaTheme="minorEastAsia" w:cs="Times New Roman"/>
          <w:lang w:val="en-US"/>
        </w:rPr>
      </w:pPr>
    </w:p>
    <w:p w14:paraId="3F7D7B9D" w14:textId="78F19EF4" w:rsidR="003625DF" w:rsidRPr="009F173A" w:rsidRDefault="003625DF" w:rsidP="002A09C0">
      <w:pPr>
        <w:spacing w:before="100" w:beforeAutospacing="1" w:after="100" w:afterAutospacing="1"/>
        <w:rPr>
          <w:rFonts w:eastAsiaTheme="minorEastAsia" w:cs="Times New Roman"/>
          <w:lang w:val="en-US"/>
        </w:rPr>
      </w:pPr>
    </w:p>
    <w:p w14:paraId="686BFB56" w14:textId="6814C612" w:rsidR="003625DF" w:rsidRPr="009F173A" w:rsidRDefault="003625DF" w:rsidP="002A09C0">
      <w:pPr>
        <w:spacing w:before="100" w:beforeAutospacing="1" w:after="100" w:afterAutospacing="1"/>
        <w:rPr>
          <w:rFonts w:eastAsiaTheme="minorEastAsia" w:cs="Times New Roman"/>
          <w:lang w:val="en-US"/>
        </w:rPr>
      </w:pPr>
    </w:p>
    <w:p w14:paraId="7FFF92F3" w14:textId="3A07EFA6" w:rsidR="003625DF" w:rsidRPr="009F173A" w:rsidRDefault="003625DF" w:rsidP="002A09C0">
      <w:pPr>
        <w:spacing w:before="100" w:beforeAutospacing="1" w:after="100" w:afterAutospacing="1"/>
        <w:rPr>
          <w:rFonts w:eastAsiaTheme="minorEastAsia" w:cs="Times New Roman"/>
          <w:lang w:val="en-US"/>
        </w:rPr>
      </w:pPr>
    </w:p>
    <w:p w14:paraId="5D818DBE" w14:textId="3DCC4997" w:rsidR="003625DF" w:rsidRPr="009F173A" w:rsidRDefault="003625DF" w:rsidP="002A09C0">
      <w:pPr>
        <w:spacing w:before="100" w:beforeAutospacing="1" w:after="100" w:afterAutospacing="1"/>
        <w:rPr>
          <w:rFonts w:eastAsiaTheme="minorEastAsia" w:cs="Times New Roman"/>
          <w:lang w:val="en-US"/>
        </w:rPr>
      </w:pPr>
    </w:p>
    <w:p w14:paraId="6130078F" w14:textId="1325CF7B" w:rsidR="003625DF" w:rsidRPr="009F173A" w:rsidRDefault="003625DF" w:rsidP="002A09C0">
      <w:pPr>
        <w:spacing w:before="100" w:beforeAutospacing="1" w:after="100" w:afterAutospacing="1"/>
        <w:rPr>
          <w:rFonts w:eastAsiaTheme="minorEastAsia" w:cs="Times New Roman"/>
          <w:lang w:val="en-US"/>
        </w:rPr>
      </w:pPr>
    </w:p>
    <w:p w14:paraId="2C954FEA" w14:textId="15FBE9A6" w:rsidR="003625DF" w:rsidRPr="009F173A" w:rsidRDefault="003625DF" w:rsidP="002A09C0">
      <w:pPr>
        <w:spacing w:before="100" w:beforeAutospacing="1" w:after="100" w:afterAutospacing="1"/>
        <w:rPr>
          <w:rFonts w:eastAsiaTheme="minorEastAsia" w:cs="Times New Roman"/>
          <w:lang w:val="en-US"/>
        </w:rPr>
      </w:pPr>
    </w:p>
    <w:p w14:paraId="7C3F4D15" w14:textId="53FAC20E" w:rsidR="003625DF" w:rsidRPr="009F173A" w:rsidRDefault="003625DF" w:rsidP="002A09C0">
      <w:pPr>
        <w:spacing w:before="100" w:beforeAutospacing="1" w:after="100" w:afterAutospacing="1"/>
        <w:rPr>
          <w:rFonts w:eastAsiaTheme="minorEastAsia" w:cs="Times New Roman"/>
          <w:lang w:val="en-US"/>
        </w:rPr>
      </w:pPr>
    </w:p>
    <w:p w14:paraId="55F37265" w14:textId="51D8382D" w:rsidR="003625DF" w:rsidRPr="009F173A" w:rsidRDefault="003625DF" w:rsidP="002A09C0">
      <w:pPr>
        <w:spacing w:before="100" w:beforeAutospacing="1" w:after="100" w:afterAutospacing="1"/>
        <w:rPr>
          <w:rFonts w:eastAsiaTheme="minorEastAsia" w:cs="Times New Roman"/>
          <w:lang w:val="en-US"/>
        </w:rPr>
      </w:pPr>
    </w:p>
    <w:p w14:paraId="6EF00324" w14:textId="2F069ECD" w:rsidR="003625DF" w:rsidRPr="009F173A" w:rsidRDefault="003625DF" w:rsidP="002A09C0">
      <w:pPr>
        <w:spacing w:before="100" w:beforeAutospacing="1" w:after="100" w:afterAutospacing="1"/>
        <w:rPr>
          <w:rFonts w:eastAsiaTheme="minorEastAsia" w:cs="Times New Roman"/>
          <w:lang w:val="en-US"/>
        </w:rPr>
      </w:pPr>
    </w:p>
    <w:p w14:paraId="2C06F970" w14:textId="5224479B" w:rsidR="003625DF" w:rsidRPr="009F173A" w:rsidRDefault="003625DF" w:rsidP="002A09C0">
      <w:pPr>
        <w:spacing w:before="100" w:beforeAutospacing="1" w:after="100" w:afterAutospacing="1"/>
        <w:rPr>
          <w:rFonts w:eastAsiaTheme="minorEastAsia" w:cs="Times New Roman"/>
          <w:lang w:val="en-US"/>
        </w:rPr>
      </w:pPr>
    </w:p>
    <w:p w14:paraId="54DBD39C" w14:textId="518E4A22" w:rsidR="003625DF" w:rsidRPr="009F173A" w:rsidRDefault="003625DF" w:rsidP="002A09C0">
      <w:pPr>
        <w:spacing w:before="100" w:beforeAutospacing="1" w:after="100" w:afterAutospacing="1"/>
        <w:rPr>
          <w:rFonts w:eastAsiaTheme="minorEastAsia" w:cs="Times New Roman"/>
          <w:lang w:val="en-US"/>
        </w:rPr>
      </w:pPr>
    </w:p>
    <w:p w14:paraId="5ABECB0C" w14:textId="523EA613" w:rsidR="003625DF" w:rsidRPr="009F173A" w:rsidRDefault="003625DF" w:rsidP="002A09C0">
      <w:pPr>
        <w:spacing w:before="100" w:beforeAutospacing="1" w:after="100" w:afterAutospacing="1"/>
        <w:rPr>
          <w:rFonts w:eastAsiaTheme="minorEastAsia" w:cs="Times New Roman"/>
          <w:lang w:val="en-US"/>
        </w:rPr>
      </w:pPr>
    </w:p>
    <w:p w14:paraId="4876193E" w14:textId="65112DB8" w:rsidR="003625DF" w:rsidRPr="009F173A" w:rsidRDefault="003625DF" w:rsidP="002A09C0">
      <w:pPr>
        <w:spacing w:before="100" w:beforeAutospacing="1" w:after="100" w:afterAutospacing="1"/>
        <w:rPr>
          <w:rFonts w:eastAsiaTheme="minorEastAsia" w:cs="Times New Roman"/>
          <w:lang w:val="en-US"/>
        </w:rPr>
      </w:pPr>
    </w:p>
    <w:p w14:paraId="5F13E454" w14:textId="7A03E3FA" w:rsidR="003625DF" w:rsidRPr="009F173A" w:rsidRDefault="003625DF" w:rsidP="002A09C0">
      <w:pPr>
        <w:spacing w:before="100" w:beforeAutospacing="1" w:after="100" w:afterAutospacing="1"/>
        <w:rPr>
          <w:rFonts w:eastAsiaTheme="minorEastAsia" w:cs="Times New Roman"/>
          <w:lang w:val="en-US"/>
        </w:rPr>
      </w:pPr>
    </w:p>
    <w:p w14:paraId="024DD779" w14:textId="63253D9E" w:rsidR="003625DF" w:rsidRPr="009F173A" w:rsidRDefault="003625DF" w:rsidP="002A09C0">
      <w:pPr>
        <w:spacing w:before="100" w:beforeAutospacing="1" w:after="100" w:afterAutospacing="1"/>
        <w:rPr>
          <w:rFonts w:eastAsiaTheme="minorEastAsia" w:cs="Times New Roman"/>
          <w:lang w:val="en-US"/>
        </w:rPr>
      </w:pPr>
    </w:p>
    <w:p w14:paraId="26B9B123" w14:textId="3C322A6A" w:rsidR="003625DF" w:rsidRPr="009F173A" w:rsidRDefault="003625DF" w:rsidP="002A09C0">
      <w:pPr>
        <w:spacing w:before="100" w:beforeAutospacing="1" w:after="100" w:afterAutospacing="1"/>
        <w:rPr>
          <w:rFonts w:eastAsiaTheme="minorEastAsia" w:cs="Times New Roman"/>
          <w:lang w:val="en-US"/>
        </w:rPr>
      </w:pPr>
    </w:p>
    <w:p w14:paraId="6B91F547" w14:textId="77777777" w:rsidR="003625DF" w:rsidRPr="009F173A" w:rsidRDefault="003625DF" w:rsidP="002A09C0">
      <w:pPr>
        <w:spacing w:before="100" w:beforeAutospacing="1" w:after="100" w:afterAutospacing="1"/>
        <w:rPr>
          <w:rFonts w:eastAsiaTheme="minorEastAsia" w:cs="Times New Roman"/>
          <w:lang w:val="en-US"/>
        </w:rPr>
      </w:pPr>
    </w:p>
    <w:p w14:paraId="555CA6A5" w14:textId="6C73E0DE" w:rsidR="007A49B9" w:rsidRPr="009F173A" w:rsidRDefault="00CA61D8" w:rsidP="00CA61D8">
      <w:pPr>
        <w:spacing w:after="0" w:line="360" w:lineRule="auto"/>
        <w:rPr>
          <w:b/>
        </w:rPr>
      </w:pPr>
      <w:r w:rsidRPr="009F173A">
        <w:rPr>
          <w:b/>
        </w:rPr>
        <w:lastRenderedPageBreak/>
        <w:t xml:space="preserve">Evaluation of bioelectrical impedance analysis in </w:t>
      </w:r>
      <w:r w:rsidR="00D10E6D" w:rsidRPr="009F173A">
        <w:rPr>
          <w:b/>
        </w:rPr>
        <w:t>measuring</w:t>
      </w:r>
      <w:r w:rsidRPr="009F173A">
        <w:rPr>
          <w:b/>
        </w:rPr>
        <w:t xml:space="preserve"> body fat in </w:t>
      </w:r>
      <w:r w:rsidR="0071474A" w:rsidRPr="009F173A">
        <w:rPr>
          <w:b/>
        </w:rPr>
        <w:t>6</w:t>
      </w:r>
      <w:r w:rsidR="00F61944" w:rsidRPr="009F173A">
        <w:rPr>
          <w:b/>
        </w:rPr>
        <w:t>-</w:t>
      </w:r>
      <w:r w:rsidRPr="009F173A">
        <w:rPr>
          <w:b/>
        </w:rPr>
        <w:t>to</w:t>
      </w:r>
      <w:r w:rsidR="00F61944" w:rsidRPr="009F173A">
        <w:rPr>
          <w:b/>
        </w:rPr>
        <w:t>-</w:t>
      </w:r>
      <w:r w:rsidRPr="009F173A">
        <w:rPr>
          <w:b/>
        </w:rPr>
        <w:t>12-year-old boys compared to air displacement plethysmography</w:t>
      </w:r>
    </w:p>
    <w:p w14:paraId="3C4C26CF" w14:textId="77777777" w:rsidR="00127AAF" w:rsidRPr="009F173A" w:rsidRDefault="00127AAF" w:rsidP="00193925">
      <w:pPr>
        <w:spacing w:after="0"/>
        <w:rPr>
          <w:b/>
        </w:rPr>
      </w:pPr>
    </w:p>
    <w:p w14:paraId="5639C2FD" w14:textId="77777777" w:rsidR="00127AAF" w:rsidRPr="009F173A" w:rsidRDefault="00127AAF" w:rsidP="00193925">
      <w:pPr>
        <w:spacing w:after="0"/>
        <w:rPr>
          <w:b/>
        </w:rPr>
      </w:pPr>
    </w:p>
    <w:p w14:paraId="2AC0337E" w14:textId="40D8BF90" w:rsidR="00892116" w:rsidRPr="009F173A" w:rsidRDefault="007A49B9" w:rsidP="00193925">
      <w:pPr>
        <w:spacing w:after="0"/>
        <w:rPr>
          <w:b/>
        </w:rPr>
      </w:pPr>
      <w:r w:rsidRPr="009F173A">
        <w:rPr>
          <w:b/>
        </w:rPr>
        <w:t>Introduction</w:t>
      </w:r>
    </w:p>
    <w:p w14:paraId="2EF972D6" w14:textId="32B75941" w:rsidR="00892116" w:rsidRPr="009F173A" w:rsidRDefault="00892116" w:rsidP="00193925">
      <w:pPr>
        <w:spacing w:after="0"/>
        <w:rPr>
          <w:bCs/>
        </w:rPr>
      </w:pPr>
    </w:p>
    <w:p w14:paraId="705689BD" w14:textId="2EFB5DB0" w:rsidR="00CA61D8" w:rsidRPr="009F173A" w:rsidRDefault="00CA61D8" w:rsidP="003C5367">
      <w:pPr>
        <w:spacing w:after="0" w:line="276" w:lineRule="auto"/>
        <w:rPr>
          <w:rFonts w:cstheme="minorHAnsi"/>
          <w:lang w:val="en-US"/>
        </w:rPr>
      </w:pPr>
      <w:r w:rsidRPr="009F173A">
        <w:rPr>
          <w:rFonts w:eastAsia="Calibri" w:cstheme="minorHAnsi"/>
        </w:rPr>
        <w:t>Childhood obesity is associated with significant morbidity and mortality.</w:t>
      </w:r>
      <w:r w:rsidR="00C82346" w:rsidRPr="009F173A">
        <w:rPr>
          <w:rFonts w:eastAsia="Calibri" w:cstheme="minorHAnsi"/>
          <w:vertAlign w:val="superscript"/>
        </w:rPr>
        <w:t>1,2</w:t>
      </w:r>
      <w:r w:rsidRPr="009F173A">
        <w:rPr>
          <w:rFonts w:eastAsia="Calibri" w:cstheme="minorHAnsi"/>
        </w:rPr>
        <w:t xml:space="preserve"> </w:t>
      </w:r>
      <w:r w:rsidRPr="009F173A">
        <w:rPr>
          <w:rFonts w:cstheme="minorHAnsi"/>
          <w:lang w:val="en-US"/>
        </w:rPr>
        <w:t xml:space="preserve">Comorbidities associated with childhood obesity affect almost every body system, including, but </w:t>
      </w:r>
      <w:r w:rsidR="00601D65" w:rsidRPr="009F173A">
        <w:rPr>
          <w:rFonts w:cstheme="minorHAnsi"/>
          <w:lang w:val="en-US"/>
        </w:rPr>
        <w:t xml:space="preserve">not </w:t>
      </w:r>
      <w:r w:rsidRPr="009F173A">
        <w:rPr>
          <w:rFonts w:cstheme="minorHAnsi"/>
          <w:lang w:val="en-US"/>
        </w:rPr>
        <w:t>limited to, endocrine, cardiovascular, cardiometabolic, and musculoskeletal systems.</w:t>
      </w:r>
      <w:r w:rsidR="00C82346" w:rsidRPr="009F173A">
        <w:rPr>
          <w:rFonts w:cstheme="minorHAnsi"/>
          <w:vertAlign w:val="superscript"/>
          <w:lang w:val="en-US"/>
        </w:rPr>
        <w:t>3</w:t>
      </w:r>
      <w:r w:rsidRPr="009F173A">
        <w:rPr>
          <w:rFonts w:cstheme="minorHAnsi"/>
          <w:lang w:val="en-US"/>
        </w:rPr>
        <w:t xml:space="preserve"> </w:t>
      </w:r>
      <w:r w:rsidRPr="009F173A">
        <w:rPr>
          <w:rFonts w:eastAsia="Calibri" w:cstheme="minorHAnsi"/>
        </w:rPr>
        <w:t>Worldwide prevalence of childhood overweight and obesity increased from 12.8% in 2000 to 14.2% in 2013 and is expected to reach 15.8% in 2025.</w:t>
      </w:r>
      <w:r w:rsidR="00C82346" w:rsidRPr="009F173A">
        <w:rPr>
          <w:rFonts w:eastAsia="Calibri" w:cstheme="minorHAnsi"/>
          <w:vertAlign w:val="superscript"/>
        </w:rPr>
        <w:t>4</w:t>
      </w:r>
      <w:r w:rsidRPr="009F173A">
        <w:rPr>
          <w:rFonts w:eastAsia="Calibri" w:cstheme="minorHAnsi"/>
        </w:rPr>
        <w:t xml:space="preserve">  Growth trajectories for childhood obesity into adulthood indicate that 57.3% of today’s </w:t>
      </w:r>
      <w:r w:rsidR="00400748" w:rsidRPr="009F173A">
        <w:rPr>
          <w:rFonts w:eastAsia="Calibri" w:cstheme="minorHAnsi"/>
        </w:rPr>
        <w:t>children</w:t>
      </w:r>
      <w:r w:rsidRPr="009F173A">
        <w:rPr>
          <w:rFonts w:eastAsia="Calibri" w:cstheme="minorHAnsi"/>
        </w:rPr>
        <w:t xml:space="preserve"> and 75% of children </w:t>
      </w:r>
      <w:r w:rsidR="00400748" w:rsidRPr="009F173A">
        <w:rPr>
          <w:rFonts w:eastAsia="Calibri" w:cstheme="minorHAnsi"/>
        </w:rPr>
        <w:t xml:space="preserve">currently </w:t>
      </w:r>
      <w:r w:rsidRPr="009F173A">
        <w:rPr>
          <w:rFonts w:eastAsia="Calibri" w:cstheme="minorHAnsi"/>
        </w:rPr>
        <w:t>with obesity will be obese at the age of 35.</w:t>
      </w:r>
      <w:r w:rsidR="00C82346" w:rsidRPr="009F173A">
        <w:rPr>
          <w:rFonts w:eastAsia="Calibri" w:cstheme="minorHAnsi"/>
          <w:vertAlign w:val="superscript"/>
        </w:rPr>
        <w:t>5</w:t>
      </w:r>
      <w:r w:rsidRPr="009F173A">
        <w:rPr>
          <w:rFonts w:eastAsia="Calibri" w:cstheme="minorHAnsi"/>
        </w:rPr>
        <w:t xml:space="preserve"> </w:t>
      </w:r>
      <w:bookmarkStart w:id="1" w:name="_Hlk103328793"/>
      <w:r w:rsidRPr="009F173A">
        <w:rPr>
          <w:rFonts w:eastAsia="Calibri" w:cstheme="minorHAnsi"/>
        </w:rPr>
        <w:t xml:space="preserve">Monitoring and tracking of obesity in childhood appears critical to determine when preventative or management interventions should be taken.     </w:t>
      </w:r>
      <w:bookmarkEnd w:id="1"/>
    </w:p>
    <w:p w14:paraId="50B07C92" w14:textId="77777777" w:rsidR="00043D7E" w:rsidRPr="009F173A" w:rsidRDefault="00043D7E" w:rsidP="00193925">
      <w:pPr>
        <w:spacing w:after="0"/>
        <w:rPr>
          <w:rFonts w:eastAsia="Calibri" w:cstheme="minorHAnsi"/>
        </w:rPr>
      </w:pPr>
    </w:p>
    <w:p w14:paraId="3608A972" w14:textId="2668575E" w:rsidR="00892116" w:rsidRPr="009F173A" w:rsidRDefault="00892116" w:rsidP="003C5367">
      <w:pPr>
        <w:spacing w:after="0" w:line="276" w:lineRule="auto"/>
        <w:rPr>
          <w:rFonts w:cstheme="minorHAnsi"/>
          <w:lang w:val="en-US"/>
        </w:rPr>
      </w:pPr>
      <w:r w:rsidRPr="009F173A">
        <w:rPr>
          <w:rFonts w:cstheme="minorHAnsi"/>
          <w:lang w:val="en-US"/>
        </w:rPr>
        <w:t xml:space="preserve">Obesity is defined as excess fat accumulation </w:t>
      </w:r>
      <w:r w:rsidR="00A04A6E" w:rsidRPr="009F173A">
        <w:rPr>
          <w:rFonts w:cstheme="minorHAnsi"/>
          <w:lang w:val="en-US"/>
        </w:rPr>
        <w:t>that may impair health</w:t>
      </w:r>
      <w:r w:rsidR="00043D7E" w:rsidRPr="009F173A">
        <w:rPr>
          <w:rFonts w:cstheme="minorHAnsi"/>
          <w:lang w:val="en-US"/>
        </w:rPr>
        <w:t>.</w:t>
      </w:r>
      <w:r w:rsidR="00C82346" w:rsidRPr="009F173A">
        <w:rPr>
          <w:rFonts w:cstheme="minorHAnsi"/>
          <w:vertAlign w:val="superscript"/>
          <w:lang w:val="en-US"/>
        </w:rPr>
        <w:t>6</w:t>
      </w:r>
      <w:r w:rsidR="00043D7E" w:rsidRPr="009F173A">
        <w:rPr>
          <w:rFonts w:cstheme="minorHAnsi"/>
          <w:lang w:val="en-US"/>
        </w:rPr>
        <w:t xml:space="preserve"> However, obesity is</w:t>
      </w:r>
      <w:r w:rsidR="00476051" w:rsidRPr="009F173A">
        <w:rPr>
          <w:rFonts w:cstheme="minorHAnsi"/>
          <w:lang w:val="en-US"/>
        </w:rPr>
        <w:t xml:space="preserve"> commonly</w:t>
      </w:r>
      <w:r w:rsidR="00043D7E" w:rsidRPr="009F173A">
        <w:rPr>
          <w:rFonts w:cstheme="minorHAnsi"/>
          <w:lang w:val="en-US"/>
        </w:rPr>
        <w:t xml:space="preserve"> measured by Body Mass Index (BMI) which, in children, is transformed into BMI z-scores to define</w:t>
      </w:r>
      <w:r w:rsidR="009F5767" w:rsidRPr="009F173A">
        <w:rPr>
          <w:rFonts w:cstheme="minorHAnsi"/>
          <w:lang w:val="en-US"/>
        </w:rPr>
        <w:t xml:space="preserve"> age</w:t>
      </w:r>
      <w:r w:rsidR="00E05876" w:rsidRPr="009F173A">
        <w:rPr>
          <w:rFonts w:cstheme="minorHAnsi"/>
          <w:lang w:val="en-US"/>
        </w:rPr>
        <w:t>-</w:t>
      </w:r>
      <w:r w:rsidR="009F5767" w:rsidRPr="009F173A">
        <w:rPr>
          <w:rFonts w:cstheme="minorHAnsi"/>
          <w:lang w:val="en-US"/>
        </w:rPr>
        <w:t xml:space="preserve"> and gender-</w:t>
      </w:r>
      <w:r w:rsidR="00F0055D" w:rsidRPr="009F173A">
        <w:rPr>
          <w:rFonts w:cstheme="minorHAnsi"/>
          <w:lang w:val="en-US"/>
        </w:rPr>
        <w:t xml:space="preserve">specific cut-offs for </w:t>
      </w:r>
      <w:r w:rsidR="00043D7E" w:rsidRPr="009F173A">
        <w:rPr>
          <w:rFonts w:cstheme="minorHAnsi"/>
          <w:lang w:val="en-US"/>
        </w:rPr>
        <w:t>overweight and obesity.</w:t>
      </w:r>
      <w:r w:rsidR="00C82346" w:rsidRPr="009F173A">
        <w:rPr>
          <w:rFonts w:cstheme="minorHAnsi"/>
          <w:vertAlign w:val="superscript"/>
          <w:lang w:val="en-US"/>
        </w:rPr>
        <w:t>7</w:t>
      </w:r>
      <w:r w:rsidR="00043D7E" w:rsidRPr="009F173A">
        <w:rPr>
          <w:rFonts w:cstheme="minorHAnsi"/>
          <w:lang w:val="en-US"/>
        </w:rPr>
        <w:t xml:space="preserve"> B</w:t>
      </w:r>
      <w:r w:rsidR="00C82346" w:rsidRPr="009F173A">
        <w:rPr>
          <w:rFonts w:cstheme="minorHAnsi"/>
          <w:lang w:val="en-US"/>
        </w:rPr>
        <w:t xml:space="preserve">ody </w:t>
      </w:r>
      <w:r w:rsidR="00043D7E" w:rsidRPr="009F173A">
        <w:rPr>
          <w:rFonts w:cstheme="minorHAnsi"/>
          <w:lang w:val="en-US"/>
        </w:rPr>
        <w:t>M</w:t>
      </w:r>
      <w:r w:rsidR="00C82346" w:rsidRPr="009F173A">
        <w:rPr>
          <w:rFonts w:cstheme="minorHAnsi"/>
          <w:lang w:val="en-US"/>
        </w:rPr>
        <w:t xml:space="preserve">ass </w:t>
      </w:r>
      <w:r w:rsidR="00043D7E" w:rsidRPr="009F173A">
        <w:rPr>
          <w:rFonts w:cstheme="minorHAnsi"/>
          <w:lang w:val="en-US"/>
        </w:rPr>
        <w:t>I</w:t>
      </w:r>
      <w:r w:rsidR="00C82346" w:rsidRPr="009F173A">
        <w:rPr>
          <w:rFonts w:cstheme="minorHAnsi"/>
          <w:lang w:val="en-US"/>
        </w:rPr>
        <w:t>ndex</w:t>
      </w:r>
      <w:r w:rsidR="00043D7E" w:rsidRPr="009F173A">
        <w:rPr>
          <w:rFonts w:cstheme="minorHAnsi"/>
          <w:lang w:val="en-US"/>
        </w:rPr>
        <w:t xml:space="preserve"> is useful for tracking changes in obesity prevalence in populations, however, the relationship between BMI and adiposity is not consistent </w:t>
      </w:r>
      <w:r w:rsidR="00A26CAF" w:rsidRPr="009F173A">
        <w:rPr>
          <w:rFonts w:cstheme="minorHAnsi"/>
          <w:lang w:val="en-US"/>
        </w:rPr>
        <w:t xml:space="preserve">across populations </w:t>
      </w:r>
      <w:r w:rsidR="00043D7E" w:rsidRPr="009F173A">
        <w:rPr>
          <w:rFonts w:cstheme="minorHAnsi"/>
          <w:lang w:val="en-US"/>
        </w:rPr>
        <w:t>and assumes a linear increase in body mass and fat mass through childhood.</w:t>
      </w:r>
      <w:r w:rsidR="00C82346" w:rsidRPr="009F173A">
        <w:rPr>
          <w:rFonts w:cstheme="minorHAnsi"/>
          <w:vertAlign w:val="superscript"/>
          <w:lang w:val="en-US"/>
        </w:rPr>
        <w:t>8,9</w:t>
      </w:r>
      <w:r w:rsidR="00043D7E" w:rsidRPr="009F173A">
        <w:rPr>
          <w:rFonts w:cstheme="minorHAnsi"/>
          <w:lang w:val="en-US"/>
        </w:rPr>
        <w:t xml:space="preserve">  </w:t>
      </w:r>
      <w:r w:rsidR="00387C4E" w:rsidRPr="009F173A">
        <w:rPr>
          <w:rFonts w:cstheme="minorHAnsi"/>
          <w:lang w:val="en-US"/>
        </w:rPr>
        <w:t>Measures of adiposity</w:t>
      </w:r>
      <w:r w:rsidR="00EA060E" w:rsidRPr="009F173A">
        <w:rPr>
          <w:rFonts w:cstheme="minorHAnsi"/>
          <w:lang w:val="en-US"/>
        </w:rPr>
        <w:t xml:space="preserve"> (i.e. fat mass relative to body mass [%FM])</w:t>
      </w:r>
      <w:r w:rsidR="00387C4E" w:rsidRPr="009F173A">
        <w:rPr>
          <w:rFonts w:cstheme="minorHAnsi"/>
          <w:lang w:val="en-US"/>
        </w:rPr>
        <w:t>, rather than weight relative to height, provide accurate assessment of obesity status and may provide better indication of the effectiveness of weight loss programmes.</w:t>
      </w:r>
      <w:r w:rsidR="00C82346" w:rsidRPr="009F173A">
        <w:rPr>
          <w:rFonts w:cstheme="minorHAnsi"/>
          <w:vertAlign w:val="superscript"/>
          <w:lang w:val="en-US"/>
        </w:rPr>
        <w:t>10,11</w:t>
      </w:r>
    </w:p>
    <w:p w14:paraId="516CE5A7" w14:textId="59B328BC" w:rsidR="00387C4E" w:rsidRPr="009F173A" w:rsidRDefault="00387C4E" w:rsidP="003C5367">
      <w:pPr>
        <w:spacing w:after="0" w:line="276" w:lineRule="auto"/>
        <w:rPr>
          <w:bCs/>
        </w:rPr>
      </w:pPr>
    </w:p>
    <w:p w14:paraId="492E91CF" w14:textId="1836BCB4" w:rsidR="00387C4E" w:rsidRPr="009F173A" w:rsidRDefault="00387C4E" w:rsidP="003C5367">
      <w:pPr>
        <w:spacing w:after="0" w:line="276" w:lineRule="auto"/>
        <w:rPr>
          <w:bCs/>
        </w:rPr>
      </w:pPr>
      <w:r w:rsidRPr="009F173A">
        <w:rPr>
          <w:bCs/>
        </w:rPr>
        <w:t>Reference methods of measuring adiposity include computerised tomography, magnetic resonance imaging</w:t>
      </w:r>
      <w:r w:rsidR="00F0055D" w:rsidRPr="009F173A">
        <w:rPr>
          <w:bCs/>
        </w:rPr>
        <w:t xml:space="preserve">, </w:t>
      </w:r>
      <w:bookmarkStart w:id="2" w:name="_Hlk113973528"/>
      <w:r w:rsidRPr="009F173A">
        <w:rPr>
          <w:bCs/>
        </w:rPr>
        <w:t>dual-energy x-ray absorptiometry</w:t>
      </w:r>
      <w:r w:rsidR="00187973" w:rsidRPr="009F173A">
        <w:rPr>
          <w:bCs/>
        </w:rPr>
        <w:t xml:space="preserve"> (DXA)</w:t>
      </w:r>
      <w:bookmarkEnd w:id="2"/>
      <w:r w:rsidR="00F0055D" w:rsidRPr="009F173A">
        <w:rPr>
          <w:bCs/>
        </w:rPr>
        <w:t>, isotope dilution</w:t>
      </w:r>
      <w:r w:rsidR="00FA09F9" w:rsidRPr="009F173A">
        <w:rPr>
          <w:bCs/>
        </w:rPr>
        <w:t>, and combinations of methods to construct three</w:t>
      </w:r>
      <w:r w:rsidR="001D10A6" w:rsidRPr="009F173A">
        <w:rPr>
          <w:bCs/>
        </w:rPr>
        <w:t xml:space="preserve"> (3C)</w:t>
      </w:r>
      <w:r w:rsidR="00FA09F9" w:rsidRPr="009F173A">
        <w:rPr>
          <w:bCs/>
        </w:rPr>
        <w:t xml:space="preserve"> and four</w:t>
      </w:r>
      <w:r w:rsidR="001D10A6" w:rsidRPr="009F173A">
        <w:rPr>
          <w:bCs/>
        </w:rPr>
        <w:t xml:space="preserve"> (4C)</w:t>
      </w:r>
      <w:r w:rsidR="00FA09F9" w:rsidRPr="009F173A">
        <w:rPr>
          <w:bCs/>
        </w:rPr>
        <w:t xml:space="preserve"> comp</w:t>
      </w:r>
      <w:r w:rsidR="001D10A6" w:rsidRPr="009F173A">
        <w:rPr>
          <w:bCs/>
        </w:rPr>
        <w:t>artment</w:t>
      </w:r>
      <w:r w:rsidR="00FA09F9" w:rsidRPr="009F173A">
        <w:rPr>
          <w:bCs/>
        </w:rPr>
        <w:t xml:space="preserve"> models.  </w:t>
      </w:r>
      <w:r w:rsidR="00083696" w:rsidRPr="009F173A">
        <w:rPr>
          <w:bCs/>
        </w:rPr>
        <w:t xml:space="preserve">Reference methods are </w:t>
      </w:r>
      <w:r w:rsidR="00A26CAF" w:rsidRPr="009F173A">
        <w:rPr>
          <w:bCs/>
        </w:rPr>
        <w:t>accurate assessments of %</w:t>
      </w:r>
      <w:r w:rsidR="00EA060E" w:rsidRPr="009F173A">
        <w:rPr>
          <w:bCs/>
        </w:rPr>
        <w:t>FM</w:t>
      </w:r>
      <w:r w:rsidR="00083696" w:rsidRPr="009F173A">
        <w:rPr>
          <w:bCs/>
        </w:rPr>
        <w:t xml:space="preserve"> </w:t>
      </w:r>
      <w:r w:rsidR="00085CE8" w:rsidRPr="009F173A">
        <w:rPr>
          <w:bCs/>
        </w:rPr>
        <w:t>(compared to ‘gold-standard’ cadaver analysis)</w:t>
      </w:r>
      <w:r w:rsidR="0042010F" w:rsidRPr="009F173A">
        <w:rPr>
          <w:bCs/>
        </w:rPr>
        <w:t>,</w:t>
      </w:r>
      <w:r w:rsidR="00C82346" w:rsidRPr="009F173A">
        <w:rPr>
          <w:bCs/>
          <w:vertAlign w:val="superscript"/>
        </w:rPr>
        <w:t>12</w:t>
      </w:r>
      <w:r w:rsidR="00085CE8" w:rsidRPr="009F173A">
        <w:rPr>
          <w:bCs/>
        </w:rPr>
        <w:t xml:space="preserve"> </w:t>
      </w:r>
      <w:r w:rsidR="00A26CAF" w:rsidRPr="009F173A">
        <w:rPr>
          <w:bCs/>
        </w:rPr>
        <w:t>because measurements of hydration status and mineral content are included in the %</w:t>
      </w:r>
      <w:r w:rsidR="00EA060E" w:rsidRPr="009F173A">
        <w:rPr>
          <w:bCs/>
        </w:rPr>
        <w:t>FM</w:t>
      </w:r>
      <w:r w:rsidR="00A26CAF" w:rsidRPr="009F173A">
        <w:rPr>
          <w:bCs/>
        </w:rPr>
        <w:t xml:space="preserve"> calculation.</w:t>
      </w:r>
      <w:r w:rsidR="00C82346" w:rsidRPr="009F173A">
        <w:rPr>
          <w:bCs/>
          <w:vertAlign w:val="superscript"/>
        </w:rPr>
        <w:t>9</w:t>
      </w:r>
      <w:r w:rsidR="00A26CAF" w:rsidRPr="009F173A">
        <w:rPr>
          <w:bCs/>
        </w:rPr>
        <w:t xml:space="preserve">  </w:t>
      </w:r>
      <w:r w:rsidR="00FA09F9" w:rsidRPr="009F173A">
        <w:rPr>
          <w:bCs/>
        </w:rPr>
        <w:t xml:space="preserve">However, </w:t>
      </w:r>
      <w:r w:rsidR="001453E7" w:rsidRPr="009F173A">
        <w:rPr>
          <w:bCs/>
        </w:rPr>
        <w:t xml:space="preserve">in comparison to </w:t>
      </w:r>
      <w:r w:rsidR="009A40CA" w:rsidRPr="009F173A">
        <w:rPr>
          <w:bCs/>
        </w:rPr>
        <w:t xml:space="preserve">two compartment </w:t>
      </w:r>
      <w:r w:rsidR="007508E4" w:rsidRPr="009F173A">
        <w:rPr>
          <w:bCs/>
        </w:rPr>
        <w:t>(</w:t>
      </w:r>
      <w:r w:rsidR="00A26CAF" w:rsidRPr="009F173A">
        <w:rPr>
          <w:bCs/>
        </w:rPr>
        <w:t>2C</w:t>
      </w:r>
      <w:r w:rsidR="007508E4" w:rsidRPr="009F173A">
        <w:rPr>
          <w:bCs/>
        </w:rPr>
        <w:t>)</w:t>
      </w:r>
      <w:r w:rsidR="00A26CAF" w:rsidRPr="009F173A">
        <w:rPr>
          <w:bCs/>
        </w:rPr>
        <w:t xml:space="preserve"> </w:t>
      </w:r>
      <w:r w:rsidR="009A40CA" w:rsidRPr="009F173A">
        <w:rPr>
          <w:bCs/>
        </w:rPr>
        <w:t xml:space="preserve">models </w:t>
      </w:r>
      <w:r w:rsidR="001453E7" w:rsidRPr="009F173A">
        <w:rPr>
          <w:bCs/>
        </w:rPr>
        <w:t>of body composition</w:t>
      </w:r>
      <w:r w:rsidR="00EF2868" w:rsidRPr="009F173A">
        <w:rPr>
          <w:bCs/>
        </w:rPr>
        <w:t xml:space="preserve">, that </w:t>
      </w:r>
      <w:r w:rsidR="00001ED0" w:rsidRPr="009F173A">
        <w:rPr>
          <w:bCs/>
        </w:rPr>
        <w:t>partition</w:t>
      </w:r>
      <w:r w:rsidR="00EF2868" w:rsidRPr="009F173A">
        <w:rPr>
          <w:bCs/>
        </w:rPr>
        <w:t xml:space="preserve"> the body into fat</w:t>
      </w:r>
      <w:r w:rsidR="00FE0373" w:rsidRPr="009F173A">
        <w:rPr>
          <w:bCs/>
        </w:rPr>
        <w:t xml:space="preserve"> mass and fat-free mass</w:t>
      </w:r>
      <w:r w:rsidR="001453E7" w:rsidRPr="009F173A">
        <w:rPr>
          <w:bCs/>
        </w:rPr>
        <w:t xml:space="preserve"> (</w:t>
      </w:r>
      <w:r w:rsidR="004B2C06" w:rsidRPr="009F173A">
        <w:rPr>
          <w:bCs/>
        </w:rPr>
        <w:t xml:space="preserve">e.g. </w:t>
      </w:r>
      <w:r w:rsidR="00476051" w:rsidRPr="009F173A">
        <w:rPr>
          <w:bCs/>
        </w:rPr>
        <w:t>air displacement plethysmography</w:t>
      </w:r>
      <w:r w:rsidR="001453E7" w:rsidRPr="009F173A">
        <w:rPr>
          <w:bCs/>
        </w:rPr>
        <w:t xml:space="preserve"> and </w:t>
      </w:r>
      <w:r w:rsidR="00476051" w:rsidRPr="009F173A">
        <w:rPr>
          <w:bCs/>
        </w:rPr>
        <w:t>bioelectrical impedance analysis</w:t>
      </w:r>
      <w:r w:rsidR="00FE2EE9" w:rsidRPr="009F173A">
        <w:rPr>
          <w:bCs/>
        </w:rPr>
        <w:t>)</w:t>
      </w:r>
      <w:r w:rsidR="002A32DB" w:rsidRPr="009F173A">
        <w:rPr>
          <w:bCs/>
        </w:rPr>
        <w:t>,</w:t>
      </w:r>
      <w:r w:rsidR="001453E7" w:rsidRPr="009F173A">
        <w:rPr>
          <w:bCs/>
        </w:rPr>
        <w:t xml:space="preserve"> </w:t>
      </w:r>
      <w:r w:rsidR="00FA09F9" w:rsidRPr="009F173A">
        <w:rPr>
          <w:bCs/>
        </w:rPr>
        <w:t xml:space="preserve">reference methods </w:t>
      </w:r>
      <w:r w:rsidRPr="009F173A">
        <w:rPr>
          <w:bCs/>
        </w:rPr>
        <w:t xml:space="preserve">are costly, time consuming, </w:t>
      </w:r>
      <w:r w:rsidR="002A32DB" w:rsidRPr="009F173A">
        <w:rPr>
          <w:bCs/>
        </w:rPr>
        <w:t xml:space="preserve">invasive, </w:t>
      </w:r>
      <w:r w:rsidRPr="009F173A">
        <w:rPr>
          <w:bCs/>
        </w:rPr>
        <w:t>and may not be suitable for children.</w:t>
      </w:r>
      <w:r w:rsidR="00C82346" w:rsidRPr="009F173A">
        <w:rPr>
          <w:bCs/>
          <w:vertAlign w:val="superscript"/>
        </w:rPr>
        <w:t>13</w:t>
      </w:r>
      <w:r w:rsidRPr="009F173A">
        <w:rPr>
          <w:bCs/>
        </w:rPr>
        <w:t xml:space="preserve"> </w:t>
      </w:r>
      <w:r w:rsidR="00C63182" w:rsidRPr="009F173A">
        <w:rPr>
          <w:bCs/>
        </w:rPr>
        <w:t>Although</w:t>
      </w:r>
      <w:r w:rsidRPr="009F173A">
        <w:rPr>
          <w:bCs/>
        </w:rPr>
        <w:t xml:space="preserve"> </w:t>
      </w:r>
      <w:r w:rsidR="00A26CAF" w:rsidRPr="009F173A">
        <w:rPr>
          <w:bCs/>
        </w:rPr>
        <w:t>2C</w:t>
      </w:r>
      <w:r w:rsidRPr="009F173A">
        <w:rPr>
          <w:bCs/>
        </w:rPr>
        <w:t xml:space="preserve"> </w:t>
      </w:r>
      <w:r w:rsidR="00DD130D" w:rsidRPr="009F173A">
        <w:rPr>
          <w:bCs/>
        </w:rPr>
        <w:t>models</w:t>
      </w:r>
      <w:r w:rsidRPr="009F173A">
        <w:rPr>
          <w:bCs/>
        </w:rPr>
        <w:t xml:space="preserve"> </w:t>
      </w:r>
      <w:r w:rsidR="00F0055D" w:rsidRPr="009F173A">
        <w:rPr>
          <w:bCs/>
        </w:rPr>
        <w:t xml:space="preserve">of body composition </w:t>
      </w:r>
      <w:r w:rsidRPr="009F173A">
        <w:rPr>
          <w:bCs/>
        </w:rPr>
        <w:t xml:space="preserve">are </w:t>
      </w:r>
      <w:r w:rsidR="006B3983" w:rsidRPr="009F173A">
        <w:rPr>
          <w:bCs/>
        </w:rPr>
        <w:t>subject to error arising from variation in fat</w:t>
      </w:r>
      <w:r w:rsidR="0071474A" w:rsidRPr="009F173A">
        <w:rPr>
          <w:bCs/>
        </w:rPr>
        <w:t>-</w:t>
      </w:r>
      <w:r w:rsidR="006B3983" w:rsidRPr="009F173A">
        <w:rPr>
          <w:bCs/>
        </w:rPr>
        <w:t>free mass compositio</w:t>
      </w:r>
      <w:r w:rsidR="004F6981" w:rsidRPr="009F173A">
        <w:rPr>
          <w:bCs/>
        </w:rPr>
        <w:t>n</w:t>
      </w:r>
      <w:r w:rsidR="0042010F" w:rsidRPr="009F173A">
        <w:rPr>
          <w:bCs/>
        </w:rPr>
        <w:t>,</w:t>
      </w:r>
      <w:r w:rsidR="00C82346" w:rsidRPr="009F173A">
        <w:rPr>
          <w:bCs/>
          <w:vertAlign w:val="superscript"/>
        </w:rPr>
        <w:t>9</w:t>
      </w:r>
      <w:r w:rsidR="004F6981" w:rsidRPr="009F173A">
        <w:rPr>
          <w:bCs/>
        </w:rPr>
        <w:t xml:space="preserve"> </w:t>
      </w:r>
      <w:r w:rsidR="006B3983" w:rsidRPr="009F173A">
        <w:rPr>
          <w:bCs/>
        </w:rPr>
        <w:t xml:space="preserve">they </w:t>
      </w:r>
      <w:r w:rsidR="00F0055D" w:rsidRPr="009F173A">
        <w:rPr>
          <w:bCs/>
        </w:rPr>
        <w:t>are more accessible to clinicians and researchers and less burdensome on participants.</w:t>
      </w:r>
      <w:r w:rsidRPr="009F173A">
        <w:rPr>
          <w:bCs/>
        </w:rPr>
        <w:t xml:space="preserve"> </w:t>
      </w:r>
    </w:p>
    <w:p w14:paraId="5C427D5A" w14:textId="77777777" w:rsidR="00FA09F9" w:rsidRPr="009F173A" w:rsidRDefault="00FA09F9" w:rsidP="003C5367">
      <w:pPr>
        <w:spacing w:after="0" w:line="276" w:lineRule="auto"/>
        <w:rPr>
          <w:bCs/>
        </w:rPr>
      </w:pPr>
    </w:p>
    <w:p w14:paraId="6DEB8B2B" w14:textId="20D5287E" w:rsidR="005D5F65" w:rsidRPr="009F173A" w:rsidRDefault="00F0055D" w:rsidP="003C5367">
      <w:pPr>
        <w:spacing w:after="0" w:line="276" w:lineRule="auto"/>
        <w:rPr>
          <w:bCs/>
        </w:rPr>
      </w:pPr>
      <w:bookmarkStart w:id="3" w:name="_Hlk103329269"/>
      <w:bookmarkStart w:id="4" w:name="_Hlk113973551"/>
      <w:r w:rsidRPr="009F173A">
        <w:rPr>
          <w:bCs/>
        </w:rPr>
        <w:t xml:space="preserve">Air displacement plethysmography </w:t>
      </w:r>
      <w:bookmarkEnd w:id="3"/>
      <w:r w:rsidRPr="009F173A">
        <w:rPr>
          <w:bCs/>
        </w:rPr>
        <w:t xml:space="preserve">(ADP) </w:t>
      </w:r>
      <w:bookmarkEnd w:id="4"/>
      <w:r w:rsidRPr="009F173A">
        <w:rPr>
          <w:bCs/>
        </w:rPr>
        <w:t>is a</w:t>
      </w:r>
      <w:r w:rsidR="001453E7" w:rsidRPr="009F173A">
        <w:rPr>
          <w:bCs/>
        </w:rPr>
        <w:t>n indirect</w:t>
      </w:r>
      <w:r w:rsidRPr="009F173A">
        <w:rPr>
          <w:bCs/>
        </w:rPr>
        <w:t xml:space="preserve"> method to determine body volume</w:t>
      </w:r>
      <w:r w:rsidR="001453E7" w:rsidRPr="009F173A">
        <w:rPr>
          <w:bCs/>
        </w:rPr>
        <w:t>,</w:t>
      </w:r>
      <w:r w:rsidRPr="009F173A">
        <w:rPr>
          <w:bCs/>
        </w:rPr>
        <w:t xml:space="preserve"> using a volumetric chamber </w:t>
      </w:r>
      <w:r w:rsidR="001453E7" w:rsidRPr="009F173A">
        <w:rPr>
          <w:bCs/>
        </w:rPr>
        <w:t>in</w:t>
      </w:r>
      <w:r w:rsidRPr="009F173A">
        <w:rPr>
          <w:bCs/>
        </w:rPr>
        <w:t>to which a participant is introduced</w:t>
      </w:r>
      <w:r w:rsidR="001453E7" w:rsidRPr="009F173A">
        <w:rPr>
          <w:bCs/>
        </w:rPr>
        <w:t>,</w:t>
      </w:r>
      <w:r w:rsidRPr="009F173A">
        <w:rPr>
          <w:bCs/>
        </w:rPr>
        <w:t xml:space="preserve"> </w:t>
      </w:r>
      <w:r w:rsidR="001453E7" w:rsidRPr="009F173A">
        <w:rPr>
          <w:bCs/>
        </w:rPr>
        <w:t>by</w:t>
      </w:r>
      <w:r w:rsidRPr="009F173A">
        <w:rPr>
          <w:bCs/>
        </w:rPr>
        <w:t xml:space="preserve"> </w:t>
      </w:r>
      <w:r w:rsidR="001453E7" w:rsidRPr="009F173A">
        <w:rPr>
          <w:bCs/>
        </w:rPr>
        <w:t>recording</w:t>
      </w:r>
      <w:r w:rsidR="00FA09F9" w:rsidRPr="009F173A">
        <w:rPr>
          <w:bCs/>
        </w:rPr>
        <w:t xml:space="preserve"> </w:t>
      </w:r>
      <w:r w:rsidRPr="009F173A">
        <w:rPr>
          <w:bCs/>
        </w:rPr>
        <w:t xml:space="preserve">pressure changes </w:t>
      </w:r>
      <w:r w:rsidR="00FA09F9" w:rsidRPr="009F173A">
        <w:rPr>
          <w:bCs/>
        </w:rPr>
        <w:t>under isothermal and adiabatic conditions.</w:t>
      </w:r>
      <w:r w:rsidR="00C82346" w:rsidRPr="009F173A">
        <w:rPr>
          <w:bCs/>
          <w:vertAlign w:val="superscript"/>
        </w:rPr>
        <w:t>14</w:t>
      </w:r>
      <w:r w:rsidR="00FA09F9" w:rsidRPr="009F173A">
        <w:rPr>
          <w:bCs/>
        </w:rPr>
        <w:t xml:space="preserve"> </w:t>
      </w:r>
      <w:r w:rsidR="00E15783" w:rsidRPr="009F173A">
        <w:rPr>
          <w:bCs/>
        </w:rPr>
        <w:t xml:space="preserve">Equations </w:t>
      </w:r>
      <w:r w:rsidR="00601D65" w:rsidRPr="009F173A">
        <w:rPr>
          <w:bCs/>
        </w:rPr>
        <w:t>that include</w:t>
      </w:r>
      <w:r w:rsidR="00E15783" w:rsidRPr="009F173A">
        <w:rPr>
          <w:bCs/>
        </w:rPr>
        <w:t xml:space="preserve"> assumed densities of fat and lean tissues are used to calculate %FM.  </w:t>
      </w:r>
      <w:bookmarkStart w:id="5" w:name="_Hlk113973580"/>
      <w:bookmarkStart w:id="6" w:name="_Hlk103338153"/>
      <w:r w:rsidR="00A93E04" w:rsidRPr="009F173A">
        <w:rPr>
          <w:bCs/>
        </w:rPr>
        <w:t xml:space="preserve">Bioelectrical </w:t>
      </w:r>
      <w:bookmarkStart w:id="7" w:name="_Hlk103329398"/>
      <w:r w:rsidR="00A93E04" w:rsidRPr="009F173A">
        <w:rPr>
          <w:bCs/>
        </w:rPr>
        <w:t xml:space="preserve">impedance analysis </w:t>
      </w:r>
      <w:bookmarkEnd w:id="7"/>
      <w:r w:rsidR="00A93E04" w:rsidRPr="009F173A">
        <w:rPr>
          <w:bCs/>
        </w:rPr>
        <w:t xml:space="preserve">(BIA) </w:t>
      </w:r>
      <w:bookmarkEnd w:id="5"/>
      <w:r w:rsidR="00A93E04" w:rsidRPr="009F173A">
        <w:rPr>
          <w:bCs/>
        </w:rPr>
        <w:t>is an indirect measure of total body water from which an empirical relationship with fat-free mass can be derived using subject-specific regression equations.  Previous studies generally indicate that measures of %FM by ADP</w:t>
      </w:r>
      <w:r w:rsidR="00FD393E" w:rsidRPr="009F173A">
        <w:rPr>
          <w:bCs/>
        </w:rPr>
        <w:t xml:space="preserve"> (%FM</w:t>
      </w:r>
      <w:r w:rsidR="00FD393E" w:rsidRPr="009F173A">
        <w:rPr>
          <w:bCs/>
          <w:vertAlign w:val="subscript"/>
        </w:rPr>
        <w:t>ADP</w:t>
      </w:r>
      <w:r w:rsidR="00FD393E" w:rsidRPr="009F173A">
        <w:rPr>
          <w:bCs/>
        </w:rPr>
        <w:t>)</w:t>
      </w:r>
      <w:r w:rsidR="00A93E04" w:rsidRPr="009F173A">
        <w:rPr>
          <w:bCs/>
          <w:vertAlign w:val="superscript"/>
        </w:rPr>
        <w:t xml:space="preserve">11,15, </w:t>
      </w:r>
      <w:r w:rsidR="00FD393E" w:rsidRPr="009F173A">
        <w:rPr>
          <w:bCs/>
          <w:vertAlign w:val="superscript"/>
        </w:rPr>
        <w:t>16</w:t>
      </w:r>
      <w:r w:rsidR="00FD393E" w:rsidRPr="009F173A">
        <w:rPr>
          <w:bCs/>
        </w:rPr>
        <w:t>,</w:t>
      </w:r>
      <w:r w:rsidR="00A93E04" w:rsidRPr="009F173A">
        <w:rPr>
          <w:bCs/>
        </w:rPr>
        <w:t xml:space="preserve"> rather than BIA</w:t>
      </w:r>
      <w:r w:rsidR="00FD393E" w:rsidRPr="009F173A">
        <w:rPr>
          <w:bCs/>
        </w:rPr>
        <w:t xml:space="preserve"> (%FM</w:t>
      </w:r>
      <w:r w:rsidR="00FD393E" w:rsidRPr="009F173A">
        <w:rPr>
          <w:bCs/>
          <w:vertAlign w:val="subscript"/>
        </w:rPr>
        <w:t>BIA</w:t>
      </w:r>
      <w:r w:rsidR="00FD393E" w:rsidRPr="009F173A">
        <w:rPr>
          <w:bCs/>
        </w:rPr>
        <w:t>)</w:t>
      </w:r>
      <w:r w:rsidR="00A93E04" w:rsidRPr="009F173A">
        <w:rPr>
          <w:bCs/>
          <w:vertAlign w:val="superscript"/>
        </w:rPr>
        <w:t>9,</w:t>
      </w:r>
      <w:r w:rsidR="00551B2B" w:rsidRPr="009F173A">
        <w:rPr>
          <w:bCs/>
          <w:vertAlign w:val="superscript"/>
        </w:rPr>
        <w:t>17</w:t>
      </w:r>
      <w:r w:rsidR="00A93E04" w:rsidRPr="009F173A">
        <w:rPr>
          <w:bCs/>
        </w:rPr>
        <w:t xml:space="preserve">, have better agreement with reference measures in paediatric populations.  However, </w:t>
      </w:r>
      <w:r w:rsidR="00FD393E" w:rsidRPr="009F173A">
        <w:rPr>
          <w:bCs/>
        </w:rPr>
        <w:t>age, gender, BMI, and BIA device all impact the estimation of %FM, and should therefore be considered in %FM prediction equations.</w:t>
      </w:r>
      <w:r w:rsidR="00FD393E" w:rsidRPr="009F173A">
        <w:rPr>
          <w:bCs/>
          <w:vertAlign w:val="superscript"/>
        </w:rPr>
        <w:t>11,1</w:t>
      </w:r>
      <w:r w:rsidR="000E3590" w:rsidRPr="009F173A">
        <w:rPr>
          <w:bCs/>
          <w:vertAlign w:val="superscript"/>
        </w:rPr>
        <w:t>8</w:t>
      </w:r>
    </w:p>
    <w:bookmarkEnd w:id="6"/>
    <w:p w14:paraId="71AD0A7A" w14:textId="77777777" w:rsidR="00137E7B" w:rsidRPr="009F173A" w:rsidRDefault="00137E7B" w:rsidP="003C5367">
      <w:pPr>
        <w:spacing w:after="0" w:line="276" w:lineRule="auto"/>
        <w:rPr>
          <w:bCs/>
        </w:rPr>
      </w:pPr>
    </w:p>
    <w:p w14:paraId="2E5257F4" w14:textId="577E6573" w:rsidR="00FD393E" w:rsidRPr="009F173A" w:rsidRDefault="003024F7" w:rsidP="003C5367">
      <w:pPr>
        <w:spacing w:after="0" w:line="276" w:lineRule="auto"/>
        <w:rPr>
          <w:bCs/>
        </w:rPr>
      </w:pPr>
      <w:bookmarkStart w:id="8" w:name="_Hlk77585505"/>
      <w:r w:rsidRPr="009F173A">
        <w:rPr>
          <w:bCs/>
        </w:rPr>
        <w:t xml:space="preserve">Few studies have compared </w:t>
      </w:r>
      <w:r w:rsidR="00CB60ED" w:rsidRPr="009F173A">
        <w:rPr>
          <w:bCs/>
        </w:rPr>
        <w:t xml:space="preserve">measures of </w:t>
      </w:r>
      <w:r w:rsidRPr="009F173A">
        <w:rPr>
          <w:bCs/>
        </w:rPr>
        <w:t>%FM</w:t>
      </w:r>
      <w:r w:rsidR="00CB60ED" w:rsidRPr="009F173A">
        <w:rPr>
          <w:bCs/>
        </w:rPr>
        <w:t xml:space="preserve"> derived from ADP and BIA </w:t>
      </w:r>
      <w:r w:rsidRPr="009F173A">
        <w:rPr>
          <w:bCs/>
        </w:rPr>
        <w:t>in paediatric populations</w:t>
      </w:r>
      <w:r w:rsidR="0095290C" w:rsidRPr="009F173A">
        <w:rPr>
          <w:bCs/>
        </w:rPr>
        <w:t>,</w:t>
      </w:r>
      <w:r w:rsidR="000E3590" w:rsidRPr="009F173A">
        <w:rPr>
          <w:bCs/>
          <w:vertAlign w:val="superscript"/>
        </w:rPr>
        <w:t>19</w:t>
      </w:r>
      <w:r w:rsidRPr="009F173A">
        <w:rPr>
          <w:bCs/>
        </w:rPr>
        <w:t xml:space="preserve"> </w:t>
      </w:r>
      <w:bookmarkStart w:id="9" w:name="_Hlk103338227"/>
      <w:r w:rsidR="0095290C" w:rsidRPr="009F173A">
        <w:rPr>
          <w:bCs/>
        </w:rPr>
        <w:t>generally finding</w:t>
      </w:r>
      <w:r w:rsidR="00FD393E" w:rsidRPr="009F173A">
        <w:rPr>
          <w:bCs/>
        </w:rPr>
        <w:t xml:space="preserve"> that %FM</w:t>
      </w:r>
      <w:r w:rsidR="00FD393E" w:rsidRPr="009F173A">
        <w:rPr>
          <w:bCs/>
          <w:vertAlign w:val="subscript"/>
        </w:rPr>
        <w:t>ADP</w:t>
      </w:r>
      <w:r w:rsidR="00FD393E" w:rsidRPr="009F173A">
        <w:rPr>
          <w:bCs/>
        </w:rPr>
        <w:t xml:space="preserve"> was greater than %FM</w:t>
      </w:r>
      <w:r w:rsidR="00FD393E" w:rsidRPr="009F173A">
        <w:rPr>
          <w:bCs/>
          <w:vertAlign w:val="subscript"/>
        </w:rPr>
        <w:t>BIA</w:t>
      </w:r>
      <w:r w:rsidR="00FD393E" w:rsidRPr="009F173A">
        <w:rPr>
          <w:bCs/>
        </w:rPr>
        <w:t xml:space="preserve"> </w:t>
      </w:r>
      <w:r w:rsidR="00FD393E" w:rsidRPr="009F173A">
        <w:rPr>
          <w:bCs/>
          <w:vertAlign w:val="superscript"/>
        </w:rPr>
        <w:t>2</w:t>
      </w:r>
      <w:r w:rsidR="000E3590" w:rsidRPr="009F173A">
        <w:rPr>
          <w:bCs/>
          <w:vertAlign w:val="superscript"/>
        </w:rPr>
        <w:t>0</w:t>
      </w:r>
      <w:r w:rsidR="00FD393E" w:rsidRPr="009F173A">
        <w:rPr>
          <w:bCs/>
          <w:vertAlign w:val="superscript"/>
        </w:rPr>
        <w:t>,2</w:t>
      </w:r>
      <w:r w:rsidR="000E3590" w:rsidRPr="009F173A">
        <w:rPr>
          <w:bCs/>
          <w:vertAlign w:val="superscript"/>
        </w:rPr>
        <w:t>1</w:t>
      </w:r>
      <w:r w:rsidR="00FD393E" w:rsidRPr="009F173A">
        <w:rPr>
          <w:bCs/>
        </w:rPr>
        <w:t>. Whilst these studies benefit from large sample sizes, comparisons between methods were not distinguished based on weight status which can impact estimates of body composition.</w:t>
      </w:r>
      <w:r w:rsidR="00FD393E" w:rsidRPr="009F173A">
        <w:rPr>
          <w:bCs/>
          <w:vertAlign w:val="superscript"/>
        </w:rPr>
        <w:t>2</w:t>
      </w:r>
      <w:r w:rsidR="000E3590" w:rsidRPr="009F173A">
        <w:rPr>
          <w:bCs/>
          <w:vertAlign w:val="superscript"/>
        </w:rPr>
        <w:t>2</w:t>
      </w:r>
      <w:r w:rsidR="00FD393E" w:rsidRPr="009F173A">
        <w:rPr>
          <w:bCs/>
        </w:rPr>
        <w:t xml:space="preserve"> </w:t>
      </w:r>
      <w:bookmarkStart w:id="10" w:name="_Hlk103338262"/>
      <w:r w:rsidR="0095290C" w:rsidRPr="009F173A">
        <w:rPr>
          <w:bCs/>
        </w:rPr>
        <w:t>One study which did compare %FM</w:t>
      </w:r>
      <w:r w:rsidR="0095290C" w:rsidRPr="009F173A">
        <w:rPr>
          <w:bCs/>
          <w:vertAlign w:val="subscript"/>
        </w:rPr>
        <w:t>ADP</w:t>
      </w:r>
      <w:r w:rsidR="0095290C" w:rsidRPr="009F173A">
        <w:rPr>
          <w:bCs/>
        </w:rPr>
        <w:t xml:space="preserve"> and %FM</w:t>
      </w:r>
      <w:r w:rsidR="0095290C" w:rsidRPr="009F173A">
        <w:rPr>
          <w:bCs/>
          <w:vertAlign w:val="subscript"/>
        </w:rPr>
        <w:t>BIA</w:t>
      </w:r>
      <w:r w:rsidR="0095290C" w:rsidRPr="009F173A">
        <w:rPr>
          <w:bCs/>
        </w:rPr>
        <w:t xml:space="preserve"> in both participants with and without obesity</w:t>
      </w:r>
      <w:r w:rsidR="0095290C" w:rsidRPr="009F173A">
        <w:rPr>
          <w:bCs/>
          <w:vertAlign w:val="superscript"/>
        </w:rPr>
        <w:t>2</w:t>
      </w:r>
      <w:r w:rsidR="000E3590" w:rsidRPr="009F173A">
        <w:rPr>
          <w:bCs/>
          <w:vertAlign w:val="superscript"/>
        </w:rPr>
        <w:t>3</w:t>
      </w:r>
      <w:r w:rsidR="0095290C" w:rsidRPr="009F173A">
        <w:rPr>
          <w:bCs/>
        </w:rPr>
        <w:t xml:space="preserve"> , </w:t>
      </w:r>
      <w:bookmarkEnd w:id="10"/>
      <w:r w:rsidR="00FD393E" w:rsidRPr="009F173A">
        <w:rPr>
          <w:bCs/>
        </w:rPr>
        <w:t>measured %FM</w:t>
      </w:r>
      <w:r w:rsidR="00FD393E" w:rsidRPr="009F173A">
        <w:rPr>
          <w:bCs/>
          <w:vertAlign w:val="subscript"/>
        </w:rPr>
        <w:t>BIA</w:t>
      </w:r>
      <w:r w:rsidR="00FD393E" w:rsidRPr="009F173A">
        <w:rPr>
          <w:bCs/>
        </w:rPr>
        <w:t xml:space="preserve"> using a foot-to-foot device (measuring only part of the body) and %FM</w:t>
      </w:r>
      <w:r w:rsidR="00FD393E" w:rsidRPr="009F173A">
        <w:rPr>
          <w:bCs/>
          <w:vertAlign w:val="subscript"/>
        </w:rPr>
        <w:t>ADP</w:t>
      </w:r>
      <w:r w:rsidR="00FD393E" w:rsidRPr="009F173A">
        <w:rPr>
          <w:bCs/>
        </w:rPr>
        <w:t xml:space="preserve"> using general,</w:t>
      </w:r>
      <w:r w:rsidR="000E3590" w:rsidRPr="009F173A">
        <w:rPr>
          <w:bCs/>
          <w:vertAlign w:val="superscript"/>
        </w:rPr>
        <w:t>24</w:t>
      </w:r>
      <w:r w:rsidR="00FD393E" w:rsidRPr="009F173A">
        <w:rPr>
          <w:bCs/>
        </w:rPr>
        <w:t xml:space="preserve"> rather than child-specific regression equations.</w:t>
      </w:r>
      <w:r w:rsidR="00FD393E" w:rsidRPr="009F173A">
        <w:rPr>
          <w:bCs/>
          <w:vertAlign w:val="superscript"/>
        </w:rPr>
        <w:t>11,</w:t>
      </w:r>
      <w:r w:rsidR="000E3590" w:rsidRPr="009F173A">
        <w:rPr>
          <w:bCs/>
          <w:vertAlign w:val="superscript"/>
        </w:rPr>
        <w:t>25</w:t>
      </w:r>
      <w:r w:rsidR="00FD393E" w:rsidRPr="009F173A">
        <w:rPr>
          <w:bCs/>
        </w:rPr>
        <w:t xml:space="preserve"> Comparisons between %FM methods should be made using age-specific equations, controlling for gender and weight status.</w:t>
      </w:r>
      <w:r w:rsidR="00FD393E" w:rsidRPr="009F173A">
        <w:rPr>
          <w:bCs/>
          <w:vertAlign w:val="superscript"/>
        </w:rPr>
        <w:t>16,2</w:t>
      </w:r>
      <w:r w:rsidR="000E3590" w:rsidRPr="009F173A">
        <w:rPr>
          <w:bCs/>
          <w:vertAlign w:val="superscript"/>
        </w:rPr>
        <w:t>6</w:t>
      </w:r>
      <w:r w:rsidR="00FD393E" w:rsidRPr="009F173A">
        <w:rPr>
          <w:bCs/>
          <w:vertAlign w:val="superscript"/>
        </w:rPr>
        <w:t>,2</w:t>
      </w:r>
      <w:r w:rsidR="000E3590" w:rsidRPr="009F173A">
        <w:rPr>
          <w:bCs/>
          <w:vertAlign w:val="superscript"/>
        </w:rPr>
        <w:t>7</w:t>
      </w:r>
    </w:p>
    <w:bookmarkEnd w:id="8"/>
    <w:bookmarkEnd w:id="9"/>
    <w:p w14:paraId="06AF9F09" w14:textId="1A74DF8F" w:rsidR="00286D42" w:rsidRPr="009F173A" w:rsidRDefault="00286D42" w:rsidP="003C5367">
      <w:pPr>
        <w:spacing w:after="0" w:line="276" w:lineRule="auto"/>
        <w:rPr>
          <w:bCs/>
        </w:rPr>
      </w:pPr>
    </w:p>
    <w:p w14:paraId="10B128C6" w14:textId="3EF77C15" w:rsidR="00286D42" w:rsidRPr="009F173A" w:rsidRDefault="00083696" w:rsidP="003C5367">
      <w:pPr>
        <w:spacing w:after="0" w:line="276" w:lineRule="auto"/>
        <w:rPr>
          <w:bCs/>
        </w:rPr>
      </w:pPr>
      <w:r w:rsidRPr="009F173A">
        <w:rPr>
          <w:bCs/>
        </w:rPr>
        <w:t>Reliability of %FM measurements in children have been conducted, showing</w:t>
      </w:r>
      <w:r w:rsidR="000A7F4D" w:rsidRPr="009F173A">
        <w:rPr>
          <w:bCs/>
        </w:rPr>
        <w:t xml:space="preserve"> </w:t>
      </w:r>
      <w:bookmarkStart w:id="11" w:name="_Hlk113973736"/>
      <w:r w:rsidR="000A7F4D" w:rsidRPr="009F173A">
        <w:rPr>
          <w:bCs/>
        </w:rPr>
        <w:t>intraclass correlation coefficients</w:t>
      </w:r>
      <w:r w:rsidRPr="009F173A">
        <w:rPr>
          <w:bCs/>
        </w:rPr>
        <w:t xml:space="preserve"> </w:t>
      </w:r>
      <w:r w:rsidR="000A7F4D" w:rsidRPr="009F173A">
        <w:rPr>
          <w:bCs/>
        </w:rPr>
        <w:t>(</w:t>
      </w:r>
      <w:r w:rsidRPr="009F173A">
        <w:rPr>
          <w:bCs/>
        </w:rPr>
        <w:t>ICCs</w:t>
      </w:r>
      <w:r w:rsidR="000A7F4D" w:rsidRPr="009F173A">
        <w:rPr>
          <w:bCs/>
        </w:rPr>
        <w:t>)</w:t>
      </w:r>
      <w:r w:rsidRPr="009F173A">
        <w:rPr>
          <w:bCs/>
        </w:rPr>
        <w:t xml:space="preserve"> </w:t>
      </w:r>
      <w:bookmarkEnd w:id="11"/>
      <w:r w:rsidRPr="009F173A">
        <w:rPr>
          <w:bCs/>
        </w:rPr>
        <w:t>of &gt;0.9</w:t>
      </w:r>
      <w:r w:rsidR="00F72E45" w:rsidRPr="009F173A">
        <w:rPr>
          <w:bCs/>
        </w:rPr>
        <w:t>0</w:t>
      </w:r>
      <w:r w:rsidR="0030203C" w:rsidRPr="009F173A">
        <w:rPr>
          <w:bCs/>
        </w:rPr>
        <w:t xml:space="preserve"> from BIA</w:t>
      </w:r>
      <w:r w:rsidR="005B7B6B" w:rsidRPr="009F173A">
        <w:rPr>
          <w:bCs/>
        </w:rPr>
        <w:t>,</w:t>
      </w:r>
      <w:r w:rsidR="00C82346" w:rsidRPr="009F173A">
        <w:rPr>
          <w:bCs/>
          <w:vertAlign w:val="superscript"/>
        </w:rPr>
        <w:t>12</w:t>
      </w:r>
      <w:r w:rsidR="002A32DB" w:rsidRPr="009F173A">
        <w:rPr>
          <w:bCs/>
        </w:rPr>
        <w:t xml:space="preserve"> and </w:t>
      </w:r>
      <w:r w:rsidR="0030203C" w:rsidRPr="009F173A">
        <w:rPr>
          <w:bCs/>
        </w:rPr>
        <w:t xml:space="preserve">&gt;0.93 from </w:t>
      </w:r>
      <w:r w:rsidR="00806102" w:rsidRPr="009F173A">
        <w:rPr>
          <w:bCs/>
        </w:rPr>
        <w:t>air displacement plethysmography</w:t>
      </w:r>
      <w:r w:rsidR="00A26CAF" w:rsidRPr="009F173A">
        <w:rPr>
          <w:bCs/>
        </w:rPr>
        <w:t>.</w:t>
      </w:r>
      <w:r w:rsidR="000E3590" w:rsidRPr="009F173A">
        <w:rPr>
          <w:bCs/>
          <w:vertAlign w:val="superscript"/>
        </w:rPr>
        <w:t>28</w:t>
      </w:r>
      <w:r w:rsidRPr="009F173A">
        <w:rPr>
          <w:bCs/>
        </w:rPr>
        <w:t xml:space="preserve"> </w:t>
      </w:r>
      <w:bookmarkStart w:id="12" w:name="_Hlk103338295"/>
      <w:r w:rsidR="00286D42" w:rsidRPr="009F173A">
        <w:rPr>
          <w:bCs/>
        </w:rPr>
        <w:t>Vicente-Rodriguez et al</w:t>
      </w:r>
      <w:r w:rsidR="000E3590" w:rsidRPr="009F173A">
        <w:rPr>
          <w:bCs/>
          <w:vertAlign w:val="superscript"/>
        </w:rPr>
        <w:t>29</w:t>
      </w:r>
      <w:r w:rsidR="00286D42" w:rsidRPr="009F173A">
        <w:rPr>
          <w:bCs/>
        </w:rPr>
        <w:t xml:space="preserve"> </w:t>
      </w:r>
      <w:bookmarkEnd w:id="12"/>
      <w:r w:rsidR="00286D42" w:rsidRPr="009F173A">
        <w:rPr>
          <w:bCs/>
        </w:rPr>
        <w:t xml:space="preserve">reported </w:t>
      </w:r>
      <w:r w:rsidR="0075186D" w:rsidRPr="009F173A">
        <w:rPr>
          <w:bCs/>
        </w:rPr>
        <w:t>intra-day</w:t>
      </w:r>
      <w:r w:rsidR="00286D42" w:rsidRPr="009F173A">
        <w:rPr>
          <w:bCs/>
        </w:rPr>
        <w:t xml:space="preserve"> reliability</w:t>
      </w:r>
      <w:r w:rsidR="004C01C8" w:rsidRPr="009F173A">
        <w:rPr>
          <w:bCs/>
        </w:rPr>
        <w:t xml:space="preserve"> of </w:t>
      </w:r>
      <w:r w:rsidR="00601D65" w:rsidRPr="009F173A">
        <w:rPr>
          <w:bCs/>
        </w:rPr>
        <w:t>%FM</w:t>
      </w:r>
      <w:r w:rsidR="00601D65" w:rsidRPr="009F173A">
        <w:rPr>
          <w:bCs/>
          <w:vertAlign w:val="subscript"/>
        </w:rPr>
        <w:t>ADP</w:t>
      </w:r>
      <w:r w:rsidR="00601D65" w:rsidRPr="009F173A">
        <w:rPr>
          <w:bCs/>
        </w:rPr>
        <w:t xml:space="preserve"> and %FM</w:t>
      </w:r>
      <w:r w:rsidR="00601D65" w:rsidRPr="009F173A">
        <w:rPr>
          <w:bCs/>
          <w:vertAlign w:val="subscript"/>
        </w:rPr>
        <w:t>BIA</w:t>
      </w:r>
      <w:r w:rsidR="00601D65" w:rsidRPr="009F173A">
        <w:rPr>
          <w:bCs/>
        </w:rPr>
        <w:t xml:space="preserve"> </w:t>
      </w:r>
      <w:r w:rsidR="00286D42" w:rsidRPr="009F173A">
        <w:rPr>
          <w:bCs/>
        </w:rPr>
        <w:t>in 84 adolescents (13</w:t>
      </w:r>
      <w:r w:rsidR="00F61944" w:rsidRPr="009F173A">
        <w:rPr>
          <w:bCs/>
        </w:rPr>
        <w:t>-</w:t>
      </w:r>
      <w:r w:rsidR="00286D42" w:rsidRPr="009F173A">
        <w:rPr>
          <w:bCs/>
        </w:rPr>
        <w:t>to</w:t>
      </w:r>
      <w:r w:rsidR="00F61944" w:rsidRPr="009F173A">
        <w:rPr>
          <w:bCs/>
        </w:rPr>
        <w:t>-</w:t>
      </w:r>
      <w:r w:rsidR="00286D42" w:rsidRPr="009F173A">
        <w:rPr>
          <w:bCs/>
        </w:rPr>
        <w:t>17</w:t>
      </w:r>
      <w:r w:rsidR="00F61944" w:rsidRPr="009F173A">
        <w:rPr>
          <w:bCs/>
        </w:rPr>
        <w:t>-</w:t>
      </w:r>
      <w:r w:rsidR="00286D42" w:rsidRPr="009F173A">
        <w:rPr>
          <w:bCs/>
        </w:rPr>
        <w:t>years</w:t>
      </w:r>
      <w:r w:rsidR="00F61944" w:rsidRPr="009F173A">
        <w:rPr>
          <w:bCs/>
        </w:rPr>
        <w:t>-</w:t>
      </w:r>
      <w:r w:rsidR="00286D42" w:rsidRPr="009F173A">
        <w:rPr>
          <w:bCs/>
        </w:rPr>
        <w:t xml:space="preserve">old).  </w:t>
      </w:r>
      <w:bookmarkStart w:id="13" w:name="_Hlk113973744"/>
      <w:r w:rsidR="00286D42" w:rsidRPr="009F173A">
        <w:rPr>
          <w:bCs/>
        </w:rPr>
        <w:t>T</w:t>
      </w:r>
      <w:r w:rsidR="00E87CC6" w:rsidRPr="009F173A">
        <w:rPr>
          <w:bCs/>
        </w:rPr>
        <w:t>echnical</w:t>
      </w:r>
      <w:r w:rsidR="00286D42" w:rsidRPr="009F173A">
        <w:rPr>
          <w:bCs/>
        </w:rPr>
        <w:t xml:space="preserve"> error of the measurement (TEM) </w:t>
      </w:r>
      <w:bookmarkEnd w:id="13"/>
      <w:r w:rsidR="00286D42" w:rsidRPr="009F173A">
        <w:rPr>
          <w:bCs/>
        </w:rPr>
        <w:t>was 1.07% and 0.74% for ADP and BIA respectively</w:t>
      </w:r>
      <w:r w:rsidR="00843DD1" w:rsidRPr="009F173A">
        <w:rPr>
          <w:bCs/>
        </w:rPr>
        <w:t>, with</w:t>
      </w:r>
      <w:r w:rsidR="00286D42" w:rsidRPr="009F173A">
        <w:rPr>
          <w:bCs/>
        </w:rPr>
        <w:t xml:space="preserve"> </w:t>
      </w:r>
      <w:r w:rsidR="00843DD1" w:rsidRPr="009F173A">
        <w:rPr>
          <w:bCs/>
        </w:rPr>
        <w:t>c</w:t>
      </w:r>
      <w:r w:rsidR="00286D42" w:rsidRPr="009F173A">
        <w:rPr>
          <w:bCs/>
        </w:rPr>
        <w:t xml:space="preserve">orrelation coefficients </w:t>
      </w:r>
      <w:r w:rsidR="00843DD1" w:rsidRPr="009F173A">
        <w:rPr>
          <w:bCs/>
        </w:rPr>
        <w:t>of</w:t>
      </w:r>
      <w:r w:rsidR="00286D42" w:rsidRPr="009F173A">
        <w:rPr>
          <w:bCs/>
        </w:rPr>
        <w:t xml:space="preserve"> 0.989 and 0.993 </w:t>
      </w:r>
      <w:r w:rsidR="00382D2F" w:rsidRPr="009F173A">
        <w:rPr>
          <w:bCs/>
        </w:rPr>
        <w:t xml:space="preserve">for ADP and BIA respectively. </w:t>
      </w:r>
      <w:r w:rsidR="00286D42" w:rsidRPr="009F173A">
        <w:rPr>
          <w:bCs/>
        </w:rPr>
        <w:t xml:space="preserve"> </w:t>
      </w:r>
      <w:r w:rsidR="00382D2F" w:rsidRPr="009F173A">
        <w:rPr>
          <w:bCs/>
        </w:rPr>
        <w:t xml:space="preserve">However, </w:t>
      </w:r>
      <w:r w:rsidR="002267DE" w:rsidRPr="009F173A">
        <w:rPr>
          <w:bCs/>
        </w:rPr>
        <w:t>there is a paucity of research that has assess</w:t>
      </w:r>
      <w:r w:rsidR="007D782F" w:rsidRPr="009F173A">
        <w:rPr>
          <w:bCs/>
        </w:rPr>
        <w:t>ed</w:t>
      </w:r>
      <w:r w:rsidR="002267DE" w:rsidRPr="009F173A">
        <w:rPr>
          <w:bCs/>
        </w:rPr>
        <w:t xml:space="preserve"> the reliability of ADP and BIA methods in one cohort, with no studies investigating this in a cohort of children &lt; 12 years.   </w:t>
      </w:r>
    </w:p>
    <w:p w14:paraId="223B762C" w14:textId="0567F978" w:rsidR="00382D2F" w:rsidRPr="009F173A" w:rsidRDefault="00382D2F" w:rsidP="003C5367">
      <w:pPr>
        <w:spacing w:after="0" w:line="276" w:lineRule="auto"/>
        <w:rPr>
          <w:bCs/>
        </w:rPr>
      </w:pPr>
    </w:p>
    <w:p w14:paraId="20E4F076" w14:textId="028AB7B7" w:rsidR="00382D2F" w:rsidRPr="009F173A" w:rsidRDefault="00A06298" w:rsidP="003C5367">
      <w:pPr>
        <w:spacing w:after="0" w:line="276" w:lineRule="auto"/>
        <w:rPr>
          <w:bCs/>
        </w:rPr>
      </w:pPr>
      <w:r w:rsidRPr="009F173A">
        <w:rPr>
          <w:bCs/>
        </w:rPr>
        <w:t>A recent systematic review suggests that ADP has similar validity to DXA and isotopic dilution methods to assess %FM in children with obesity.</w:t>
      </w:r>
      <w:r w:rsidR="00704F28" w:rsidRPr="009F173A">
        <w:rPr>
          <w:bCs/>
          <w:vertAlign w:val="superscript"/>
        </w:rPr>
        <w:t>3</w:t>
      </w:r>
      <w:r w:rsidR="000E3590" w:rsidRPr="009F173A">
        <w:rPr>
          <w:bCs/>
          <w:vertAlign w:val="superscript"/>
        </w:rPr>
        <w:t>0</w:t>
      </w:r>
      <w:r w:rsidRPr="009F173A">
        <w:rPr>
          <w:bCs/>
        </w:rPr>
        <w:t xml:space="preserve"> </w:t>
      </w:r>
      <w:r w:rsidR="00085CE8" w:rsidRPr="009F173A">
        <w:rPr>
          <w:bCs/>
        </w:rPr>
        <w:t>ADP has been considered as a ‘standard’ method of body composition assessment</w:t>
      </w:r>
      <w:r w:rsidR="00704F28" w:rsidRPr="009F173A">
        <w:rPr>
          <w:bCs/>
          <w:vertAlign w:val="superscript"/>
        </w:rPr>
        <w:t>2</w:t>
      </w:r>
      <w:r w:rsidR="000E3590" w:rsidRPr="009F173A">
        <w:rPr>
          <w:bCs/>
          <w:vertAlign w:val="superscript"/>
        </w:rPr>
        <w:t>3</w:t>
      </w:r>
      <w:r w:rsidR="00085CE8" w:rsidRPr="009F173A">
        <w:rPr>
          <w:bCs/>
        </w:rPr>
        <w:t xml:space="preserve"> to which BIA methods can be compared for validity and reliability.</w:t>
      </w:r>
      <w:r w:rsidR="00704F28" w:rsidRPr="009F173A">
        <w:rPr>
          <w:bCs/>
          <w:vertAlign w:val="superscript"/>
        </w:rPr>
        <w:t>2</w:t>
      </w:r>
      <w:r w:rsidR="000E3590" w:rsidRPr="009F173A">
        <w:rPr>
          <w:bCs/>
          <w:vertAlign w:val="superscript"/>
        </w:rPr>
        <w:t>0</w:t>
      </w:r>
      <w:r w:rsidR="00704F28" w:rsidRPr="009F173A">
        <w:rPr>
          <w:bCs/>
          <w:vertAlign w:val="superscript"/>
        </w:rPr>
        <w:t>,2</w:t>
      </w:r>
      <w:r w:rsidR="000E3590" w:rsidRPr="009F173A">
        <w:rPr>
          <w:bCs/>
          <w:vertAlign w:val="superscript"/>
        </w:rPr>
        <w:t>1</w:t>
      </w:r>
      <w:r w:rsidR="00085CE8" w:rsidRPr="009F173A">
        <w:rPr>
          <w:bCs/>
        </w:rPr>
        <w:t xml:space="preserve"> </w:t>
      </w:r>
      <w:r w:rsidR="00382D2F" w:rsidRPr="009F173A">
        <w:rPr>
          <w:bCs/>
        </w:rPr>
        <w:t xml:space="preserve">Measures of body fat by ADP offers greater agreement with </w:t>
      </w:r>
      <w:r w:rsidR="00085CE8" w:rsidRPr="009F173A">
        <w:rPr>
          <w:bCs/>
        </w:rPr>
        <w:t>reference</w:t>
      </w:r>
      <w:r w:rsidR="00382D2F" w:rsidRPr="009F173A">
        <w:rPr>
          <w:bCs/>
        </w:rPr>
        <w:t xml:space="preserve"> measures, but BIA offers faster, more convenient and inexpensive field-based measures of body fat. </w:t>
      </w:r>
      <w:r w:rsidR="00A47135" w:rsidRPr="009F173A">
        <w:rPr>
          <w:bCs/>
        </w:rPr>
        <w:t xml:space="preserve"> </w:t>
      </w:r>
      <w:r w:rsidR="00085CE8" w:rsidRPr="009F173A">
        <w:rPr>
          <w:bCs/>
        </w:rPr>
        <w:t xml:space="preserve">Therefore, the aim </w:t>
      </w:r>
      <w:bookmarkStart w:id="14" w:name="_Hlk103329561"/>
      <w:r w:rsidR="00085CE8" w:rsidRPr="009F173A">
        <w:rPr>
          <w:bCs/>
        </w:rPr>
        <w:t xml:space="preserve">of this study </w:t>
      </w:r>
      <w:r w:rsidR="005E2976" w:rsidRPr="009F173A">
        <w:rPr>
          <w:bCs/>
        </w:rPr>
        <w:t>wa</w:t>
      </w:r>
      <w:r w:rsidR="00085CE8" w:rsidRPr="009F173A">
        <w:rPr>
          <w:bCs/>
        </w:rPr>
        <w:t xml:space="preserve">s to measure concurrent validity </w:t>
      </w:r>
      <w:r w:rsidR="00372FC0" w:rsidRPr="009F173A">
        <w:rPr>
          <w:bCs/>
        </w:rPr>
        <w:t xml:space="preserve">and reliability </w:t>
      </w:r>
      <w:r w:rsidR="00085CE8" w:rsidRPr="009F173A">
        <w:rPr>
          <w:bCs/>
        </w:rPr>
        <w:t xml:space="preserve">of </w:t>
      </w:r>
      <w:r w:rsidR="00F967C3" w:rsidRPr="009F173A">
        <w:rPr>
          <w:bCs/>
        </w:rPr>
        <w:t>%FM</w:t>
      </w:r>
      <w:r w:rsidR="00F967C3" w:rsidRPr="009F173A">
        <w:rPr>
          <w:bCs/>
          <w:vertAlign w:val="subscript"/>
        </w:rPr>
        <w:t>ADP</w:t>
      </w:r>
      <w:r w:rsidR="00F967C3" w:rsidRPr="009F173A">
        <w:rPr>
          <w:bCs/>
        </w:rPr>
        <w:t xml:space="preserve"> and %FM</w:t>
      </w:r>
      <w:r w:rsidR="00F967C3" w:rsidRPr="009F173A">
        <w:rPr>
          <w:bCs/>
          <w:vertAlign w:val="subscript"/>
        </w:rPr>
        <w:t>BIA</w:t>
      </w:r>
      <w:r w:rsidR="00F967C3" w:rsidRPr="009F173A">
        <w:rPr>
          <w:bCs/>
        </w:rPr>
        <w:t xml:space="preserve"> </w:t>
      </w:r>
      <w:r w:rsidR="00085CE8" w:rsidRPr="009F173A">
        <w:rPr>
          <w:bCs/>
        </w:rPr>
        <w:t xml:space="preserve">in </w:t>
      </w:r>
      <w:r w:rsidR="00F967C3" w:rsidRPr="009F173A">
        <w:rPr>
          <w:bCs/>
        </w:rPr>
        <w:t>6</w:t>
      </w:r>
      <w:r w:rsidR="00F61944" w:rsidRPr="009F173A">
        <w:rPr>
          <w:bCs/>
        </w:rPr>
        <w:t>-</w:t>
      </w:r>
      <w:r w:rsidR="00F967C3" w:rsidRPr="009F173A">
        <w:rPr>
          <w:bCs/>
        </w:rPr>
        <w:t>to</w:t>
      </w:r>
      <w:r w:rsidR="00F61944" w:rsidRPr="009F173A">
        <w:rPr>
          <w:bCs/>
        </w:rPr>
        <w:t>-</w:t>
      </w:r>
      <w:r w:rsidR="00DE6C92" w:rsidRPr="009F173A">
        <w:rPr>
          <w:bCs/>
        </w:rPr>
        <w:t>12-year-old</w:t>
      </w:r>
      <w:r w:rsidR="00F967C3" w:rsidRPr="009F173A">
        <w:rPr>
          <w:bCs/>
        </w:rPr>
        <w:t xml:space="preserve"> children with and without obesity</w:t>
      </w:r>
      <w:bookmarkEnd w:id="14"/>
      <w:r w:rsidR="00085CE8" w:rsidRPr="009F173A">
        <w:rPr>
          <w:bCs/>
        </w:rPr>
        <w:t xml:space="preserve">.  </w:t>
      </w:r>
      <w:bookmarkStart w:id="15" w:name="_Hlk108000315"/>
      <w:r w:rsidR="00400748" w:rsidRPr="009F173A">
        <w:rPr>
          <w:bCs/>
        </w:rPr>
        <w:t>We hypothesise that %FM</w:t>
      </w:r>
      <w:r w:rsidR="00400748" w:rsidRPr="009F173A">
        <w:rPr>
          <w:bCs/>
          <w:vertAlign w:val="subscript"/>
        </w:rPr>
        <w:t>BIA</w:t>
      </w:r>
      <w:r w:rsidR="00400748" w:rsidRPr="009F173A">
        <w:rPr>
          <w:bCs/>
        </w:rPr>
        <w:t xml:space="preserve"> will be underestimated compared to %FM</w:t>
      </w:r>
      <w:r w:rsidR="00400748" w:rsidRPr="009F173A">
        <w:rPr>
          <w:bCs/>
          <w:vertAlign w:val="subscript"/>
        </w:rPr>
        <w:t>ADP</w:t>
      </w:r>
      <w:r w:rsidR="00400748" w:rsidRPr="009F173A">
        <w:rPr>
          <w:bCs/>
        </w:rPr>
        <w:t>, and that in boys with obesity, %FM</w:t>
      </w:r>
      <w:r w:rsidR="00400748" w:rsidRPr="009F173A">
        <w:rPr>
          <w:bCs/>
          <w:vertAlign w:val="subscript"/>
        </w:rPr>
        <w:t>BIA</w:t>
      </w:r>
      <w:r w:rsidR="00400748" w:rsidRPr="009F173A">
        <w:rPr>
          <w:bCs/>
        </w:rPr>
        <w:t xml:space="preserve"> will be underestimated to a greater extent compared to boys without obesity</w:t>
      </w:r>
      <w:r w:rsidR="00FE1257" w:rsidRPr="009F173A">
        <w:rPr>
          <w:bCs/>
        </w:rPr>
        <w:t xml:space="preserve">.  Compared to studies that have not used age-specific equations for body composition, we </w:t>
      </w:r>
      <w:r w:rsidR="0041419D" w:rsidRPr="009F173A">
        <w:rPr>
          <w:bCs/>
        </w:rPr>
        <w:t>expect</w:t>
      </w:r>
      <w:r w:rsidR="00FE1257" w:rsidRPr="009F173A">
        <w:rPr>
          <w:bCs/>
        </w:rPr>
        <w:t xml:space="preserve"> to find less difference between %FM</w:t>
      </w:r>
      <w:r w:rsidR="00FE1257" w:rsidRPr="009F173A">
        <w:rPr>
          <w:bCs/>
          <w:vertAlign w:val="subscript"/>
        </w:rPr>
        <w:t>ADP</w:t>
      </w:r>
      <w:r w:rsidR="00FE1257" w:rsidRPr="009F173A">
        <w:rPr>
          <w:bCs/>
        </w:rPr>
        <w:t xml:space="preserve"> and %FM</w:t>
      </w:r>
      <w:r w:rsidR="00FE1257" w:rsidRPr="009F173A">
        <w:rPr>
          <w:bCs/>
          <w:vertAlign w:val="subscript"/>
        </w:rPr>
        <w:t>BIA</w:t>
      </w:r>
      <w:r w:rsidR="00FE1257" w:rsidRPr="009F173A">
        <w:rPr>
          <w:bCs/>
        </w:rPr>
        <w:t>. Finally, we hypothesise that both %FM</w:t>
      </w:r>
      <w:r w:rsidR="00FE1257" w:rsidRPr="009F173A">
        <w:rPr>
          <w:bCs/>
          <w:vertAlign w:val="subscript"/>
        </w:rPr>
        <w:t>ADP</w:t>
      </w:r>
      <w:r w:rsidR="00FE1257" w:rsidRPr="009F173A">
        <w:rPr>
          <w:bCs/>
        </w:rPr>
        <w:t xml:space="preserve"> and %FM</w:t>
      </w:r>
      <w:r w:rsidR="00FE1257" w:rsidRPr="009F173A">
        <w:rPr>
          <w:bCs/>
          <w:vertAlign w:val="subscript"/>
        </w:rPr>
        <w:t>BIA</w:t>
      </w:r>
      <w:r w:rsidR="00FE1257" w:rsidRPr="009F173A">
        <w:rPr>
          <w:bCs/>
        </w:rPr>
        <w:t xml:space="preserve"> methods will be reliable, in keeping with literature involving older children.</w:t>
      </w:r>
      <w:r w:rsidR="007D782F" w:rsidRPr="009F173A">
        <w:rPr>
          <w:bCs/>
        </w:rPr>
        <w:t xml:space="preserve"> The findings will help practitioners determine whether %FM</w:t>
      </w:r>
      <w:r w:rsidR="007D782F" w:rsidRPr="009F173A">
        <w:rPr>
          <w:bCs/>
          <w:vertAlign w:val="subscript"/>
        </w:rPr>
        <w:t>ADP</w:t>
      </w:r>
      <w:r w:rsidR="007D782F" w:rsidRPr="009F173A">
        <w:rPr>
          <w:bCs/>
        </w:rPr>
        <w:t xml:space="preserve"> and %FM</w:t>
      </w:r>
      <w:r w:rsidR="007D782F" w:rsidRPr="009F173A">
        <w:rPr>
          <w:bCs/>
          <w:vertAlign w:val="subscript"/>
        </w:rPr>
        <w:t>BIA</w:t>
      </w:r>
      <w:r w:rsidR="007D782F" w:rsidRPr="009F173A">
        <w:rPr>
          <w:bCs/>
        </w:rPr>
        <w:t xml:space="preserve"> can be used interchangeably and reliably in children.  </w:t>
      </w:r>
    </w:p>
    <w:bookmarkEnd w:id="15"/>
    <w:p w14:paraId="10595A6C" w14:textId="7E753EA4" w:rsidR="003C5367" w:rsidRPr="009F173A" w:rsidRDefault="001D10A6" w:rsidP="00EB44A9">
      <w:pPr>
        <w:spacing w:after="0"/>
        <w:rPr>
          <w:bCs/>
        </w:rPr>
      </w:pPr>
      <w:r w:rsidRPr="009F173A">
        <w:rPr>
          <w:bCs/>
        </w:rPr>
        <w:t xml:space="preserve"> </w:t>
      </w:r>
    </w:p>
    <w:p w14:paraId="4AEA81CE" w14:textId="77777777" w:rsidR="00892116" w:rsidRPr="009F173A" w:rsidRDefault="00892116" w:rsidP="007A49B9">
      <w:pPr>
        <w:pStyle w:val="ListParagraph"/>
        <w:rPr>
          <w:bCs/>
        </w:rPr>
      </w:pPr>
    </w:p>
    <w:p w14:paraId="40E105F2" w14:textId="77777777" w:rsidR="007A49B9" w:rsidRPr="009F173A" w:rsidRDefault="007A49B9" w:rsidP="0079797A">
      <w:pPr>
        <w:spacing w:after="0" w:line="276" w:lineRule="auto"/>
        <w:rPr>
          <w:b/>
        </w:rPr>
      </w:pPr>
      <w:r w:rsidRPr="009F173A">
        <w:rPr>
          <w:b/>
        </w:rPr>
        <w:t>Method</w:t>
      </w:r>
    </w:p>
    <w:p w14:paraId="13ADDF52" w14:textId="77777777" w:rsidR="007A49B9" w:rsidRPr="009F173A" w:rsidRDefault="007A49B9" w:rsidP="0079797A">
      <w:pPr>
        <w:spacing w:after="0" w:line="276" w:lineRule="auto"/>
        <w:rPr>
          <w:bCs/>
        </w:rPr>
      </w:pPr>
    </w:p>
    <w:p w14:paraId="105D0E6E" w14:textId="682BBA69" w:rsidR="007A49B9" w:rsidRPr="009F173A" w:rsidRDefault="007A49B9" w:rsidP="0079797A">
      <w:pPr>
        <w:spacing w:after="0" w:line="276" w:lineRule="auto"/>
        <w:rPr>
          <w:bCs/>
          <w:i/>
          <w:iCs/>
        </w:rPr>
      </w:pPr>
      <w:r w:rsidRPr="009F173A">
        <w:rPr>
          <w:bCs/>
          <w:i/>
          <w:iCs/>
        </w:rPr>
        <w:t>Participants</w:t>
      </w:r>
    </w:p>
    <w:p w14:paraId="709B37DE" w14:textId="4E5CC033" w:rsidR="00D04453" w:rsidRPr="009F173A" w:rsidRDefault="00D04453" w:rsidP="0079797A">
      <w:pPr>
        <w:spacing w:after="0" w:line="276" w:lineRule="auto"/>
        <w:rPr>
          <w:bCs/>
        </w:rPr>
      </w:pPr>
      <w:r w:rsidRPr="009F173A">
        <w:rPr>
          <w:bCs/>
        </w:rPr>
        <w:t>Seventy-one boys</w:t>
      </w:r>
      <w:r w:rsidR="00430BEF" w:rsidRPr="009F173A">
        <w:rPr>
          <w:bCs/>
        </w:rPr>
        <w:t xml:space="preserve"> underwent assessment of body composition </w:t>
      </w:r>
      <w:r w:rsidR="00BE5C02" w:rsidRPr="009F173A">
        <w:rPr>
          <w:bCs/>
        </w:rPr>
        <w:t xml:space="preserve">by BIA and ADP </w:t>
      </w:r>
      <w:r w:rsidRPr="009F173A">
        <w:rPr>
          <w:bCs/>
        </w:rPr>
        <w:t>(</w:t>
      </w:r>
      <w:r w:rsidR="00537D13" w:rsidRPr="009F173A">
        <w:rPr>
          <w:bCs/>
        </w:rPr>
        <w:t>age: 10.1 ± 1.</w:t>
      </w:r>
      <w:r w:rsidR="00975251" w:rsidRPr="009F173A">
        <w:rPr>
          <w:bCs/>
        </w:rPr>
        <w:t>70</w:t>
      </w:r>
      <w:r w:rsidR="00537D13" w:rsidRPr="009F173A">
        <w:rPr>
          <w:bCs/>
        </w:rPr>
        <w:t xml:space="preserve"> years, height: 1</w:t>
      </w:r>
      <w:r w:rsidR="00C019D6" w:rsidRPr="009F173A">
        <w:rPr>
          <w:bCs/>
        </w:rPr>
        <w:t>.</w:t>
      </w:r>
      <w:r w:rsidR="00537D13" w:rsidRPr="009F173A">
        <w:rPr>
          <w:bCs/>
        </w:rPr>
        <w:t>4</w:t>
      </w:r>
      <w:r w:rsidR="00C019D6" w:rsidRPr="009F173A">
        <w:rPr>
          <w:bCs/>
        </w:rPr>
        <w:t>3</w:t>
      </w:r>
      <w:r w:rsidR="00537D13" w:rsidRPr="009F173A">
        <w:rPr>
          <w:bCs/>
        </w:rPr>
        <w:t xml:space="preserve"> ± </w:t>
      </w:r>
      <w:r w:rsidR="00C019D6" w:rsidRPr="009F173A">
        <w:rPr>
          <w:bCs/>
        </w:rPr>
        <w:t>0.11</w:t>
      </w:r>
      <w:r w:rsidR="00537D13" w:rsidRPr="009F173A">
        <w:rPr>
          <w:bCs/>
        </w:rPr>
        <w:t xml:space="preserve"> m, mass: 39.4 ± 11.2 kg</w:t>
      </w:r>
      <w:r w:rsidR="00525D78" w:rsidRPr="009F173A">
        <w:rPr>
          <w:bCs/>
        </w:rPr>
        <w:t>)</w:t>
      </w:r>
      <w:r w:rsidRPr="009F173A">
        <w:rPr>
          <w:bCs/>
        </w:rPr>
        <w:t xml:space="preserve">.  </w:t>
      </w:r>
      <w:r w:rsidR="00B14F05" w:rsidRPr="009F173A">
        <w:rPr>
          <w:bCs/>
        </w:rPr>
        <w:t xml:space="preserve">Ten boys took part in the </w:t>
      </w:r>
      <w:r w:rsidR="0075186D" w:rsidRPr="009F173A">
        <w:rPr>
          <w:bCs/>
        </w:rPr>
        <w:t>intra-day</w:t>
      </w:r>
      <w:r w:rsidR="00B14F05" w:rsidRPr="009F173A">
        <w:rPr>
          <w:bCs/>
        </w:rPr>
        <w:t xml:space="preserve"> reliability analysis</w:t>
      </w:r>
      <w:r w:rsidR="00BE5C02" w:rsidRPr="009F173A">
        <w:rPr>
          <w:bCs/>
        </w:rPr>
        <w:t xml:space="preserve"> of BIA and ADP</w:t>
      </w:r>
      <w:r w:rsidR="00B14F05" w:rsidRPr="009F173A">
        <w:rPr>
          <w:bCs/>
        </w:rPr>
        <w:t xml:space="preserve"> (age: 10.0 ± 2.</w:t>
      </w:r>
      <w:r w:rsidR="000851D8" w:rsidRPr="009F173A">
        <w:rPr>
          <w:bCs/>
        </w:rPr>
        <w:t>6</w:t>
      </w:r>
      <w:r w:rsidR="00975251" w:rsidRPr="009F173A">
        <w:rPr>
          <w:bCs/>
        </w:rPr>
        <w:t>3</w:t>
      </w:r>
      <w:r w:rsidR="00B14F05" w:rsidRPr="009F173A">
        <w:rPr>
          <w:bCs/>
        </w:rPr>
        <w:t xml:space="preserve"> years, height 1</w:t>
      </w:r>
      <w:r w:rsidR="00C019D6" w:rsidRPr="009F173A">
        <w:rPr>
          <w:bCs/>
        </w:rPr>
        <w:t>.</w:t>
      </w:r>
      <w:r w:rsidR="00B14F05" w:rsidRPr="009F173A">
        <w:rPr>
          <w:bCs/>
        </w:rPr>
        <w:t>3</w:t>
      </w:r>
      <w:r w:rsidR="00C019D6" w:rsidRPr="009F173A">
        <w:rPr>
          <w:bCs/>
        </w:rPr>
        <w:t>9</w:t>
      </w:r>
      <w:r w:rsidR="00B14F05" w:rsidRPr="009F173A">
        <w:rPr>
          <w:bCs/>
        </w:rPr>
        <w:t xml:space="preserve"> ± </w:t>
      </w:r>
      <w:r w:rsidR="00C019D6" w:rsidRPr="009F173A">
        <w:rPr>
          <w:bCs/>
        </w:rPr>
        <w:t>0.</w:t>
      </w:r>
      <w:r w:rsidR="00B14F05" w:rsidRPr="009F173A">
        <w:rPr>
          <w:bCs/>
        </w:rPr>
        <w:t>17 m, mass 33.</w:t>
      </w:r>
      <w:r w:rsidR="000851D8" w:rsidRPr="009F173A">
        <w:rPr>
          <w:bCs/>
        </w:rPr>
        <w:t>8</w:t>
      </w:r>
      <w:r w:rsidR="00B14F05" w:rsidRPr="009F173A">
        <w:rPr>
          <w:bCs/>
        </w:rPr>
        <w:t xml:space="preserve"> ± 10.8 kg).  </w:t>
      </w:r>
      <w:r w:rsidR="008309AB" w:rsidRPr="009F173A">
        <w:rPr>
          <w:bCs/>
        </w:rPr>
        <w:t xml:space="preserve">This study was conducted according to the guidelines laid down in the Declaration of Helsinki and all procedures involving human subjects/patients were approved by the host institution (Ref No. ETH/13/11). </w:t>
      </w:r>
      <w:r w:rsidRPr="009F173A">
        <w:rPr>
          <w:bCs/>
        </w:rPr>
        <w:t>Written and verba</w:t>
      </w:r>
      <w:r w:rsidR="002B771B" w:rsidRPr="009F173A">
        <w:rPr>
          <w:bCs/>
        </w:rPr>
        <w:t>l</w:t>
      </w:r>
      <w:r w:rsidRPr="009F173A">
        <w:rPr>
          <w:bCs/>
        </w:rPr>
        <w:t xml:space="preserve"> informed consent were </w:t>
      </w:r>
      <w:r w:rsidR="002B771B" w:rsidRPr="009F173A">
        <w:rPr>
          <w:bCs/>
        </w:rPr>
        <w:t>obtained from p</w:t>
      </w:r>
      <w:r w:rsidRPr="009F173A">
        <w:rPr>
          <w:bCs/>
        </w:rPr>
        <w:t>arents and children</w:t>
      </w:r>
      <w:r w:rsidR="008309AB" w:rsidRPr="009F173A">
        <w:rPr>
          <w:bCs/>
        </w:rPr>
        <w:t xml:space="preserve"> (verbal consent was witnessed and formally recorded)</w:t>
      </w:r>
      <w:r w:rsidR="002B771B" w:rsidRPr="009F173A">
        <w:rPr>
          <w:bCs/>
        </w:rPr>
        <w:t xml:space="preserve">.  Parents completed </w:t>
      </w:r>
      <w:r w:rsidRPr="009F173A">
        <w:rPr>
          <w:bCs/>
        </w:rPr>
        <w:t>a health medical questionnaire</w:t>
      </w:r>
      <w:r w:rsidR="002B771B" w:rsidRPr="009F173A">
        <w:rPr>
          <w:bCs/>
        </w:rPr>
        <w:t xml:space="preserve"> prior to data collection;</w:t>
      </w:r>
      <w:r w:rsidRPr="009F173A">
        <w:rPr>
          <w:bCs/>
        </w:rPr>
        <w:t xml:space="preserve"> </w:t>
      </w:r>
      <w:r w:rsidR="002B771B" w:rsidRPr="009F173A">
        <w:rPr>
          <w:bCs/>
        </w:rPr>
        <w:t>a</w:t>
      </w:r>
      <w:r w:rsidRPr="009F173A">
        <w:rPr>
          <w:bCs/>
        </w:rPr>
        <w:t>ll participants were reportedly healthy at the time of the study.</w:t>
      </w:r>
      <w:r w:rsidR="00BE5C02" w:rsidRPr="009F173A">
        <w:rPr>
          <w:bCs/>
        </w:rPr>
        <w:t xml:space="preserve">  Obesity was defined as an %FM &gt;25%.</w:t>
      </w:r>
      <w:r w:rsidR="00704F28" w:rsidRPr="009F173A">
        <w:rPr>
          <w:bCs/>
          <w:vertAlign w:val="superscript"/>
        </w:rPr>
        <w:t>2</w:t>
      </w:r>
      <w:r w:rsidR="000E3590" w:rsidRPr="009F173A">
        <w:rPr>
          <w:bCs/>
          <w:vertAlign w:val="superscript"/>
        </w:rPr>
        <w:t>3</w:t>
      </w:r>
    </w:p>
    <w:p w14:paraId="51076F1E" w14:textId="253EA00D" w:rsidR="00D04453" w:rsidRPr="009F173A" w:rsidRDefault="00D04453" w:rsidP="0079797A">
      <w:pPr>
        <w:spacing w:after="0" w:line="276" w:lineRule="auto"/>
        <w:rPr>
          <w:bCs/>
        </w:rPr>
      </w:pPr>
    </w:p>
    <w:p w14:paraId="6E8ED781" w14:textId="77777777" w:rsidR="00D04453" w:rsidRPr="009F173A" w:rsidRDefault="00D04453" w:rsidP="0079797A">
      <w:pPr>
        <w:spacing w:after="0" w:line="276" w:lineRule="auto"/>
        <w:rPr>
          <w:bCs/>
        </w:rPr>
      </w:pPr>
    </w:p>
    <w:p w14:paraId="5CFF49EE" w14:textId="40994B00" w:rsidR="007A49B9" w:rsidRPr="009F173A" w:rsidRDefault="007A49B9" w:rsidP="0079797A">
      <w:pPr>
        <w:spacing w:after="0" w:line="276" w:lineRule="auto"/>
        <w:rPr>
          <w:bCs/>
          <w:i/>
          <w:iCs/>
        </w:rPr>
      </w:pPr>
      <w:r w:rsidRPr="009F173A">
        <w:rPr>
          <w:bCs/>
          <w:i/>
          <w:iCs/>
        </w:rPr>
        <w:t>Procedure</w:t>
      </w:r>
    </w:p>
    <w:p w14:paraId="53DF032F" w14:textId="5D2353C3" w:rsidR="002B771B" w:rsidRPr="009F173A" w:rsidRDefault="00DC535D" w:rsidP="0079797A">
      <w:pPr>
        <w:spacing w:after="0" w:line="276" w:lineRule="auto"/>
        <w:rPr>
          <w:bCs/>
        </w:rPr>
      </w:pPr>
      <w:r w:rsidRPr="009F173A">
        <w:rPr>
          <w:bCs/>
        </w:rPr>
        <w:t>Participants were tested in pairs and a randomised, cross over design was used whereby pairs were randomly assigned to be tested by either ADP or BIA, after which they completed the other test procedure</w:t>
      </w:r>
      <w:r w:rsidR="00E47856" w:rsidRPr="009F173A">
        <w:rPr>
          <w:bCs/>
        </w:rPr>
        <w:t xml:space="preserve"> </w:t>
      </w:r>
      <w:r w:rsidR="00BF08BF" w:rsidRPr="009F173A">
        <w:rPr>
          <w:bCs/>
        </w:rPr>
        <w:t>immediately after the first</w:t>
      </w:r>
      <w:r w:rsidRPr="009F173A">
        <w:rPr>
          <w:bCs/>
        </w:rPr>
        <w:t xml:space="preserve">. </w:t>
      </w:r>
      <w:r w:rsidR="002B771B" w:rsidRPr="009F173A">
        <w:rPr>
          <w:bCs/>
        </w:rPr>
        <w:t xml:space="preserve">Each participant wore tight fitting swimming shorts with no shoes or socks throughout </w:t>
      </w:r>
      <w:r w:rsidRPr="009F173A">
        <w:rPr>
          <w:bCs/>
        </w:rPr>
        <w:t>both</w:t>
      </w:r>
      <w:r w:rsidR="002B771B" w:rsidRPr="009F173A">
        <w:rPr>
          <w:bCs/>
        </w:rPr>
        <w:t xml:space="preserve"> </w:t>
      </w:r>
      <w:r w:rsidR="00995A8B" w:rsidRPr="009F173A">
        <w:rPr>
          <w:bCs/>
        </w:rPr>
        <w:t xml:space="preserve">testing </w:t>
      </w:r>
      <w:r w:rsidR="002B771B" w:rsidRPr="009F173A">
        <w:rPr>
          <w:bCs/>
        </w:rPr>
        <w:t>procedures.  Participants were instructed not to eat</w:t>
      </w:r>
      <w:r w:rsidR="000851D8" w:rsidRPr="009F173A">
        <w:rPr>
          <w:bCs/>
        </w:rPr>
        <w:t>, drink</w:t>
      </w:r>
      <w:r w:rsidR="0075186D" w:rsidRPr="009F173A">
        <w:rPr>
          <w:bCs/>
        </w:rPr>
        <w:t>,</w:t>
      </w:r>
      <w:r w:rsidR="002B771B" w:rsidRPr="009F173A">
        <w:rPr>
          <w:bCs/>
        </w:rPr>
        <w:t xml:space="preserve"> or exercise two hours before the measurement and to void their bladder 30 minutes before testing. Estimates of </w:t>
      </w:r>
      <w:r w:rsidR="003024F7" w:rsidRPr="009F173A">
        <w:rPr>
          <w:bCs/>
        </w:rPr>
        <w:t>%</w:t>
      </w:r>
      <w:r w:rsidR="00BF08BF" w:rsidRPr="009F173A">
        <w:rPr>
          <w:bCs/>
        </w:rPr>
        <w:t>FM</w:t>
      </w:r>
      <w:r w:rsidR="007710EA" w:rsidRPr="009F173A">
        <w:rPr>
          <w:bCs/>
        </w:rPr>
        <w:t xml:space="preserve"> from ADP (%</w:t>
      </w:r>
      <w:r w:rsidR="00BF08BF" w:rsidRPr="009F173A">
        <w:rPr>
          <w:bCs/>
        </w:rPr>
        <w:t>FM</w:t>
      </w:r>
      <w:r w:rsidR="003024F7" w:rsidRPr="009F173A">
        <w:rPr>
          <w:bCs/>
          <w:vertAlign w:val="subscript"/>
        </w:rPr>
        <w:t>ADP</w:t>
      </w:r>
      <w:r w:rsidR="007710EA" w:rsidRPr="009F173A">
        <w:rPr>
          <w:bCs/>
        </w:rPr>
        <w:t>)</w:t>
      </w:r>
      <w:r w:rsidR="003024F7" w:rsidRPr="009F173A">
        <w:rPr>
          <w:bCs/>
        </w:rPr>
        <w:t xml:space="preserve"> and</w:t>
      </w:r>
      <w:r w:rsidR="00384EBE" w:rsidRPr="009F173A">
        <w:rPr>
          <w:bCs/>
        </w:rPr>
        <w:t xml:space="preserve"> BIA (</w:t>
      </w:r>
      <w:r w:rsidR="003024F7" w:rsidRPr="009F173A">
        <w:rPr>
          <w:bCs/>
        </w:rPr>
        <w:t>%</w:t>
      </w:r>
      <w:r w:rsidR="00BF08BF" w:rsidRPr="009F173A">
        <w:rPr>
          <w:bCs/>
        </w:rPr>
        <w:t>FM</w:t>
      </w:r>
      <w:r w:rsidR="003024F7" w:rsidRPr="009F173A">
        <w:rPr>
          <w:bCs/>
          <w:vertAlign w:val="subscript"/>
        </w:rPr>
        <w:t>BIA</w:t>
      </w:r>
      <w:r w:rsidR="00384EBE" w:rsidRPr="009F173A">
        <w:rPr>
          <w:bCs/>
        </w:rPr>
        <w:t>)</w:t>
      </w:r>
      <w:r w:rsidR="003024F7" w:rsidRPr="009F173A">
        <w:rPr>
          <w:bCs/>
        </w:rPr>
        <w:t xml:space="preserve"> </w:t>
      </w:r>
      <w:r w:rsidR="002B771B" w:rsidRPr="009F173A">
        <w:rPr>
          <w:bCs/>
        </w:rPr>
        <w:t xml:space="preserve">were measured within the same day by the </w:t>
      </w:r>
      <w:r w:rsidR="00BF08BF" w:rsidRPr="009F173A">
        <w:rPr>
          <w:bCs/>
        </w:rPr>
        <w:t>lead author</w:t>
      </w:r>
      <w:r w:rsidR="002B771B" w:rsidRPr="009F173A">
        <w:rPr>
          <w:bCs/>
        </w:rPr>
        <w:t xml:space="preserve">. </w:t>
      </w:r>
      <w:r w:rsidR="00995A8B" w:rsidRPr="009F173A">
        <w:rPr>
          <w:bCs/>
        </w:rPr>
        <w:t xml:space="preserve">For assessment of reliability, </w:t>
      </w:r>
      <w:r w:rsidR="003024F7" w:rsidRPr="009F173A">
        <w:rPr>
          <w:bCs/>
        </w:rPr>
        <w:t>%</w:t>
      </w:r>
      <w:r w:rsidR="00BF08BF" w:rsidRPr="009F173A">
        <w:rPr>
          <w:bCs/>
        </w:rPr>
        <w:t>FM</w:t>
      </w:r>
      <w:r w:rsidR="003024F7" w:rsidRPr="009F173A">
        <w:rPr>
          <w:bCs/>
          <w:vertAlign w:val="subscript"/>
        </w:rPr>
        <w:t>ADP</w:t>
      </w:r>
      <w:r w:rsidR="003024F7" w:rsidRPr="009F173A">
        <w:rPr>
          <w:bCs/>
        </w:rPr>
        <w:t>, %</w:t>
      </w:r>
      <w:r w:rsidR="00BF08BF" w:rsidRPr="009F173A">
        <w:rPr>
          <w:bCs/>
        </w:rPr>
        <w:t>FM</w:t>
      </w:r>
      <w:r w:rsidR="003024F7" w:rsidRPr="009F173A">
        <w:rPr>
          <w:bCs/>
          <w:vertAlign w:val="subscript"/>
        </w:rPr>
        <w:t>BIA</w:t>
      </w:r>
      <w:r w:rsidR="003024F7" w:rsidRPr="009F173A">
        <w:rPr>
          <w:bCs/>
        </w:rPr>
        <w:t xml:space="preserve">, body volume, and resistance measurements </w:t>
      </w:r>
      <w:r w:rsidR="002B771B" w:rsidRPr="009F173A">
        <w:rPr>
          <w:bCs/>
        </w:rPr>
        <w:t>w</w:t>
      </w:r>
      <w:r w:rsidR="00995A8B" w:rsidRPr="009F173A">
        <w:rPr>
          <w:bCs/>
        </w:rPr>
        <w:t xml:space="preserve">ere repeated </w:t>
      </w:r>
      <w:r w:rsidR="002B771B" w:rsidRPr="009F173A">
        <w:rPr>
          <w:bCs/>
        </w:rPr>
        <w:t>within 10 minutes of the first</w:t>
      </w:r>
      <w:r w:rsidR="00995A8B" w:rsidRPr="009F173A">
        <w:rPr>
          <w:bCs/>
        </w:rPr>
        <w:t xml:space="preserve"> test</w:t>
      </w:r>
      <w:r w:rsidR="002B771B" w:rsidRPr="009F173A">
        <w:rPr>
          <w:bCs/>
        </w:rPr>
        <w:t xml:space="preserve"> in order to avoid biological variation in hydration and temperature.</w:t>
      </w:r>
    </w:p>
    <w:p w14:paraId="18FF2534" w14:textId="0F42F597" w:rsidR="002B771B" w:rsidRPr="009F173A" w:rsidRDefault="002B771B" w:rsidP="0079797A">
      <w:pPr>
        <w:spacing w:after="0" w:line="276" w:lineRule="auto"/>
        <w:rPr>
          <w:bCs/>
          <w:i/>
          <w:iCs/>
        </w:rPr>
      </w:pPr>
    </w:p>
    <w:p w14:paraId="16D45017" w14:textId="77777777" w:rsidR="002B771B" w:rsidRPr="009F173A" w:rsidRDefault="002B771B" w:rsidP="0079797A">
      <w:pPr>
        <w:spacing w:after="0" w:line="276" w:lineRule="auto"/>
        <w:rPr>
          <w:bCs/>
          <w:i/>
          <w:iCs/>
        </w:rPr>
      </w:pPr>
    </w:p>
    <w:p w14:paraId="48C42399" w14:textId="7E24B23A" w:rsidR="007A49B9" w:rsidRPr="009F173A" w:rsidRDefault="007A49B9" w:rsidP="0079797A">
      <w:pPr>
        <w:spacing w:after="0" w:line="276" w:lineRule="auto"/>
        <w:rPr>
          <w:bCs/>
          <w:i/>
          <w:iCs/>
        </w:rPr>
      </w:pPr>
      <w:r w:rsidRPr="009F173A">
        <w:rPr>
          <w:bCs/>
          <w:i/>
          <w:iCs/>
        </w:rPr>
        <w:t>ADP</w:t>
      </w:r>
    </w:p>
    <w:p w14:paraId="60D66576" w14:textId="619E78FB" w:rsidR="002B771B" w:rsidRPr="009F173A" w:rsidRDefault="002B771B" w:rsidP="0079797A">
      <w:pPr>
        <w:spacing w:after="0" w:line="276" w:lineRule="auto"/>
        <w:rPr>
          <w:bCs/>
        </w:rPr>
      </w:pPr>
      <w:r w:rsidRPr="009F173A">
        <w:rPr>
          <w:bCs/>
        </w:rPr>
        <w:t>Air displacement plethysmography (ADP) was measured using the Bodpod device following manufacturer’s protocols.</w:t>
      </w:r>
      <w:r w:rsidR="00704F28" w:rsidRPr="009F173A">
        <w:rPr>
          <w:bCs/>
          <w:vertAlign w:val="superscript"/>
        </w:rPr>
        <w:t>14</w:t>
      </w:r>
      <w:r w:rsidRPr="009F173A">
        <w:rPr>
          <w:bCs/>
        </w:rPr>
        <w:t xml:space="preserve"> Each participant wore a swim cap to cover and compress head hair.  The Bodpod weighing scale was calibrated before each testing session with known 20kg weights; all calibrations were within ±0.01kg.  The chamber was calibrated against a known volume cylinder (50.024l) before each testing session.  Five repeated measures of cylinder volume were made during the calibration procedure</w:t>
      </w:r>
      <w:r w:rsidR="00E64B04" w:rsidRPr="009F173A">
        <w:rPr>
          <w:bCs/>
        </w:rPr>
        <w:t>.</w:t>
      </w:r>
      <w:r w:rsidRPr="009F173A">
        <w:rPr>
          <w:bCs/>
        </w:rPr>
        <w:t xml:space="preserve"> </w:t>
      </w:r>
      <w:r w:rsidR="00E64B04" w:rsidRPr="009F173A">
        <w:rPr>
          <w:bCs/>
        </w:rPr>
        <w:t>T</w:t>
      </w:r>
      <w:r w:rsidRPr="009F173A">
        <w:rPr>
          <w:bCs/>
        </w:rPr>
        <w:t>he average estimated volume was 50.047 ± 0.007l</w:t>
      </w:r>
      <w:r w:rsidR="00807459" w:rsidRPr="009F173A">
        <w:rPr>
          <w:bCs/>
        </w:rPr>
        <w:t>,</w:t>
      </w:r>
      <w:r w:rsidR="00BF08BF" w:rsidRPr="009F173A">
        <w:rPr>
          <w:bCs/>
        </w:rPr>
        <w:t xml:space="preserve"> </w:t>
      </w:r>
      <w:r w:rsidRPr="009F173A">
        <w:rPr>
          <w:bCs/>
        </w:rPr>
        <w:t>within the accuracy and variability range of repeated measures previously reported for volumetric measures by the Bodpod.</w:t>
      </w:r>
      <w:r w:rsidR="00704F28" w:rsidRPr="009F173A">
        <w:rPr>
          <w:bCs/>
          <w:vertAlign w:val="superscript"/>
        </w:rPr>
        <w:t>14</w:t>
      </w:r>
    </w:p>
    <w:p w14:paraId="12A0A345" w14:textId="37A4388D" w:rsidR="002B771B" w:rsidRPr="009F173A" w:rsidRDefault="002B771B" w:rsidP="0079797A">
      <w:pPr>
        <w:spacing w:after="0" w:line="276" w:lineRule="auto"/>
        <w:rPr>
          <w:bCs/>
        </w:rPr>
      </w:pPr>
    </w:p>
    <w:p w14:paraId="78239B10" w14:textId="64BB552C" w:rsidR="00752742" w:rsidRPr="009F173A" w:rsidRDefault="002B771B" w:rsidP="0079797A">
      <w:pPr>
        <w:spacing w:line="276" w:lineRule="auto"/>
        <w:rPr>
          <w:bCs/>
        </w:rPr>
      </w:pPr>
      <w:r w:rsidRPr="009F173A">
        <w:rPr>
          <w:bCs/>
        </w:rPr>
        <w:t>The ADP procedure involved three successive measurements of raw body volume, the total procedure time was less than one minute.  If body volume differed by more than 0.015</w:t>
      </w:r>
      <w:r w:rsidR="00F03FDD" w:rsidRPr="009F173A">
        <w:rPr>
          <w:bCs/>
        </w:rPr>
        <w:t>L</w:t>
      </w:r>
      <w:r w:rsidR="00807459" w:rsidRPr="009F173A">
        <w:rPr>
          <w:bCs/>
        </w:rPr>
        <w:t xml:space="preserve"> </w:t>
      </w:r>
      <w:r w:rsidRPr="009F173A">
        <w:rPr>
          <w:bCs/>
        </w:rPr>
        <w:t xml:space="preserve">between the measures the procedure was repeated.  The mean of the three raw </w:t>
      </w:r>
      <w:bookmarkStart w:id="16" w:name="_Hlk113973779"/>
      <w:r w:rsidRPr="009F173A">
        <w:rPr>
          <w:bCs/>
        </w:rPr>
        <w:t xml:space="preserve">body volumes (Vb) </w:t>
      </w:r>
      <w:bookmarkEnd w:id="16"/>
      <w:r w:rsidRPr="009F173A">
        <w:rPr>
          <w:bCs/>
        </w:rPr>
        <w:t xml:space="preserve">was corrected for isothermal conditions of air in the lungs and around the skin surface. Raw Vb was corrected for </w:t>
      </w:r>
      <w:bookmarkStart w:id="17" w:name="_Hlk113973787"/>
      <w:r w:rsidRPr="009F173A">
        <w:rPr>
          <w:bCs/>
        </w:rPr>
        <w:t xml:space="preserve">thoracic gas volumes (TGV) </w:t>
      </w:r>
      <w:bookmarkEnd w:id="17"/>
      <w:r w:rsidRPr="009F173A">
        <w:rPr>
          <w:bCs/>
        </w:rPr>
        <w:t>(and</w:t>
      </w:r>
      <w:r w:rsidR="00996A62" w:rsidRPr="009F173A">
        <w:rPr>
          <w:bCs/>
        </w:rPr>
        <w:t xml:space="preserve"> </w:t>
      </w:r>
      <w:bookmarkStart w:id="18" w:name="_Hlk113973793"/>
      <w:r w:rsidR="00996A62" w:rsidRPr="009F173A">
        <w:rPr>
          <w:bCs/>
        </w:rPr>
        <w:t xml:space="preserve">skin surface area </w:t>
      </w:r>
      <w:r w:rsidR="00807459" w:rsidRPr="009F173A">
        <w:rPr>
          <w:bCs/>
        </w:rPr>
        <w:t>[</w:t>
      </w:r>
      <w:r w:rsidR="00996A62" w:rsidRPr="009F173A">
        <w:rPr>
          <w:bCs/>
        </w:rPr>
        <w:t>S</w:t>
      </w:r>
      <w:r w:rsidR="00807459" w:rsidRPr="009F173A">
        <w:rPr>
          <w:bCs/>
        </w:rPr>
        <w:t>S</w:t>
      </w:r>
      <w:r w:rsidR="00996A62" w:rsidRPr="009F173A">
        <w:rPr>
          <w:bCs/>
        </w:rPr>
        <w:t>A</w:t>
      </w:r>
      <w:r w:rsidR="00807459" w:rsidRPr="009F173A">
        <w:rPr>
          <w:bCs/>
        </w:rPr>
        <w:t>])</w:t>
      </w:r>
      <w:r w:rsidR="00996A62" w:rsidRPr="009F173A">
        <w:rPr>
          <w:bCs/>
        </w:rPr>
        <w:t xml:space="preserve"> </w:t>
      </w:r>
      <w:bookmarkEnd w:id="18"/>
      <w:r w:rsidR="000E3C25" w:rsidRPr="009F173A">
        <w:rPr>
          <w:bCs/>
        </w:rPr>
        <w:t xml:space="preserve">using </w:t>
      </w:r>
      <w:r w:rsidR="00996A62" w:rsidRPr="009F173A">
        <w:rPr>
          <w:bCs/>
        </w:rPr>
        <w:t>child specific equations</w:t>
      </w:r>
      <w:r w:rsidR="007B0F5E" w:rsidRPr="009F173A">
        <w:rPr>
          <w:bCs/>
        </w:rPr>
        <w:t xml:space="preserve"> </w:t>
      </w:r>
      <w:r w:rsidR="002151DF" w:rsidRPr="009F173A">
        <w:rPr>
          <w:bCs/>
        </w:rPr>
        <w:t>detailed in Table 1.</w:t>
      </w:r>
      <w:r w:rsidR="00752742" w:rsidRPr="009F173A">
        <w:rPr>
          <w:bCs/>
        </w:rPr>
        <w:t xml:space="preserve"> </w:t>
      </w:r>
      <w:r w:rsidR="00807459" w:rsidRPr="009F173A">
        <w:rPr>
          <w:bCs/>
        </w:rPr>
        <w:t>Body density was calculated by dividing the c</w:t>
      </w:r>
      <w:r w:rsidR="00752742" w:rsidRPr="009F173A">
        <w:rPr>
          <w:bCs/>
        </w:rPr>
        <w:t xml:space="preserve">orrected body volume </w:t>
      </w:r>
      <w:r w:rsidR="00807459" w:rsidRPr="009F173A">
        <w:rPr>
          <w:bCs/>
        </w:rPr>
        <w:t>by body mass and</w:t>
      </w:r>
      <w:r w:rsidR="00752742" w:rsidRPr="009F173A">
        <w:rPr>
          <w:bCs/>
        </w:rPr>
        <w:t xml:space="preserve"> converted to %</w:t>
      </w:r>
      <w:r w:rsidR="00807459" w:rsidRPr="009F173A">
        <w:rPr>
          <w:bCs/>
        </w:rPr>
        <w:t>FM</w:t>
      </w:r>
      <w:r w:rsidR="00752742" w:rsidRPr="009F173A">
        <w:rPr>
          <w:bCs/>
        </w:rPr>
        <w:t xml:space="preserve"> </w:t>
      </w:r>
      <w:r w:rsidR="00E96926" w:rsidRPr="009F173A">
        <w:rPr>
          <w:bCs/>
        </w:rPr>
        <w:t>using</w:t>
      </w:r>
      <w:r w:rsidR="00752742" w:rsidRPr="009F173A">
        <w:rPr>
          <w:bCs/>
        </w:rPr>
        <w:t xml:space="preserve"> gender</w:t>
      </w:r>
      <w:r w:rsidR="00807459" w:rsidRPr="009F173A">
        <w:rPr>
          <w:bCs/>
        </w:rPr>
        <w:t>-</w:t>
      </w:r>
      <w:r w:rsidR="00752742" w:rsidRPr="009F173A">
        <w:rPr>
          <w:bCs/>
        </w:rPr>
        <w:t xml:space="preserve"> and age specific equations published by Lohman</w:t>
      </w:r>
      <w:r w:rsidR="000E3590" w:rsidRPr="009F173A">
        <w:rPr>
          <w:bCs/>
          <w:vertAlign w:val="superscript"/>
        </w:rPr>
        <w:t>25</w:t>
      </w:r>
      <w:r w:rsidR="000E3C25" w:rsidRPr="009F173A">
        <w:rPr>
          <w:bCs/>
        </w:rPr>
        <w:t xml:space="preserve"> (Table 1)</w:t>
      </w:r>
      <w:r w:rsidR="005B7B6B" w:rsidRPr="009F173A">
        <w:rPr>
          <w:bCs/>
        </w:rPr>
        <w:t>.</w:t>
      </w:r>
    </w:p>
    <w:p w14:paraId="321A52B0" w14:textId="0900B026" w:rsidR="002B771B" w:rsidRPr="009F173A" w:rsidRDefault="002B771B" w:rsidP="0079797A">
      <w:pPr>
        <w:spacing w:after="0" w:line="276" w:lineRule="auto"/>
        <w:rPr>
          <w:bCs/>
        </w:rPr>
      </w:pPr>
    </w:p>
    <w:p w14:paraId="1E8CE9AF" w14:textId="69E5C79C" w:rsidR="00A50C46" w:rsidRPr="009F173A" w:rsidRDefault="00A50C46" w:rsidP="0079797A">
      <w:pPr>
        <w:spacing w:after="0" w:line="276" w:lineRule="auto"/>
        <w:rPr>
          <w:bCs/>
        </w:rPr>
      </w:pPr>
    </w:p>
    <w:p w14:paraId="2F2799D1" w14:textId="77E7E613" w:rsidR="000C0FCC" w:rsidRPr="009F173A" w:rsidRDefault="000C0FCC" w:rsidP="0079797A">
      <w:pPr>
        <w:spacing w:after="0" w:line="276" w:lineRule="auto"/>
        <w:rPr>
          <w:bCs/>
        </w:rPr>
      </w:pPr>
      <w:r w:rsidRPr="009F173A">
        <w:t>Table 1.</w:t>
      </w:r>
      <w:r w:rsidRPr="009F173A">
        <w:rPr>
          <w:bCs/>
        </w:rPr>
        <w:t xml:space="preserve"> </w:t>
      </w:r>
    </w:p>
    <w:p w14:paraId="1B25749E" w14:textId="06F7A4A6" w:rsidR="002B771B" w:rsidRPr="009F173A" w:rsidRDefault="002B771B" w:rsidP="0079797A">
      <w:pPr>
        <w:spacing w:after="0" w:line="276" w:lineRule="auto"/>
        <w:rPr>
          <w:bCs/>
        </w:rPr>
      </w:pPr>
    </w:p>
    <w:p w14:paraId="65742036" w14:textId="77777777" w:rsidR="002B771B" w:rsidRPr="009F173A" w:rsidRDefault="002B771B" w:rsidP="0079797A">
      <w:pPr>
        <w:spacing w:after="0" w:line="276" w:lineRule="auto"/>
        <w:rPr>
          <w:bCs/>
        </w:rPr>
      </w:pPr>
    </w:p>
    <w:p w14:paraId="27969341" w14:textId="730BAD76" w:rsidR="007A49B9" w:rsidRPr="009F173A" w:rsidRDefault="007A49B9" w:rsidP="0079797A">
      <w:pPr>
        <w:spacing w:after="0" w:line="276" w:lineRule="auto"/>
        <w:rPr>
          <w:bCs/>
          <w:i/>
          <w:iCs/>
        </w:rPr>
      </w:pPr>
      <w:r w:rsidRPr="009F173A">
        <w:rPr>
          <w:bCs/>
          <w:i/>
          <w:iCs/>
        </w:rPr>
        <w:t>BIA</w:t>
      </w:r>
    </w:p>
    <w:p w14:paraId="1B1D8E1B" w14:textId="69C124F5" w:rsidR="002B771B" w:rsidRPr="009F173A" w:rsidRDefault="002B771B" w:rsidP="0079797A">
      <w:pPr>
        <w:spacing w:after="0" w:line="276" w:lineRule="auto"/>
        <w:rPr>
          <w:bCs/>
        </w:rPr>
      </w:pPr>
      <w:r w:rsidRPr="009F173A">
        <w:rPr>
          <w:bCs/>
        </w:rPr>
        <w:t>A multi-frequency BIA device (Quantum II, RJL systems, Inc. Clinton Township, Michigan, USA) was used to measure body impedance in the participants.  The BIA device was calibrated before each testing session using known resistance and reactance.  The device recorded mean resistance figures of 38</w:t>
      </w:r>
      <w:r w:rsidR="00975251" w:rsidRPr="009F173A">
        <w:rPr>
          <w:bCs/>
        </w:rPr>
        <w:t>4</w:t>
      </w:r>
      <w:r w:rsidRPr="009F173A">
        <w:rPr>
          <w:bCs/>
        </w:rPr>
        <w:t xml:space="preserve"> ± 0.34Ω and reactance of 44.9 ± 1.22</w:t>
      </w:r>
      <w:r w:rsidR="00D4794B" w:rsidRPr="009F173A">
        <w:rPr>
          <w:bCs/>
        </w:rPr>
        <w:t>Ω</w:t>
      </w:r>
      <w:r w:rsidRPr="009F173A">
        <w:rPr>
          <w:bCs/>
        </w:rPr>
        <w:t xml:space="preserve"> which were with</w:t>
      </w:r>
      <w:r w:rsidR="008645CD" w:rsidRPr="009F173A">
        <w:rPr>
          <w:bCs/>
        </w:rPr>
        <w:t>in</w:t>
      </w:r>
      <w:r w:rsidRPr="009F173A">
        <w:rPr>
          <w:bCs/>
        </w:rPr>
        <w:t xml:space="preserve"> the manufacturer’s guidelines. </w:t>
      </w:r>
    </w:p>
    <w:p w14:paraId="3280D46C" w14:textId="77777777" w:rsidR="002B771B" w:rsidRPr="009F173A" w:rsidRDefault="002B771B" w:rsidP="0079797A">
      <w:pPr>
        <w:spacing w:after="0" w:line="276" w:lineRule="auto"/>
        <w:rPr>
          <w:bCs/>
        </w:rPr>
      </w:pPr>
    </w:p>
    <w:p w14:paraId="220A71BE" w14:textId="3907B79E" w:rsidR="002B771B" w:rsidRPr="009F173A" w:rsidRDefault="002B771B" w:rsidP="0079797A">
      <w:pPr>
        <w:spacing w:after="0" w:line="276" w:lineRule="auto"/>
        <w:rPr>
          <w:bCs/>
        </w:rPr>
      </w:pPr>
      <w:r w:rsidRPr="009F173A">
        <w:rPr>
          <w:bCs/>
        </w:rPr>
        <w:t xml:space="preserve">The participants were instructed to lay supine on a portable couch for five minutes prior to testing as per the manufacturer’s instructions to allow extracellular water to level out across the </w:t>
      </w:r>
      <w:r w:rsidR="001407BB" w:rsidRPr="009F173A">
        <w:rPr>
          <w:bCs/>
        </w:rPr>
        <w:t>body. Electrodes</w:t>
      </w:r>
      <w:r w:rsidRPr="009F173A">
        <w:rPr>
          <w:bCs/>
        </w:rPr>
        <w:t xml:space="preserve"> were placed on the ipsilateral bony prominences of the wrist and ankle (metacarpal and metatarsal lines) ensuring the electrodes were 5 cm apart.</w:t>
      </w:r>
    </w:p>
    <w:p w14:paraId="58084975" w14:textId="09783B6F" w:rsidR="002B771B" w:rsidRPr="009F173A" w:rsidRDefault="002B771B" w:rsidP="0079797A">
      <w:pPr>
        <w:spacing w:after="0" w:line="276" w:lineRule="auto"/>
        <w:rPr>
          <w:bCs/>
        </w:rPr>
      </w:pPr>
    </w:p>
    <w:p w14:paraId="084C6AB4" w14:textId="15678A56" w:rsidR="00BE5C02" w:rsidRPr="009F173A" w:rsidRDefault="002B771B" w:rsidP="0079797A">
      <w:pPr>
        <w:spacing w:line="276" w:lineRule="auto"/>
        <w:rPr>
          <w:bCs/>
        </w:rPr>
      </w:pPr>
      <w:r w:rsidRPr="009F173A">
        <w:t>Reactance (</w:t>
      </w:r>
      <w:r w:rsidRPr="009F173A">
        <w:rPr>
          <w:i/>
        </w:rPr>
        <w:t>X</w:t>
      </w:r>
      <w:r w:rsidRPr="009F173A">
        <w:t>) and resistance (</w:t>
      </w:r>
      <w:r w:rsidR="0026327A" w:rsidRPr="009F173A">
        <w:t>R</w:t>
      </w:r>
      <w:r w:rsidRPr="009F173A">
        <w:t>) were outputted for each participant for calculation of %FM based on gender</w:t>
      </w:r>
      <w:r w:rsidR="00BE7B60" w:rsidRPr="009F173A">
        <w:t>-</w:t>
      </w:r>
      <w:r w:rsidRPr="009F173A">
        <w:t xml:space="preserve"> and age</w:t>
      </w:r>
      <w:r w:rsidR="00BE7B60" w:rsidRPr="009F173A">
        <w:t>-</w:t>
      </w:r>
      <w:r w:rsidRPr="009F173A">
        <w:t>specific equations.  The equation of Horlick et al</w:t>
      </w:r>
      <w:r w:rsidR="00704F28" w:rsidRPr="009F173A">
        <w:rPr>
          <w:vertAlign w:val="superscript"/>
        </w:rPr>
        <w:t>3</w:t>
      </w:r>
      <w:r w:rsidR="000E3590" w:rsidRPr="009F173A">
        <w:rPr>
          <w:vertAlign w:val="superscript"/>
        </w:rPr>
        <w:t>3</w:t>
      </w:r>
      <w:r w:rsidRPr="009F173A">
        <w:t xml:space="preserve"> was chosen to estimate </w:t>
      </w:r>
      <w:r w:rsidR="00796853" w:rsidRPr="009F173A">
        <w:t>FFM</w:t>
      </w:r>
      <w:r w:rsidR="001E5CC6" w:rsidRPr="009F173A">
        <w:t xml:space="preserve"> (Table 1)</w:t>
      </w:r>
      <w:r w:rsidRPr="009F173A">
        <w:t xml:space="preserve"> based on regression analysis of impedance measures from the same</w:t>
      </w:r>
      <w:r w:rsidR="003F4E2C" w:rsidRPr="009F173A">
        <w:t xml:space="preserve"> manufacturer</w:t>
      </w:r>
      <w:r w:rsidRPr="009F173A">
        <w:t xml:space="preserve"> </w:t>
      </w:r>
      <w:r w:rsidR="003F4E2C" w:rsidRPr="009F173A">
        <w:t>(</w:t>
      </w:r>
      <w:r w:rsidRPr="009F173A">
        <w:t>RJL</w:t>
      </w:r>
      <w:r w:rsidR="003F4E2C" w:rsidRPr="009F173A">
        <w:t>)</w:t>
      </w:r>
      <w:r w:rsidRPr="009F173A">
        <w:t xml:space="preserve"> used in the current study</w:t>
      </w:r>
      <w:r w:rsidR="007F0308" w:rsidRPr="009F173A">
        <w:t xml:space="preserve"> and has shown to be valid in paediatric populations.</w:t>
      </w:r>
      <w:r w:rsidR="000E3590" w:rsidRPr="009F173A">
        <w:rPr>
          <w:vertAlign w:val="superscript"/>
        </w:rPr>
        <w:t>19</w:t>
      </w:r>
      <w:r w:rsidRPr="009F173A">
        <w:t xml:space="preserve"> </w:t>
      </w:r>
      <w:r w:rsidR="00B2492B" w:rsidRPr="009F173A">
        <w:t>FFM was then converted to %</w:t>
      </w:r>
      <w:r w:rsidR="00171695" w:rsidRPr="009F173A">
        <w:t>FM</w:t>
      </w:r>
      <w:r w:rsidR="00B2492B" w:rsidRPr="009F173A">
        <w:t xml:space="preserve"> (Table 1). </w:t>
      </w:r>
    </w:p>
    <w:p w14:paraId="2EFE3FA3" w14:textId="77777777" w:rsidR="002B771B" w:rsidRPr="009F173A" w:rsidRDefault="002B771B" w:rsidP="0079797A">
      <w:pPr>
        <w:spacing w:after="0" w:line="276" w:lineRule="auto"/>
        <w:rPr>
          <w:bCs/>
        </w:rPr>
      </w:pPr>
    </w:p>
    <w:p w14:paraId="569BE2F4" w14:textId="624FDAEC" w:rsidR="007A49B9" w:rsidRPr="009F173A" w:rsidRDefault="00A21504" w:rsidP="0079797A">
      <w:pPr>
        <w:spacing w:after="0" w:line="276" w:lineRule="auto"/>
        <w:rPr>
          <w:bCs/>
          <w:i/>
          <w:iCs/>
        </w:rPr>
      </w:pPr>
      <w:r w:rsidRPr="009F173A">
        <w:rPr>
          <w:bCs/>
          <w:i/>
          <w:iCs/>
        </w:rPr>
        <w:t>Statistical</w:t>
      </w:r>
      <w:r w:rsidR="007A49B9" w:rsidRPr="009F173A">
        <w:rPr>
          <w:bCs/>
          <w:i/>
          <w:iCs/>
        </w:rPr>
        <w:t xml:space="preserve"> analysis</w:t>
      </w:r>
    </w:p>
    <w:p w14:paraId="56B1FC31" w14:textId="77777777" w:rsidR="005F4839" w:rsidRPr="009F173A" w:rsidRDefault="005F4839" w:rsidP="0079797A">
      <w:pPr>
        <w:spacing w:after="0" w:line="276" w:lineRule="auto"/>
        <w:rPr>
          <w:bCs/>
          <w:i/>
        </w:rPr>
      </w:pPr>
    </w:p>
    <w:p w14:paraId="15B1B0E7" w14:textId="69074369" w:rsidR="001407BB" w:rsidRPr="009F173A" w:rsidRDefault="001407BB" w:rsidP="0079797A">
      <w:pPr>
        <w:spacing w:after="0" w:line="276" w:lineRule="auto"/>
        <w:rPr>
          <w:bCs/>
          <w:i/>
        </w:rPr>
      </w:pPr>
      <w:r w:rsidRPr="009F173A">
        <w:rPr>
          <w:bCs/>
          <w:i/>
        </w:rPr>
        <w:t>Concurrent validity</w:t>
      </w:r>
    </w:p>
    <w:p w14:paraId="690D2894" w14:textId="3D24110B" w:rsidR="001407BB" w:rsidRPr="009F173A" w:rsidRDefault="0085367D" w:rsidP="0079797A">
      <w:pPr>
        <w:spacing w:after="0" w:line="276" w:lineRule="auto"/>
        <w:rPr>
          <w:rFonts w:cstheme="minorHAnsi"/>
          <w:bCs/>
        </w:rPr>
      </w:pPr>
      <w:r w:rsidRPr="009F173A">
        <w:rPr>
          <w:rFonts w:cstheme="minorHAnsi"/>
          <w:bCs/>
        </w:rPr>
        <w:t>With o</w:t>
      </w:r>
      <w:r w:rsidR="00A25458" w:rsidRPr="009F173A">
        <w:rPr>
          <w:rFonts w:cstheme="minorHAnsi"/>
          <w:bCs/>
        </w:rPr>
        <w:t>bes</w:t>
      </w:r>
      <w:r w:rsidRPr="009F173A">
        <w:rPr>
          <w:rFonts w:cstheme="minorHAnsi"/>
          <w:bCs/>
        </w:rPr>
        <w:t>ity</w:t>
      </w:r>
      <w:r w:rsidR="00A25458" w:rsidRPr="009F173A">
        <w:rPr>
          <w:rFonts w:cstheme="minorHAnsi"/>
          <w:bCs/>
        </w:rPr>
        <w:t xml:space="preserve"> and </w:t>
      </w:r>
      <w:r w:rsidRPr="009F173A">
        <w:rPr>
          <w:rFonts w:cstheme="minorHAnsi"/>
          <w:bCs/>
        </w:rPr>
        <w:t>without obesity</w:t>
      </w:r>
      <w:r w:rsidR="00A25458" w:rsidRPr="009F173A">
        <w:rPr>
          <w:rFonts w:cstheme="minorHAnsi"/>
          <w:bCs/>
        </w:rPr>
        <w:t xml:space="preserve"> group </w:t>
      </w:r>
      <w:r w:rsidR="001407BB" w:rsidRPr="009F173A">
        <w:rPr>
          <w:rFonts w:cstheme="minorHAnsi"/>
          <w:bCs/>
        </w:rPr>
        <w:t xml:space="preserve">differences </w:t>
      </w:r>
      <w:r w:rsidR="00A25458" w:rsidRPr="009F173A">
        <w:rPr>
          <w:rFonts w:cstheme="minorHAnsi"/>
          <w:bCs/>
        </w:rPr>
        <w:t xml:space="preserve">for </w:t>
      </w:r>
      <w:r w:rsidR="00BD2D98" w:rsidRPr="009F173A">
        <w:rPr>
          <w:rFonts w:cstheme="minorHAnsi"/>
          <w:bCs/>
        </w:rPr>
        <w:t xml:space="preserve">age, height, </w:t>
      </w:r>
      <w:r w:rsidR="00BE7B60" w:rsidRPr="009F173A">
        <w:rPr>
          <w:rFonts w:cstheme="minorHAnsi"/>
          <w:bCs/>
        </w:rPr>
        <w:t xml:space="preserve">body </w:t>
      </w:r>
      <w:r w:rsidR="00BD2D98" w:rsidRPr="009F173A">
        <w:rPr>
          <w:rFonts w:cstheme="minorHAnsi"/>
          <w:bCs/>
        </w:rPr>
        <w:t>mass,</w:t>
      </w:r>
      <w:r w:rsidR="00BE7B60" w:rsidRPr="009F173A">
        <w:rPr>
          <w:rFonts w:cstheme="minorHAnsi"/>
          <w:bCs/>
        </w:rPr>
        <w:t xml:space="preserve"> raw body volume (m</w:t>
      </w:r>
      <w:r w:rsidR="00BE7B60" w:rsidRPr="009F173A">
        <w:rPr>
          <w:rFonts w:cstheme="minorHAnsi"/>
          <w:bCs/>
          <w:vertAlign w:val="superscript"/>
        </w:rPr>
        <w:t>3</w:t>
      </w:r>
      <w:r w:rsidR="00BE7B60" w:rsidRPr="009F173A">
        <w:rPr>
          <w:rFonts w:cstheme="minorHAnsi"/>
          <w:bCs/>
        </w:rPr>
        <w:t>)</w:t>
      </w:r>
      <w:r w:rsidR="00BD2D98" w:rsidRPr="009F173A">
        <w:rPr>
          <w:rFonts w:cstheme="minorHAnsi"/>
          <w:bCs/>
        </w:rPr>
        <w:t xml:space="preserve">, </w:t>
      </w:r>
      <w:r w:rsidR="00BE7B60" w:rsidRPr="009F173A">
        <w:rPr>
          <w:rFonts w:cstheme="minorHAnsi"/>
          <w:bCs/>
        </w:rPr>
        <w:t>resistance (</w:t>
      </w:r>
      <w:r w:rsidR="00A25458" w:rsidRPr="009F173A">
        <w:rPr>
          <w:bCs/>
        </w:rPr>
        <w:t>Ω</w:t>
      </w:r>
      <w:r w:rsidR="00BE7B60" w:rsidRPr="009F173A">
        <w:rPr>
          <w:bCs/>
        </w:rPr>
        <w:t>)</w:t>
      </w:r>
      <w:r w:rsidR="00BD2D98" w:rsidRPr="009F173A">
        <w:rPr>
          <w:rFonts w:cstheme="minorHAnsi"/>
          <w:bCs/>
        </w:rPr>
        <w:t>,</w:t>
      </w:r>
      <w:r w:rsidR="00BE7B60" w:rsidRPr="009F173A">
        <w:rPr>
          <w:rFonts w:cstheme="minorHAnsi"/>
          <w:bCs/>
        </w:rPr>
        <w:t xml:space="preserve"> </w:t>
      </w:r>
      <w:r w:rsidR="00BD2D98" w:rsidRPr="009F173A">
        <w:rPr>
          <w:rFonts w:cstheme="minorHAnsi"/>
          <w:bCs/>
        </w:rPr>
        <w:t>%</w:t>
      </w:r>
      <w:r w:rsidR="00EA060E" w:rsidRPr="009F173A">
        <w:rPr>
          <w:rFonts w:cstheme="minorHAnsi"/>
          <w:bCs/>
        </w:rPr>
        <w:t>FM</w:t>
      </w:r>
      <w:r w:rsidR="001407BB" w:rsidRPr="009F173A">
        <w:rPr>
          <w:rFonts w:cstheme="minorHAnsi"/>
          <w:bCs/>
          <w:vertAlign w:val="subscript"/>
        </w:rPr>
        <w:t>ADP</w:t>
      </w:r>
      <w:r w:rsidR="00BD2D98" w:rsidRPr="009F173A">
        <w:rPr>
          <w:rFonts w:cstheme="minorHAnsi"/>
          <w:bCs/>
        </w:rPr>
        <w:t xml:space="preserve">, </w:t>
      </w:r>
      <w:r w:rsidR="001407BB" w:rsidRPr="009F173A">
        <w:rPr>
          <w:rFonts w:cstheme="minorHAnsi"/>
          <w:bCs/>
        </w:rPr>
        <w:t xml:space="preserve">and </w:t>
      </w:r>
      <w:r w:rsidR="00BD2D98" w:rsidRPr="009F173A">
        <w:rPr>
          <w:rFonts w:cstheme="minorHAnsi"/>
          <w:bCs/>
        </w:rPr>
        <w:t>%</w:t>
      </w:r>
      <w:r w:rsidR="00EA060E" w:rsidRPr="009F173A">
        <w:rPr>
          <w:rFonts w:cstheme="minorHAnsi"/>
          <w:bCs/>
        </w:rPr>
        <w:t>FM</w:t>
      </w:r>
      <w:r w:rsidR="001407BB" w:rsidRPr="009F173A">
        <w:rPr>
          <w:rFonts w:cstheme="minorHAnsi"/>
          <w:bCs/>
          <w:vertAlign w:val="subscript"/>
        </w:rPr>
        <w:t>BIA</w:t>
      </w:r>
      <w:r w:rsidR="001407BB" w:rsidRPr="009F173A">
        <w:rPr>
          <w:rFonts w:cstheme="minorHAnsi"/>
          <w:bCs/>
        </w:rPr>
        <w:t xml:space="preserve"> were assessed by </w:t>
      </w:r>
      <w:r w:rsidR="00BD2D98" w:rsidRPr="009F173A">
        <w:rPr>
          <w:rFonts w:cstheme="minorHAnsi"/>
          <w:bCs/>
        </w:rPr>
        <w:t>independent t tests</w:t>
      </w:r>
      <w:r w:rsidR="001407BB" w:rsidRPr="009F173A">
        <w:rPr>
          <w:rFonts w:cstheme="minorHAnsi"/>
          <w:bCs/>
        </w:rPr>
        <w:t xml:space="preserve">. </w:t>
      </w:r>
      <w:r w:rsidR="00A47135" w:rsidRPr="009F173A">
        <w:rPr>
          <w:rFonts w:cstheme="minorHAnsi"/>
          <w:bCs/>
        </w:rPr>
        <w:t>Comparisons between %</w:t>
      </w:r>
      <w:r w:rsidR="00EA060E" w:rsidRPr="009F173A">
        <w:rPr>
          <w:rFonts w:cstheme="minorHAnsi"/>
          <w:bCs/>
        </w:rPr>
        <w:t>FM</w:t>
      </w:r>
      <w:r w:rsidR="00A47135" w:rsidRPr="009F173A">
        <w:rPr>
          <w:rFonts w:cstheme="minorHAnsi"/>
          <w:bCs/>
          <w:vertAlign w:val="subscript"/>
        </w:rPr>
        <w:t>ADP</w:t>
      </w:r>
      <w:r w:rsidR="00A47135" w:rsidRPr="009F173A">
        <w:rPr>
          <w:rFonts w:cstheme="minorHAnsi"/>
          <w:bCs/>
        </w:rPr>
        <w:t>, and %</w:t>
      </w:r>
      <w:r w:rsidR="00EA060E" w:rsidRPr="009F173A">
        <w:rPr>
          <w:rFonts w:cstheme="minorHAnsi"/>
          <w:bCs/>
        </w:rPr>
        <w:t>FM</w:t>
      </w:r>
      <w:r w:rsidR="00A47135" w:rsidRPr="009F173A">
        <w:rPr>
          <w:rFonts w:cstheme="minorHAnsi"/>
          <w:bCs/>
          <w:vertAlign w:val="subscript"/>
        </w:rPr>
        <w:t>BIA</w:t>
      </w:r>
      <w:r w:rsidR="00A47135" w:rsidRPr="009F173A">
        <w:rPr>
          <w:rFonts w:cstheme="minorHAnsi"/>
          <w:bCs/>
        </w:rPr>
        <w:t xml:space="preserve"> were made for the full sample, and within the </w:t>
      </w:r>
      <w:r w:rsidR="00A32E8F" w:rsidRPr="009F173A">
        <w:rPr>
          <w:rFonts w:cstheme="minorHAnsi"/>
          <w:bCs/>
        </w:rPr>
        <w:t xml:space="preserve">with </w:t>
      </w:r>
      <w:r w:rsidR="00A47135" w:rsidRPr="009F173A">
        <w:rPr>
          <w:rFonts w:cstheme="minorHAnsi"/>
          <w:bCs/>
        </w:rPr>
        <w:t>obes</w:t>
      </w:r>
      <w:r w:rsidR="00A32E8F" w:rsidRPr="009F173A">
        <w:rPr>
          <w:rFonts w:cstheme="minorHAnsi"/>
          <w:bCs/>
        </w:rPr>
        <w:t>ity</w:t>
      </w:r>
      <w:r w:rsidR="00A47135" w:rsidRPr="009F173A">
        <w:rPr>
          <w:rFonts w:cstheme="minorHAnsi"/>
          <w:bCs/>
        </w:rPr>
        <w:t xml:space="preserve"> and </w:t>
      </w:r>
      <w:r w:rsidR="00A32E8F" w:rsidRPr="009F173A">
        <w:rPr>
          <w:rFonts w:cstheme="minorHAnsi"/>
          <w:bCs/>
        </w:rPr>
        <w:t>without obesity</w:t>
      </w:r>
      <w:r w:rsidR="00A47135" w:rsidRPr="009F173A">
        <w:rPr>
          <w:rFonts w:cstheme="minorHAnsi"/>
          <w:bCs/>
        </w:rPr>
        <w:t xml:space="preserve"> groups. </w:t>
      </w:r>
      <w:r w:rsidR="00A25458" w:rsidRPr="009F173A">
        <w:rPr>
          <w:rFonts w:cstheme="minorHAnsi"/>
          <w:bCs/>
        </w:rPr>
        <w:t xml:space="preserve">Differences </w:t>
      </w:r>
      <w:r w:rsidR="00BB5F6F" w:rsidRPr="009F173A">
        <w:rPr>
          <w:rFonts w:cstheme="minorHAnsi"/>
          <w:bCs/>
        </w:rPr>
        <w:t>between %FM</w:t>
      </w:r>
      <w:r w:rsidR="00BB5F6F" w:rsidRPr="009F173A">
        <w:rPr>
          <w:rFonts w:cstheme="minorHAnsi"/>
          <w:bCs/>
          <w:vertAlign w:val="subscript"/>
        </w:rPr>
        <w:t>ADP</w:t>
      </w:r>
      <w:r w:rsidR="00BB5F6F" w:rsidRPr="009F173A">
        <w:rPr>
          <w:rFonts w:cstheme="minorHAnsi"/>
          <w:bCs/>
        </w:rPr>
        <w:t xml:space="preserve"> and %FM</w:t>
      </w:r>
      <w:r w:rsidR="00BB5F6F" w:rsidRPr="009F173A">
        <w:rPr>
          <w:rFonts w:cstheme="minorHAnsi"/>
          <w:bCs/>
          <w:vertAlign w:val="subscript"/>
        </w:rPr>
        <w:t>BIA</w:t>
      </w:r>
      <w:r w:rsidR="00BB5F6F" w:rsidRPr="009F173A">
        <w:rPr>
          <w:rFonts w:cstheme="minorHAnsi"/>
          <w:bCs/>
        </w:rPr>
        <w:t xml:space="preserve"> </w:t>
      </w:r>
      <w:r w:rsidR="00A25458" w:rsidRPr="009F173A">
        <w:rPr>
          <w:rFonts w:cstheme="minorHAnsi"/>
          <w:bCs/>
        </w:rPr>
        <w:t xml:space="preserve">were assessed by </w:t>
      </w:r>
      <w:r w:rsidR="007B5A79" w:rsidRPr="009F173A">
        <w:rPr>
          <w:rFonts w:cstheme="minorHAnsi"/>
          <w:bCs/>
        </w:rPr>
        <w:t>paired samples t tests</w:t>
      </w:r>
      <w:r w:rsidR="00A25458" w:rsidRPr="009F173A">
        <w:rPr>
          <w:rFonts w:cstheme="minorHAnsi"/>
          <w:bCs/>
        </w:rPr>
        <w:t xml:space="preserve">. </w:t>
      </w:r>
      <w:r w:rsidR="00B2298F" w:rsidRPr="009F173A">
        <w:rPr>
          <w:rFonts w:cstheme="minorHAnsi"/>
          <w:bCs/>
        </w:rPr>
        <w:t>Effect sizes (ES) were calculated based on Cohen’s d and defined as &lt;0.2 weak, 0.2 to 0.49 small, 0.5 to 0.79 medium, and &gt;0.79 large.</w:t>
      </w:r>
      <w:r w:rsidR="00B2298F" w:rsidRPr="009F173A">
        <w:rPr>
          <w:rFonts w:cstheme="minorHAnsi"/>
          <w:vertAlign w:val="superscript"/>
        </w:rPr>
        <w:t>3</w:t>
      </w:r>
      <w:r w:rsidR="000E3590" w:rsidRPr="009F173A">
        <w:rPr>
          <w:rFonts w:cstheme="minorHAnsi"/>
          <w:vertAlign w:val="superscript"/>
        </w:rPr>
        <w:t>4</w:t>
      </w:r>
      <w:r w:rsidR="00B2298F" w:rsidRPr="009F173A">
        <w:rPr>
          <w:rFonts w:cstheme="minorHAnsi"/>
        </w:rPr>
        <w:t xml:space="preserve"> </w:t>
      </w:r>
      <w:r w:rsidR="001407BB" w:rsidRPr="009F173A">
        <w:rPr>
          <w:rFonts w:cstheme="minorHAnsi"/>
          <w:bCs/>
        </w:rPr>
        <w:t>Pearson correlation coefficients w</w:t>
      </w:r>
      <w:r w:rsidR="001C5722" w:rsidRPr="009F173A">
        <w:rPr>
          <w:rFonts w:cstheme="minorHAnsi"/>
          <w:bCs/>
        </w:rPr>
        <w:t>ere</w:t>
      </w:r>
      <w:r w:rsidR="001407BB" w:rsidRPr="009F173A">
        <w:rPr>
          <w:rFonts w:cstheme="minorHAnsi"/>
          <w:bCs/>
        </w:rPr>
        <w:t xml:space="preserve"> performed to measure the strength of association between </w:t>
      </w:r>
      <w:r w:rsidR="001407BB" w:rsidRPr="009F173A">
        <w:rPr>
          <w:rFonts w:cstheme="minorHAnsi"/>
        </w:rPr>
        <w:t>%</w:t>
      </w:r>
      <w:r w:rsidR="00EA060E" w:rsidRPr="009F173A">
        <w:rPr>
          <w:rFonts w:cstheme="minorHAnsi"/>
        </w:rPr>
        <w:t>FM</w:t>
      </w:r>
      <w:r w:rsidR="001407BB" w:rsidRPr="009F173A">
        <w:rPr>
          <w:rFonts w:cstheme="minorHAnsi"/>
          <w:vertAlign w:val="subscript"/>
        </w:rPr>
        <w:t>ADP</w:t>
      </w:r>
      <w:r w:rsidR="001407BB" w:rsidRPr="009F173A">
        <w:rPr>
          <w:rFonts w:cstheme="minorHAnsi"/>
        </w:rPr>
        <w:t xml:space="preserve"> and %</w:t>
      </w:r>
      <w:r w:rsidR="00EA060E" w:rsidRPr="009F173A">
        <w:rPr>
          <w:rFonts w:cstheme="minorHAnsi"/>
        </w:rPr>
        <w:t>FM</w:t>
      </w:r>
      <w:r w:rsidR="001407BB" w:rsidRPr="009F173A">
        <w:rPr>
          <w:rFonts w:cstheme="minorHAnsi"/>
          <w:vertAlign w:val="subscript"/>
        </w:rPr>
        <w:t>BIA</w:t>
      </w:r>
      <w:r w:rsidR="00D72FC4" w:rsidRPr="009F173A">
        <w:rPr>
          <w:rFonts w:cstheme="minorHAnsi"/>
        </w:rPr>
        <w:t>, with 95% confidence intervals (95%CI)</w:t>
      </w:r>
      <w:r w:rsidR="001407BB" w:rsidRPr="009F173A">
        <w:rPr>
          <w:rFonts w:cstheme="minorHAnsi"/>
          <w:bCs/>
        </w:rPr>
        <w:t xml:space="preserve">. </w:t>
      </w:r>
      <w:r w:rsidR="00B2298F" w:rsidRPr="009F173A">
        <w:rPr>
          <w:rFonts w:cstheme="minorHAnsi"/>
          <w:bCs/>
        </w:rPr>
        <w:t>C</w:t>
      </w:r>
      <w:r w:rsidR="001407BB" w:rsidRPr="009F173A">
        <w:rPr>
          <w:rFonts w:cstheme="minorHAnsi"/>
        </w:rPr>
        <w:t>orrelation coefficients &lt;0.29 were defined as weak, between 0.3 and 0.49 moderate, and &gt;0.5 strong</w:t>
      </w:r>
      <w:bookmarkStart w:id="19" w:name="_Hlk103338385"/>
      <w:r w:rsidR="001407BB" w:rsidRPr="009F173A">
        <w:rPr>
          <w:rFonts w:cstheme="minorHAnsi"/>
        </w:rPr>
        <w:t>.</w:t>
      </w:r>
      <w:r w:rsidR="00704F28" w:rsidRPr="009F173A">
        <w:rPr>
          <w:rFonts w:cstheme="minorHAnsi"/>
          <w:vertAlign w:val="superscript"/>
        </w:rPr>
        <w:t>3</w:t>
      </w:r>
      <w:r w:rsidR="000E3590" w:rsidRPr="009F173A">
        <w:rPr>
          <w:rFonts w:cstheme="minorHAnsi"/>
          <w:vertAlign w:val="superscript"/>
        </w:rPr>
        <w:t>4</w:t>
      </w:r>
      <w:r w:rsidR="001407BB" w:rsidRPr="009F173A">
        <w:rPr>
          <w:rFonts w:cstheme="minorHAnsi"/>
        </w:rPr>
        <w:t xml:space="preserve"> </w:t>
      </w:r>
      <w:bookmarkEnd w:id="19"/>
      <w:r w:rsidR="001407BB" w:rsidRPr="009F173A">
        <w:rPr>
          <w:rFonts w:cstheme="minorHAnsi"/>
          <w:bCs/>
        </w:rPr>
        <w:t xml:space="preserve">Agreement </w:t>
      </w:r>
      <w:r w:rsidR="00BB5F6F" w:rsidRPr="009F173A">
        <w:rPr>
          <w:rFonts w:cstheme="minorHAnsi"/>
          <w:bCs/>
        </w:rPr>
        <w:t>between %FM</w:t>
      </w:r>
      <w:r w:rsidR="00BB5F6F" w:rsidRPr="009F173A">
        <w:rPr>
          <w:rFonts w:cstheme="minorHAnsi"/>
          <w:bCs/>
          <w:vertAlign w:val="subscript"/>
        </w:rPr>
        <w:t>ADP</w:t>
      </w:r>
      <w:r w:rsidR="00BB5F6F" w:rsidRPr="009F173A">
        <w:rPr>
          <w:rFonts w:cstheme="minorHAnsi"/>
          <w:bCs/>
        </w:rPr>
        <w:t xml:space="preserve"> and %FM</w:t>
      </w:r>
      <w:r w:rsidR="00BB5F6F" w:rsidRPr="009F173A">
        <w:rPr>
          <w:rFonts w:cstheme="minorHAnsi"/>
          <w:bCs/>
          <w:vertAlign w:val="subscript"/>
        </w:rPr>
        <w:t>BIA</w:t>
      </w:r>
      <w:r w:rsidR="00BB5F6F" w:rsidRPr="009F173A">
        <w:rPr>
          <w:rFonts w:cstheme="minorHAnsi"/>
          <w:bCs/>
        </w:rPr>
        <w:t xml:space="preserve"> </w:t>
      </w:r>
      <w:r w:rsidR="001407BB" w:rsidRPr="009F173A">
        <w:rPr>
          <w:rFonts w:cstheme="minorHAnsi"/>
          <w:bCs/>
        </w:rPr>
        <w:t>w</w:t>
      </w:r>
      <w:r w:rsidR="007A691F" w:rsidRPr="009F173A">
        <w:rPr>
          <w:rFonts w:cstheme="minorHAnsi"/>
          <w:bCs/>
        </w:rPr>
        <w:t>ere</w:t>
      </w:r>
      <w:r w:rsidR="001407BB" w:rsidRPr="009F173A">
        <w:rPr>
          <w:rFonts w:cstheme="minorHAnsi"/>
          <w:bCs/>
        </w:rPr>
        <w:t xml:space="preserve"> analysed using Bland</w:t>
      </w:r>
      <w:r w:rsidR="00392697" w:rsidRPr="009F173A">
        <w:rPr>
          <w:rFonts w:cstheme="minorHAnsi"/>
          <w:bCs/>
        </w:rPr>
        <w:t>-</w:t>
      </w:r>
      <w:r w:rsidR="001407BB" w:rsidRPr="009F173A">
        <w:rPr>
          <w:rFonts w:cstheme="minorHAnsi"/>
          <w:bCs/>
        </w:rPr>
        <w:t xml:space="preserve">Altman </w:t>
      </w:r>
      <w:r w:rsidR="007A691F" w:rsidRPr="009F173A">
        <w:rPr>
          <w:rFonts w:cstheme="minorHAnsi"/>
          <w:bCs/>
        </w:rPr>
        <w:t>analysis</w:t>
      </w:r>
      <w:r w:rsidR="001407BB" w:rsidRPr="009F173A">
        <w:rPr>
          <w:rFonts w:cstheme="minorHAnsi"/>
          <w:bCs/>
        </w:rPr>
        <w:t>.</w:t>
      </w:r>
      <w:r w:rsidR="00704F28" w:rsidRPr="009F173A">
        <w:rPr>
          <w:rFonts w:cstheme="minorHAnsi"/>
          <w:bCs/>
          <w:vertAlign w:val="superscript"/>
        </w:rPr>
        <w:t>3</w:t>
      </w:r>
      <w:r w:rsidR="00457FA4" w:rsidRPr="009F173A">
        <w:rPr>
          <w:rFonts w:cstheme="minorHAnsi"/>
          <w:bCs/>
          <w:vertAlign w:val="superscript"/>
        </w:rPr>
        <w:t>5</w:t>
      </w:r>
      <w:r w:rsidR="001407BB" w:rsidRPr="009F173A">
        <w:rPr>
          <w:rFonts w:cstheme="minorHAnsi"/>
          <w:bCs/>
        </w:rPr>
        <w:t xml:space="preserve"> </w:t>
      </w:r>
      <w:r w:rsidR="007A691F" w:rsidRPr="009F173A">
        <w:rPr>
          <w:rFonts w:cstheme="minorHAnsi"/>
          <w:bCs/>
        </w:rPr>
        <w:t xml:space="preserve">This </w:t>
      </w:r>
      <w:r w:rsidR="001407BB" w:rsidRPr="009F173A">
        <w:rPr>
          <w:rFonts w:cstheme="minorHAnsi"/>
          <w:bCs/>
        </w:rPr>
        <w:t>involve</w:t>
      </w:r>
      <w:r w:rsidR="007A691F" w:rsidRPr="009F173A">
        <w:rPr>
          <w:rFonts w:cstheme="minorHAnsi"/>
          <w:bCs/>
        </w:rPr>
        <w:t>d</w:t>
      </w:r>
      <w:r w:rsidR="001407BB" w:rsidRPr="009F173A">
        <w:rPr>
          <w:rFonts w:cstheme="minorHAnsi"/>
          <w:bCs/>
        </w:rPr>
        <w:t xml:space="preserve"> the calculation of the mean difference between two methods together with LoA, based on 95% confidence intervals (95%CI), calculated from the SD of the mean difference for each participant (multiplied by 1.96). </w:t>
      </w:r>
      <w:r w:rsidR="00CC70E5" w:rsidRPr="009F173A">
        <w:rPr>
          <w:rFonts w:cstheme="minorHAnsi"/>
          <w:bCs/>
        </w:rPr>
        <w:t xml:space="preserve">Proportional bias, error affected by the magnitude of measurement, were determined by Pearson’s correlation coefficient </w:t>
      </w:r>
      <w:r w:rsidR="006A7D83" w:rsidRPr="009F173A">
        <w:rPr>
          <w:rFonts w:cstheme="minorHAnsi"/>
          <w:bCs/>
        </w:rPr>
        <w:t>r</w:t>
      </w:r>
      <w:r w:rsidR="00CC70E5" w:rsidRPr="009F173A">
        <w:rPr>
          <w:rFonts w:cstheme="minorHAnsi"/>
          <w:bCs/>
        </w:rPr>
        <w:t>&gt;0.5</w:t>
      </w:r>
      <w:r w:rsidR="006A7D83" w:rsidRPr="009F173A">
        <w:rPr>
          <w:rFonts w:cstheme="minorHAnsi"/>
          <w:bCs/>
        </w:rPr>
        <w:t>.</w:t>
      </w:r>
      <w:r w:rsidR="00457FA4" w:rsidRPr="009F173A">
        <w:rPr>
          <w:rFonts w:cstheme="minorHAnsi"/>
          <w:bCs/>
          <w:vertAlign w:val="superscript"/>
        </w:rPr>
        <w:t>36</w:t>
      </w:r>
      <w:r w:rsidR="001407BB" w:rsidRPr="009F173A">
        <w:rPr>
          <w:rFonts w:cstheme="minorHAnsi"/>
          <w:bCs/>
        </w:rPr>
        <w:t xml:space="preserve"> Predicting </w:t>
      </w:r>
      <w:r w:rsidR="00BB5F6F" w:rsidRPr="009F173A">
        <w:rPr>
          <w:rFonts w:cstheme="minorHAnsi"/>
          <w:bCs/>
        </w:rPr>
        <w:t>%FM</w:t>
      </w:r>
      <w:r w:rsidR="00BB5F6F" w:rsidRPr="009F173A">
        <w:rPr>
          <w:rFonts w:cstheme="minorHAnsi"/>
          <w:bCs/>
          <w:vertAlign w:val="subscript"/>
        </w:rPr>
        <w:t>ADP</w:t>
      </w:r>
      <w:r w:rsidR="00BB5F6F" w:rsidRPr="009F173A">
        <w:rPr>
          <w:rFonts w:cstheme="minorHAnsi"/>
          <w:bCs/>
        </w:rPr>
        <w:t xml:space="preserve"> </w:t>
      </w:r>
      <w:r w:rsidR="001407BB" w:rsidRPr="009F173A">
        <w:rPr>
          <w:rFonts w:cstheme="minorHAnsi"/>
          <w:bCs/>
        </w:rPr>
        <w:t xml:space="preserve">is considered the </w:t>
      </w:r>
      <w:r w:rsidR="00B329B2" w:rsidRPr="009F173A">
        <w:rPr>
          <w:rFonts w:cstheme="minorHAnsi"/>
          <w:bCs/>
        </w:rPr>
        <w:t>‘standard’</w:t>
      </w:r>
      <w:r w:rsidR="001407BB" w:rsidRPr="009F173A">
        <w:rPr>
          <w:rFonts w:cstheme="minorHAnsi"/>
          <w:bCs/>
        </w:rPr>
        <w:t xml:space="preserve"> method for this study, to which </w:t>
      </w:r>
      <w:r w:rsidR="00BB5F6F" w:rsidRPr="009F173A">
        <w:rPr>
          <w:rFonts w:cstheme="minorHAnsi"/>
          <w:bCs/>
        </w:rPr>
        <w:t>%FM</w:t>
      </w:r>
      <w:r w:rsidR="00BB5F6F" w:rsidRPr="009F173A">
        <w:rPr>
          <w:rFonts w:cstheme="minorHAnsi"/>
          <w:bCs/>
          <w:vertAlign w:val="subscript"/>
        </w:rPr>
        <w:t>BIA</w:t>
      </w:r>
      <w:r w:rsidR="001407BB" w:rsidRPr="009F173A">
        <w:rPr>
          <w:rFonts w:cstheme="minorHAnsi"/>
          <w:bCs/>
        </w:rPr>
        <w:t xml:space="preserve"> was compared.</w:t>
      </w:r>
      <w:r w:rsidR="00FE2EE9" w:rsidRPr="009F173A">
        <w:rPr>
          <w:rFonts w:cstheme="minorHAnsi"/>
          <w:bCs/>
        </w:rPr>
        <w:t xml:space="preserve">  </w:t>
      </w:r>
      <w:bookmarkStart w:id="20" w:name="_Hlk77850058"/>
      <w:r w:rsidR="00FE2EE9" w:rsidRPr="009F173A">
        <w:t xml:space="preserve">To address clinical acceptability, a minimal acceptable standard for estimating </w:t>
      </w:r>
      <w:bookmarkStart w:id="21" w:name="_Hlk77849884"/>
      <w:r w:rsidR="00FE2EE9" w:rsidRPr="009F173A">
        <w:t>%</w:t>
      </w:r>
      <w:r w:rsidR="00EA060E" w:rsidRPr="009F173A">
        <w:t>FM</w:t>
      </w:r>
      <w:r w:rsidR="00FE2EE9" w:rsidRPr="009F173A">
        <w:t xml:space="preserve"> of ±</w:t>
      </w:r>
      <w:r w:rsidR="00975251" w:rsidRPr="009F173A">
        <w:t xml:space="preserve"> </w:t>
      </w:r>
      <w:r w:rsidR="00FE2EE9" w:rsidRPr="009F173A">
        <w:t xml:space="preserve">3.5% </w:t>
      </w:r>
      <w:r w:rsidR="00416920" w:rsidRPr="009F173A">
        <w:t xml:space="preserve">(group-level difference) </w:t>
      </w:r>
      <w:r w:rsidR="00FE2EE9" w:rsidRPr="009F173A">
        <w:t>from the reference measure</w:t>
      </w:r>
      <w:bookmarkStart w:id="22" w:name="_Hlk103338413"/>
      <w:r w:rsidR="00FE2EE9" w:rsidRPr="009F173A">
        <w:t xml:space="preserve"> </w:t>
      </w:r>
      <w:bookmarkEnd w:id="21"/>
      <w:bookmarkEnd w:id="22"/>
      <w:r w:rsidR="00FE2EE9" w:rsidRPr="009F173A">
        <w:t>was employed</w:t>
      </w:r>
      <w:r w:rsidR="002C5AE4" w:rsidRPr="009F173A">
        <w:t>.</w:t>
      </w:r>
      <w:r w:rsidR="00704F28" w:rsidRPr="009F173A">
        <w:rPr>
          <w:vertAlign w:val="superscript"/>
        </w:rPr>
        <w:t>3</w:t>
      </w:r>
      <w:r w:rsidR="00457FA4" w:rsidRPr="009F173A">
        <w:rPr>
          <w:vertAlign w:val="superscript"/>
        </w:rPr>
        <w:t>7</w:t>
      </w:r>
      <w:r w:rsidR="00834E9B" w:rsidRPr="009F173A">
        <w:t xml:space="preserve"> The sample size of 71 was calculated based on the minimal acceptable standard,</w:t>
      </w:r>
      <w:r w:rsidR="00834E9B" w:rsidRPr="009F173A">
        <w:rPr>
          <w:vertAlign w:val="superscript"/>
        </w:rPr>
        <w:t>3</w:t>
      </w:r>
      <w:r w:rsidR="00457FA4" w:rsidRPr="009F173A">
        <w:rPr>
          <w:vertAlign w:val="superscript"/>
        </w:rPr>
        <w:t>7</w:t>
      </w:r>
      <w:r w:rsidR="00834E9B" w:rsidRPr="009F173A">
        <w:t xml:space="preserve"> standard error of measurement for BIA,</w:t>
      </w:r>
      <w:r w:rsidR="00834E9B" w:rsidRPr="009F173A">
        <w:rPr>
          <w:vertAlign w:val="superscript"/>
        </w:rPr>
        <w:t>12</w:t>
      </w:r>
      <w:r w:rsidR="00834E9B" w:rsidRPr="009F173A">
        <w:t xml:space="preserve"> with 80% power and two-sided significance of 0.05.</w:t>
      </w:r>
    </w:p>
    <w:bookmarkEnd w:id="20"/>
    <w:p w14:paraId="0C044BFE" w14:textId="77777777" w:rsidR="001407BB" w:rsidRPr="009F173A" w:rsidRDefault="001407BB" w:rsidP="0079797A">
      <w:pPr>
        <w:spacing w:after="0" w:line="276" w:lineRule="auto"/>
        <w:rPr>
          <w:bCs/>
        </w:rPr>
      </w:pPr>
    </w:p>
    <w:p w14:paraId="17A3269E" w14:textId="03DF63B6" w:rsidR="001407BB" w:rsidRPr="009F173A" w:rsidRDefault="001407BB" w:rsidP="0079797A">
      <w:pPr>
        <w:spacing w:after="0" w:line="276" w:lineRule="auto"/>
        <w:rPr>
          <w:bCs/>
          <w:i/>
        </w:rPr>
      </w:pPr>
      <w:r w:rsidRPr="009F173A">
        <w:rPr>
          <w:bCs/>
          <w:i/>
        </w:rPr>
        <w:t>Reliability</w:t>
      </w:r>
    </w:p>
    <w:p w14:paraId="4DF3989F" w14:textId="3D7C0F4F" w:rsidR="00FE2EE9" w:rsidRPr="009F173A" w:rsidRDefault="00FE2EE9" w:rsidP="0079797A">
      <w:pPr>
        <w:spacing w:after="0" w:line="276" w:lineRule="auto"/>
        <w:rPr>
          <w:bCs/>
        </w:rPr>
      </w:pPr>
      <w:r w:rsidRPr="009F173A">
        <w:rPr>
          <w:bCs/>
        </w:rPr>
        <w:t>For comparison with previous literature on the reliability of %</w:t>
      </w:r>
      <w:r w:rsidR="00171695" w:rsidRPr="009F173A">
        <w:rPr>
          <w:bCs/>
        </w:rPr>
        <w:t>FM</w:t>
      </w:r>
      <w:r w:rsidRPr="009F173A">
        <w:rPr>
          <w:bCs/>
        </w:rPr>
        <w:t xml:space="preserve"> measures, three reliability statistics were calculated; technical error of the measurement (TEM</w:t>
      </w:r>
      <w:r w:rsidR="00E24760" w:rsidRPr="009F173A">
        <w:rPr>
          <w:bCs/>
        </w:rPr>
        <w:t xml:space="preserve"> and TEM%</w:t>
      </w:r>
      <w:r w:rsidRPr="009F173A">
        <w:rPr>
          <w:bCs/>
        </w:rPr>
        <w:t>), coefficient of reliability (</w:t>
      </w:r>
      <w:r w:rsidR="0031730F" w:rsidRPr="009F173A">
        <w:rPr>
          <w:bCs/>
          <w:i/>
        </w:rPr>
        <w:t>r</w:t>
      </w:r>
      <w:r w:rsidR="0031730F" w:rsidRPr="009F173A">
        <w:rPr>
          <w:bCs/>
          <w:i/>
          <w:vertAlign w:val="subscript"/>
        </w:rPr>
        <w:t>xx</w:t>
      </w:r>
      <w:r w:rsidRPr="009F173A">
        <w:rPr>
          <w:bCs/>
        </w:rPr>
        <w:t>), and ICC</w:t>
      </w:r>
      <w:r w:rsidR="00D87FCF" w:rsidRPr="009F173A">
        <w:rPr>
          <w:bCs/>
        </w:rPr>
        <w:t xml:space="preserve"> as detailed in Table 2.</w:t>
      </w:r>
    </w:p>
    <w:p w14:paraId="0BC0B9A7" w14:textId="204DC9AD" w:rsidR="00FE2EE9" w:rsidRPr="009F173A" w:rsidRDefault="00FE2EE9" w:rsidP="0079797A">
      <w:pPr>
        <w:spacing w:after="0" w:line="276" w:lineRule="auto"/>
        <w:rPr>
          <w:bCs/>
        </w:rPr>
      </w:pPr>
    </w:p>
    <w:p w14:paraId="633EC2B2" w14:textId="16725713" w:rsidR="00D87FCF" w:rsidRPr="009F173A" w:rsidRDefault="00D87FCF" w:rsidP="0079797A">
      <w:pPr>
        <w:spacing w:after="0" w:line="276" w:lineRule="auto"/>
        <w:rPr>
          <w:bCs/>
        </w:rPr>
      </w:pPr>
      <w:bookmarkStart w:id="23" w:name="_Hlk108080603"/>
      <w:r w:rsidRPr="009F173A">
        <w:rPr>
          <w:bCs/>
        </w:rPr>
        <w:t xml:space="preserve">Table 2. </w:t>
      </w:r>
    </w:p>
    <w:p w14:paraId="3FBFAC72" w14:textId="37477093" w:rsidR="00D87FCF" w:rsidRPr="009F173A" w:rsidRDefault="00D87FCF" w:rsidP="0079797A">
      <w:pPr>
        <w:spacing w:after="0" w:line="276" w:lineRule="auto"/>
        <w:rPr>
          <w:bCs/>
        </w:rPr>
      </w:pPr>
    </w:p>
    <w:bookmarkEnd w:id="23"/>
    <w:p w14:paraId="38F77B74" w14:textId="77777777" w:rsidR="00992737" w:rsidRPr="009F173A" w:rsidRDefault="00992737" w:rsidP="0079797A">
      <w:pPr>
        <w:spacing w:after="0" w:line="276" w:lineRule="auto"/>
        <w:rPr>
          <w:bCs/>
        </w:rPr>
      </w:pPr>
    </w:p>
    <w:p w14:paraId="355E8947" w14:textId="2F0F1DC8" w:rsidR="007A49B9" w:rsidRPr="009F173A" w:rsidRDefault="00992737" w:rsidP="0079797A">
      <w:pPr>
        <w:spacing w:after="0" w:line="276" w:lineRule="auto"/>
        <w:rPr>
          <w:bCs/>
        </w:rPr>
      </w:pPr>
      <w:r w:rsidRPr="009F173A">
        <w:rPr>
          <w:bCs/>
        </w:rPr>
        <w:t xml:space="preserve"> </w:t>
      </w:r>
    </w:p>
    <w:p w14:paraId="06C52C15" w14:textId="68340411" w:rsidR="007A49B9" w:rsidRPr="009F173A" w:rsidRDefault="007A49B9" w:rsidP="0079797A">
      <w:pPr>
        <w:spacing w:after="0" w:line="276" w:lineRule="auto"/>
        <w:rPr>
          <w:b/>
        </w:rPr>
      </w:pPr>
      <w:r w:rsidRPr="009F173A">
        <w:rPr>
          <w:b/>
        </w:rPr>
        <w:t>Results</w:t>
      </w:r>
    </w:p>
    <w:p w14:paraId="2E8CE39B" w14:textId="6E048C92" w:rsidR="000F0E5B" w:rsidRPr="009F173A" w:rsidRDefault="000F0E5B" w:rsidP="0079797A">
      <w:pPr>
        <w:spacing w:after="0" w:line="276" w:lineRule="auto"/>
      </w:pPr>
    </w:p>
    <w:p w14:paraId="597FA42B" w14:textId="20B70E52" w:rsidR="00A25458" w:rsidRPr="009F173A" w:rsidRDefault="007B5A79" w:rsidP="0079797A">
      <w:pPr>
        <w:spacing w:after="0" w:line="276" w:lineRule="auto"/>
      </w:pPr>
      <w:r w:rsidRPr="009F173A">
        <w:t>Tabl</w:t>
      </w:r>
      <w:r w:rsidR="00BE7B60" w:rsidRPr="009F173A">
        <w:t xml:space="preserve">e </w:t>
      </w:r>
      <w:r w:rsidR="003872F1" w:rsidRPr="009F173A">
        <w:t>3</w:t>
      </w:r>
      <w:r w:rsidRPr="009F173A">
        <w:t xml:space="preserve"> presents </w:t>
      </w:r>
      <w:r w:rsidR="00A356B7" w:rsidRPr="009F173A">
        <w:t xml:space="preserve">data </w:t>
      </w:r>
      <w:r w:rsidRPr="009F173A">
        <w:t xml:space="preserve">for all </w:t>
      </w:r>
      <w:r w:rsidR="00334BA7" w:rsidRPr="009F173A">
        <w:t>participants</w:t>
      </w:r>
      <w:r w:rsidRPr="009F173A">
        <w:t xml:space="preserve">, and for the </w:t>
      </w:r>
      <w:r w:rsidR="00A32E8F" w:rsidRPr="009F173A">
        <w:t>with obesity and without obesity</w:t>
      </w:r>
      <w:r w:rsidRPr="009F173A">
        <w:t xml:space="preserve"> groups.  </w:t>
      </w:r>
      <w:r w:rsidR="00A25458" w:rsidRPr="009F173A">
        <w:t>No significant differences were found between groups for age (t</w:t>
      </w:r>
      <w:r w:rsidRPr="009F173A">
        <w:rPr>
          <w:vertAlign w:val="subscript"/>
        </w:rPr>
        <w:t>(69)</w:t>
      </w:r>
      <w:r w:rsidR="00A25458" w:rsidRPr="009F173A">
        <w:t xml:space="preserve"> = 1.8</w:t>
      </w:r>
      <w:r w:rsidR="00975251" w:rsidRPr="009F173A">
        <w:t>5</w:t>
      </w:r>
      <w:r w:rsidR="00A25458" w:rsidRPr="009F173A">
        <w:t>, p = 0.069), height (t</w:t>
      </w:r>
      <w:r w:rsidRPr="009F173A">
        <w:rPr>
          <w:vertAlign w:val="subscript"/>
        </w:rPr>
        <w:t>(69)</w:t>
      </w:r>
      <w:r w:rsidR="00A25458" w:rsidRPr="009F173A">
        <w:t xml:space="preserve"> = 1.0</w:t>
      </w:r>
      <w:r w:rsidR="00975251" w:rsidRPr="009F173A">
        <w:t>9</w:t>
      </w:r>
      <w:r w:rsidR="00A25458" w:rsidRPr="009F173A">
        <w:t>, p = 0.212), and resistance (t</w:t>
      </w:r>
      <w:r w:rsidRPr="009F173A">
        <w:rPr>
          <w:vertAlign w:val="subscript"/>
        </w:rPr>
        <w:t>(69)</w:t>
      </w:r>
      <w:r w:rsidR="00A25458" w:rsidRPr="009F173A">
        <w:t xml:space="preserve"> = 0.32, p = 0.748).  The </w:t>
      </w:r>
      <w:r w:rsidR="002851E1" w:rsidRPr="009F173A">
        <w:t>with obesity</w:t>
      </w:r>
      <w:r w:rsidR="00A25458" w:rsidRPr="009F173A">
        <w:t xml:space="preserve"> group were significantly heavier (t</w:t>
      </w:r>
      <w:r w:rsidRPr="009F173A">
        <w:rPr>
          <w:vertAlign w:val="subscript"/>
        </w:rPr>
        <w:t>(69)</w:t>
      </w:r>
      <w:r w:rsidR="00A25458" w:rsidRPr="009F173A">
        <w:t xml:space="preserve"> = 2.36, p = 0.021), had a higher BMI (t</w:t>
      </w:r>
      <w:r w:rsidRPr="009F173A">
        <w:rPr>
          <w:vertAlign w:val="subscript"/>
        </w:rPr>
        <w:t>(69)</w:t>
      </w:r>
      <w:r w:rsidR="00A25458" w:rsidRPr="009F173A">
        <w:t xml:space="preserve"> = 4.9</w:t>
      </w:r>
      <w:r w:rsidR="00975251" w:rsidRPr="009F173A">
        <w:t>7</w:t>
      </w:r>
      <w:r w:rsidR="00A25458" w:rsidRPr="009F173A">
        <w:t>, p &lt;0.001), greater raw body volume (t</w:t>
      </w:r>
      <w:r w:rsidRPr="009F173A">
        <w:rPr>
          <w:vertAlign w:val="subscript"/>
        </w:rPr>
        <w:t>(69)</w:t>
      </w:r>
      <w:r w:rsidR="00A25458" w:rsidRPr="009F173A">
        <w:t xml:space="preserve"> = 0.75, p = 0.004), </w:t>
      </w:r>
      <w:r w:rsidR="00CC367F" w:rsidRPr="009F173A">
        <w:t xml:space="preserve">and a higher </w:t>
      </w:r>
      <w:r w:rsidR="00A25458" w:rsidRPr="009F173A">
        <w:t>%FM</w:t>
      </w:r>
      <w:r w:rsidR="00A25458" w:rsidRPr="009F173A">
        <w:rPr>
          <w:vertAlign w:val="subscript"/>
        </w:rPr>
        <w:t>ADP</w:t>
      </w:r>
      <w:r w:rsidR="00A25458" w:rsidRPr="009F173A">
        <w:t xml:space="preserve"> (t</w:t>
      </w:r>
      <w:r w:rsidRPr="009F173A">
        <w:rPr>
          <w:vertAlign w:val="subscript"/>
        </w:rPr>
        <w:t>(69)</w:t>
      </w:r>
      <w:r w:rsidR="00A25458" w:rsidRPr="009F173A">
        <w:t xml:space="preserve"> = 14.15, p &lt;0.001), and %FM</w:t>
      </w:r>
      <w:r w:rsidR="00A25458" w:rsidRPr="009F173A">
        <w:rPr>
          <w:vertAlign w:val="subscript"/>
        </w:rPr>
        <w:t>BIA</w:t>
      </w:r>
      <w:r w:rsidR="00A25458" w:rsidRPr="009F173A">
        <w:t xml:space="preserve"> (t</w:t>
      </w:r>
      <w:r w:rsidRPr="009F173A">
        <w:rPr>
          <w:vertAlign w:val="subscript"/>
        </w:rPr>
        <w:t>(69)</w:t>
      </w:r>
      <w:r w:rsidR="00A25458" w:rsidRPr="009F173A">
        <w:t xml:space="preserve"> = </w:t>
      </w:r>
      <w:r w:rsidR="003A13AC" w:rsidRPr="009F173A">
        <w:t>8.</w:t>
      </w:r>
      <w:r w:rsidR="00975251" w:rsidRPr="009F173A">
        <w:t>80</w:t>
      </w:r>
      <w:r w:rsidR="00A25458" w:rsidRPr="009F173A">
        <w:t>, p &lt;0.001).</w:t>
      </w:r>
    </w:p>
    <w:p w14:paraId="45BFD0E2" w14:textId="79DCC176" w:rsidR="00BD2D98" w:rsidRPr="009F173A" w:rsidRDefault="00BD2D98" w:rsidP="0079797A">
      <w:pPr>
        <w:spacing w:after="0" w:line="276" w:lineRule="auto"/>
      </w:pPr>
    </w:p>
    <w:p w14:paraId="61448C08" w14:textId="77777777" w:rsidR="005F63BB" w:rsidRPr="009F173A" w:rsidRDefault="005F63BB" w:rsidP="0079797A">
      <w:pPr>
        <w:spacing w:after="0" w:line="276" w:lineRule="auto"/>
        <w:rPr>
          <w:b/>
        </w:rPr>
      </w:pPr>
    </w:p>
    <w:p w14:paraId="5538D973" w14:textId="3111CB58" w:rsidR="007A49B9" w:rsidRPr="009F173A" w:rsidRDefault="008122CE" w:rsidP="0079797A">
      <w:pPr>
        <w:spacing w:after="0" w:line="276" w:lineRule="auto"/>
        <w:rPr>
          <w:bCs/>
        </w:rPr>
      </w:pPr>
      <w:bookmarkStart w:id="24" w:name="_Hlk108080649"/>
      <w:r w:rsidRPr="009F173A">
        <w:rPr>
          <w:bCs/>
        </w:rPr>
        <w:t>Tabl</w:t>
      </w:r>
      <w:r w:rsidR="00BE7B60" w:rsidRPr="009F173A">
        <w:rPr>
          <w:bCs/>
        </w:rPr>
        <w:t xml:space="preserve">e </w:t>
      </w:r>
      <w:r w:rsidR="003872F1" w:rsidRPr="009F173A">
        <w:rPr>
          <w:bCs/>
        </w:rPr>
        <w:t>3</w:t>
      </w:r>
      <w:r w:rsidR="00BE7B60" w:rsidRPr="009F173A">
        <w:rPr>
          <w:bCs/>
        </w:rPr>
        <w:t xml:space="preserve">. </w:t>
      </w:r>
    </w:p>
    <w:bookmarkEnd w:id="24"/>
    <w:p w14:paraId="12699955" w14:textId="0C126C93" w:rsidR="007B5A79" w:rsidRPr="009F173A" w:rsidRDefault="007B5A79" w:rsidP="0079797A">
      <w:pPr>
        <w:spacing w:after="0" w:line="276" w:lineRule="auto"/>
        <w:rPr>
          <w:bCs/>
        </w:rPr>
      </w:pPr>
    </w:p>
    <w:p w14:paraId="58CA5EC8" w14:textId="77777777" w:rsidR="007B5A79" w:rsidRPr="009F173A" w:rsidRDefault="007B5A79" w:rsidP="0079797A">
      <w:pPr>
        <w:spacing w:after="0" w:line="276" w:lineRule="auto"/>
        <w:rPr>
          <w:bCs/>
        </w:rPr>
      </w:pPr>
    </w:p>
    <w:p w14:paraId="5D92FCEB" w14:textId="5841363B" w:rsidR="007B5A79" w:rsidRPr="009F173A" w:rsidRDefault="007B5A79" w:rsidP="0079797A">
      <w:pPr>
        <w:spacing w:after="0" w:line="276" w:lineRule="auto"/>
        <w:rPr>
          <w:bCs/>
        </w:rPr>
      </w:pPr>
      <w:r w:rsidRPr="009F173A">
        <w:rPr>
          <w:bCs/>
        </w:rPr>
        <w:t>Concurrent validity</w:t>
      </w:r>
    </w:p>
    <w:p w14:paraId="1EA770BD" w14:textId="6C329258" w:rsidR="007B5A79" w:rsidRPr="009F173A" w:rsidRDefault="007B5A79" w:rsidP="0079797A">
      <w:pPr>
        <w:spacing w:after="0" w:line="276" w:lineRule="auto"/>
        <w:rPr>
          <w:bCs/>
        </w:rPr>
      </w:pPr>
    </w:p>
    <w:p w14:paraId="4ABD7895" w14:textId="67A449D0" w:rsidR="0063217A" w:rsidRPr="009F173A" w:rsidRDefault="00BE7B60" w:rsidP="0079797A">
      <w:pPr>
        <w:spacing w:after="0" w:line="276" w:lineRule="auto"/>
        <w:rPr>
          <w:bCs/>
        </w:rPr>
      </w:pPr>
      <w:r w:rsidRPr="009F173A">
        <w:rPr>
          <w:bCs/>
        </w:rPr>
        <w:t xml:space="preserve">Table </w:t>
      </w:r>
      <w:r w:rsidR="0042500E" w:rsidRPr="009F173A">
        <w:rPr>
          <w:bCs/>
        </w:rPr>
        <w:t>4</w:t>
      </w:r>
      <w:r w:rsidRPr="009F173A">
        <w:rPr>
          <w:bCs/>
        </w:rPr>
        <w:t xml:space="preserve"> presents the mean difference and LoA of %</w:t>
      </w:r>
      <w:r w:rsidR="003B71E6" w:rsidRPr="009F173A">
        <w:rPr>
          <w:bCs/>
        </w:rPr>
        <w:t>FM</w:t>
      </w:r>
      <w:r w:rsidRPr="009F173A">
        <w:rPr>
          <w:bCs/>
          <w:vertAlign w:val="subscript"/>
        </w:rPr>
        <w:t>ADP</w:t>
      </w:r>
      <w:r w:rsidRPr="009F173A">
        <w:rPr>
          <w:bCs/>
        </w:rPr>
        <w:t xml:space="preserve"> and %</w:t>
      </w:r>
      <w:r w:rsidR="003B71E6" w:rsidRPr="009F173A">
        <w:rPr>
          <w:bCs/>
        </w:rPr>
        <w:t>FM</w:t>
      </w:r>
      <w:r w:rsidRPr="009F173A">
        <w:rPr>
          <w:bCs/>
          <w:vertAlign w:val="subscript"/>
        </w:rPr>
        <w:t>BIA</w:t>
      </w:r>
      <w:r w:rsidRPr="009F173A">
        <w:rPr>
          <w:bCs/>
        </w:rPr>
        <w:t xml:space="preserve"> for all participants, the </w:t>
      </w:r>
      <w:r w:rsidR="002851E1" w:rsidRPr="009F173A">
        <w:rPr>
          <w:bCs/>
        </w:rPr>
        <w:t>with obesity</w:t>
      </w:r>
      <w:r w:rsidRPr="009F173A">
        <w:rPr>
          <w:bCs/>
        </w:rPr>
        <w:t xml:space="preserve"> group, and the </w:t>
      </w:r>
      <w:r w:rsidR="002851E1" w:rsidRPr="009F173A">
        <w:rPr>
          <w:bCs/>
        </w:rPr>
        <w:t>without obesity</w:t>
      </w:r>
      <w:r w:rsidRPr="009F173A">
        <w:rPr>
          <w:bCs/>
        </w:rPr>
        <w:t xml:space="preserve"> group.  </w:t>
      </w:r>
      <w:r w:rsidR="008F6365" w:rsidRPr="009F173A">
        <w:rPr>
          <w:bCs/>
        </w:rPr>
        <w:t>Compared to %</w:t>
      </w:r>
      <w:r w:rsidR="00AC0076" w:rsidRPr="009F173A">
        <w:rPr>
          <w:bCs/>
        </w:rPr>
        <w:t>FM</w:t>
      </w:r>
      <w:r w:rsidR="008F6365" w:rsidRPr="009F173A">
        <w:rPr>
          <w:bCs/>
          <w:vertAlign w:val="subscript"/>
        </w:rPr>
        <w:t>BIA</w:t>
      </w:r>
      <w:r w:rsidR="008F6365" w:rsidRPr="009F173A">
        <w:rPr>
          <w:bCs/>
        </w:rPr>
        <w:t>, %FM</w:t>
      </w:r>
      <w:r w:rsidR="008F6365" w:rsidRPr="009F173A">
        <w:rPr>
          <w:bCs/>
          <w:vertAlign w:val="subscript"/>
        </w:rPr>
        <w:t>ADP</w:t>
      </w:r>
      <w:r w:rsidR="008F6365" w:rsidRPr="009F173A">
        <w:rPr>
          <w:bCs/>
        </w:rPr>
        <w:t xml:space="preserve"> was significantly higher </w:t>
      </w:r>
      <w:r w:rsidR="00242468" w:rsidRPr="009F173A">
        <w:rPr>
          <w:bCs/>
        </w:rPr>
        <w:t xml:space="preserve">in </w:t>
      </w:r>
      <w:r w:rsidR="008F6365" w:rsidRPr="009F173A">
        <w:rPr>
          <w:bCs/>
        </w:rPr>
        <w:t xml:space="preserve">all participants </w:t>
      </w:r>
      <w:r w:rsidR="007B5A79" w:rsidRPr="009F173A">
        <w:rPr>
          <w:bCs/>
        </w:rPr>
        <w:t>(</w:t>
      </w:r>
      <w:r w:rsidR="00F866AE" w:rsidRPr="009F173A">
        <w:rPr>
          <w:bCs/>
        </w:rPr>
        <w:t>t</w:t>
      </w:r>
      <w:r w:rsidR="00F866AE" w:rsidRPr="009F173A">
        <w:rPr>
          <w:bCs/>
          <w:vertAlign w:val="subscript"/>
        </w:rPr>
        <w:t>(70)</w:t>
      </w:r>
      <w:r w:rsidR="00F866AE" w:rsidRPr="009F173A">
        <w:rPr>
          <w:bCs/>
        </w:rPr>
        <w:t xml:space="preserve"> = 5.</w:t>
      </w:r>
      <w:r w:rsidR="003A13AC" w:rsidRPr="009F173A">
        <w:rPr>
          <w:bCs/>
        </w:rPr>
        <w:t>1</w:t>
      </w:r>
      <w:r w:rsidR="00975251" w:rsidRPr="009F173A">
        <w:rPr>
          <w:bCs/>
        </w:rPr>
        <w:t>1</w:t>
      </w:r>
      <w:r w:rsidR="00F866AE" w:rsidRPr="009F173A">
        <w:rPr>
          <w:bCs/>
        </w:rPr>
        <w:t>, p &lt;</w:t>
      </w:r>
      <w:r w:rsidR="007D4EEA" w:rsidRPr="009F173A">
        <w:rPr>
          <w:bCs/>
        </w:rPr>
        <w:t xml:space="preserve"> </w:t>
      </w:r>
      <w:r w:rsidR="00F866AE" w:rsidRPr="009F173A">
        <w:rPr>
          <w:bCs/>
        </w:rPr>
        <w:t>0.001</w:t>
      </w:r>
      <w:r w:rsidR="00B2298F" w:rsidRPr="009F173A">
        <w:rPr>
          <w:bCs/>
        </w:rPr>
        <w:t>, ES = 0.42</w:t>
      </w:r>
      <w:r w:rsidR="007B5A79" w:rsidRPr="009F173A">
        <w:rPr>
          <w:bCs/>
        </w:rPr>
        <w:t>)</w:t>
      </w:r>
      <w:r w:rsidR="008F6365" w:rsidRPr="009F173A">
        <w:rPr>
          <w:bCs/>
        </w:rPr>
        <w:t xml:space="preserve"> and</w:t>
      </w:r>
      <w:r w:rsidR="007B5A79" w:rsidRPr="009F173A">
        <w:rPr>
          <w:bCs/>
        </w:rPr>
        <w:t xml:space="preserve"> </w:t>
      </w:r>
      <w:r w:rsidR="008F6365" w:rsidRPr="009F173A">
        <w:rPr>
          <w:bCs/>
        </w:rPr>
        <w:t>i</w:t>
      </w:r>
      <w:r w:rsidR="007B5A79" w:rsidRPr="009F173A">
        <w:rPr>
          <w:bCs/>
        </w:rPr>
        <w:t>n the</w:t>
      </w:r>
      <w:r w:rsidR="002851E1" w:rsidRPr="009F173A">
        <w:rPr>
          <w:bCs/>
        </w:rPr>
        <w:t xml:space="preserve"> without obesity</w:t>
      </w:r>
      <w:r w:rsidR="007B5A79" w:rsidRPr="009F173A">
        <w:rPr>
          <w:bCs/>
        </w:rPr>
        <w:t xml:space="preserve"> group</w:t>
      </w:r>
      <w:r w:rsidR="007D4EEA" w:rsidRPr="009F173A">
        <w:rPr>
          <w:bCs/>
        </w:rPr>
        <w:t xml:space="preserve"> </w:t>
      </w:r>
      <w:r w:rsidR="007B5A79" w:rsidRPr="009F173A">
        <w:rPr>
          <w:bCs/>
        </w:rPr>
        <w:t>(</w:t>
      </w:r>
      <w:r w:rsidR="00F866AE" w:rsidRPr="009F173A">
        <w:rPr>
          <w:bCs/>
        </w:rPr>
        <w:t>t</w:t>
      </w:r>
      <w:r w:rsidR="00F866AE" w:rsidRPr="009F173A">
        <w:rPr>
          <w:bCs/>
          <w:vertAlign w:val="subscript"/>
        </w:rPr>
        <w:t>(45)</w:t>
      </w:r>
      <w:r w:rsidR="00F866AE" w:rsidRPr="009F173A">
        <w:rPr>
          <w:bCs/>
        </w:rPr>
        <w:t xml:space="preserve"> = </w:t>
      </w:r>
      <w:r w:rsidR="003A13AC" w:rsidRPr="009F173A">
        <w:rPr>
          <w:bCs/>
        </w:rPr>
        <w:t>2.98</w:t>
      </w:r>
      <w:r w:rsidR="00F866AE" w:rsidRPr="009F173A">
        <w:rPr>
          <w:bCs/>
        </w:rPr>
        <w:t xml:space="preserve">, p </w:t>
      </w:r>
      <w:r w:rsidR="007D4EEA" w:rsidRPr="009F173A">
        <w:rPr>
          <w:bCs/>
        </w:rPr>
        <w:t>=</w:t>
      </w:r>
      <w:r w:rsidR="00F866AE" w:rsidRPr="009F173A">
        <w:rPr>
          <w:bCs/>
        </w:rPr>
        <w:t xml:space="preserve"> 0.00</w:t>
      </w:r>
      <w:r w:rsidR="003A13AC" w:rsidRPr="009F173A">
        <w:rPr>
          <w:bCs/>
        </w:rPr>
        <w:t>5</w:t>
      </w:r>
      <w:r w:rsidR="00B2298F" w:rsidRPr="009F173A">
        <w:rPr>
          <w:bCs/>
        </w:rPr>
        <w:t>,</w:t>
      </w:r>
      <w:r w:rsidR="00D92C92" w:rsidRPr="009F173A">
        <w:rPr>
          <w:bCs/>
        </w:rPr>
        <w:t xml:space="preserve"> </w:t>
      </w:r>
      <w:r w:rsidR="00B2298F" w:rsidRPr="009F173A">
        <w:rPr>
          <w:bCs/>
        </w:rPr>
        <w:t xml:space="preserve">ES 0.52; </w:t>
      </w:r>
      <w:r w:rsidR="00D92C92" w:rsidRPr="009F173A">
        <w:rPr>
          <w:bCs/>
        </w:rPr>
        <w:t xml:space="preserve">Table </w:t>
      </w:r>
      <w:r w:rsidR="0042500E" w:rsidRPr="009F173A">
        <w:rPr>
          <w:bCs/>
        </w:rPr>
        <w:t>3</w:t>
      </w:r>
      <w:r w:rsidR="007B5A79" w:rsidRPr="009F173A">
        <w:rPr>
          <w:bCs/>
        </w:rPr>
        <w:t>)</w:t>
      </w:r>
      <w:r w:rsidR="00847553" w:rsidRPr="009F173A">
        <w:rPr>
          <w:bCs/>
        </w:rPr>
        <w:t>;</w:t>
      </w:r>
      <w:r w:rsidR="00EF2924" w:rsidRPr="009F173A">
        <w:rPr>
          <w:bCs/>
        </w:rPr>
        <w:t xml:space="preserve"> although </w:t>
      </w:r>
      <w:r w:rsidR="009D5C1D" w:rsidRPr="009F173A">
        <w:rPr>
          <w:bCs/>
        </w:rPr>
        <w:t xml:space="preserve">mean </w:t>
      </w:r>
      <w:r w:rsidR="00EF2924" w:rsidRPr="009F173A">
        <w:rPr>
          <w:bCs/>
        </w:rPr>
        <w:t xml:space="preserve">differences observed were clinically </w:t>
      </w:r>
      <w:r w:rsidR="000E18AF" w:rsidRPr="009F173A">
        <w:rPr>
          <w:bCs/>
        </w:rPr>
        <w:t>acceptable (&lt; 3.5%)</w:t>
      </w:r>
      <w:r w:rsidR="00847553" w:rsidRPr="009F173A">
        <w:rPr>
          <w:bCs/>
        </w:rPr>
        <w:t xml:space="preserve">, LoA were 22.3% and 21.8% in all participants and </w:t>
      </w:r>
      <w:r w:rsidR="002851E1" w:rsidRPr="009F173A">
        <w:rPr>
          <w:bCs/>
        </w:rPr>
        <w:t>those without obesity</w:t>
      </w:r>
      <w:r w:rsidR="003B4D14" w:rsidRPr="009F173A">
        <w:rPr>
          <w:bCs/>
        </w:rPr>
        <w:t>,</w:t>
      </w:r>
      <w:r w:rsidR="00847553" w:rsidRPr="009F173A">
        <w:rPr>
          <w:bCs/>
        </w:rPr>
        <w:t xml:space="preserve"> respectively </w:t>
      </w:r>
      <w:r w:rsidR="007B5A79" w:rsidRPr="009F173A">
        <w:rPr>
          <w:bCs/>
        </w:rPr>
        <w:t xml:space="preserve">.  In the </w:t>
      </w:r>
      <w:r w:rsidR="002851E1" w:rsidRPr="009F173A">
        <w:rPr>
          <w:bCs/>
        </w:rPr>
        <w:t>with obesity</w:t>
      </w:r>
      <w:r w:rsidR="007B5A79" w:rsidRPr="009F173A">
        <w:rPr>
          <w:bCs/>
        </w:rPr>
        <w:t xml:space="preserve"> group, %</w:t>
      </w:r>
      <w:r w:rsidR="003B71E6" w:rsidRPr="009F173A">
        <w:rPr>
          <w:bCs/>
        </w:rPr>
        <w:t>FM</w:t>
      </w:r>
      <w:r w:rsidR="007B5A79" w:rsidRPr="009F173A">
        <w:rPr>
          <w:bCs/>
          <w:vertAlign w:val="subscript"/>
        </w:rPr>
        <w:t xml:space="preserve">ADP </w:t>
      </w:r>
      <w:r w:rsidR="007B5A79" w:rsidRPr="009F173A">
        <w:rPr>
          <w:bCs/>
        </w:rPr>
        <w:t>was significantly higher compared to %</w:t>
      </w:r>
      <w:r w:rsidR="003B71E6" w:rsidRPr="009F173A">
        <w:rPr>
          <w:bCs/>
        </w:rPr>
        <w:t>FM</w:t>
      </w:r>
      <w:r w:rsidR="007B5A79" w:rsidRPr="009F173A">
        <w:rPr>
          <w:bCs/>
          <w:vertAlign w:val="subscript"/>
        </w:rPr>
        <w:t>BIA</w:t>
      </w:r>
      <w:r w:rsidR="007B5A79" w:rsidRPr="009F173A">
        <w:rPr>
          <w:bCs/>
        </w:rPr>
        <w:t xml:space="preserve"> (</w:t>
      </w:r>
      <w:r w:rsidR="00F866AE" w:rsidRPr="009F173A">
        <w:rPr>
          <w:bCs/>
        </w:rPr>
        <w:t>t</w:t>
      </w:r>
      <w:r w:rsidR="00F866AE" w:rsidRPr="009F173A">
        <w:rPr>
          <w:bCs/>
          <w:vertAlign w:val="subscript"/>
        </w:rPr>
        <w:t>(24)</w:t>
      </w:r>
      <w:r w:rsidR="00F866AE" w:rsidRPr="009F173A">
        <w:rPr>
          <w:bCs/>
        </w:rPr>
        <w:t xml:space="preserve"> = 4.</w:t>
      </w:r>
      <w:r w:rsidR="003A13AC" w:rsidRPr="009F173A">
        <w:rPr>
          <w:bCs/>
        </w:rPr>
        <w:t>7</w:t>
      </w:r>
      <w:r w:rsidR="00975251" w:rsidRPr="009F173A">
        <w:rPr>
          <w:bCs/>
        </w:rPr>
        <w:t>6</w:t>
      </w:r>
      <w:r w:rsidR="00F866AE" w:rsidRPr="009F173A">
        <w:rPr>
          <w:bCs/>
        </w:rPr>
        <w:t>, p</w:t>
      </w:r>
      <w:r w:rsidR="007D4EEA" w:rsidRPr="009F173A">
        <w:rPr>
          <w:bCs/>
        </w:rPr>
        <w:t xml:space="preserve"> </w:t>
      </w:r>
      <w:r w:rsidR="00F866AE" w:rsidRPr="009F173A">
        <w:rPr>
          <w:bCs/>
        </w:rPr>
        <w:t>&lt;</w:t>
      </w:r>
      <w:r w:rsidR="007D4EEA" w:rsidRPr="009F173A">
        <w:rPr>
          <w:bCs/>
        </w:rPr>
        <w:t xml:space="preserve"> </w:t>
      </w:r>
      <w:r w:rsidR="00F866AE" w:rsidRPr="009F173A">
        <w:rPr>
          <w:bCs/>
        </w:rPr>
        <w:t>0.001</w:t>
      </w:r>
      <w:r w:rsidR="00B2298F" w:rsidRPr="009F173A">
        <w:rPr>
          <w:bCs/>
        </w:rPr>
        <w:t>, ES = 0.90</w:t>
      </w:r>
      <w:r w:rsidR="00D92C92" w:rsidRPr="009F173A">
        <w:rPr>
          <w:bCs/>
        </w:rPr>
        <w:t>;</w:t>
      </w:r>
      <w:r w:rsidR="00AA10BA" w:rsidRPr="009F173A">
        <w:rPr>
          <w:bCs/>
        </w:rPr>
        <w:t xml:space="preserve"> </w:t>
      </w:r>
      <w:r w:rsidR="00D92C92" w:rsidRPr="009F173A">
        <w:rPr>
          <w:bCs/>
        </w:rPr>
        <w:t xml:space="preserve">Table </w:t>
      </w:r>
      <w:r w:rsidR="0042500E" w:rsidRPr="009F173A">
        <w:rPr>
          <w:bCs/>
        </w:rPr>
        <w:t>3</w:t>
      </w:r>
      <w:r w:rsidR="007B5A79" w:rsidRPr="009F173A">
        <w:rPr>
          <w:bCs/>
        </w:rPr>
        <w:t>)</w:t>
      </w:r>
      <w:r w:rsidR="005D0786" w:rsidRPr="009F173A">
        <w:rPr>
          <w:bCs/>
        </w:rPr>
        <w:t>, with</w:t>
      </w:r>
      <w:r w:rsidR="008E014D" w:rsidRPr="009F173A">
        <w:rPr>
          <w:bCs/>
        </w:rPr>
        <w:t xml:space="preserve"> the</w:t>
      </w:r>
      <w:r w:rsidR="005D0786" w:rsidRPr="009F173A">
        <w:rPr>
          <w:bCs/>
        </w:rPr>
        <w:t xml:space="preserve"> mean difference</w:t>
      </w:r>
      <w:r w:rsidR="008E014D" w:rsidRPr="009F173A">
        <w:rPr>
          <w:bCs/>
        </w:rPr>
        <w:t xml:space="preserve"> </w:t>
      </w:r>
      <w:r w:rsidR="005D0786" w:rsidRPr="009F173A">
        <w:rPr>
          <w:bCs/>
        </w:rPr>
        <w:t xml:space="preserve">(-5.20 </w:t>
      </w:r>
      <w:r w:rsidR="005D0786" w:rsidRPr="009F173A">
        <w:rPr>
          <w:rFonts w:cstheme="minorHAnsi"/>
          <w:bCs/>
        </w:rPr>
        <w:t>± 5.46</w:t>
      </w:r>
      <w:r w:rsidR="008E014D" w:rsidRPr="009F173A">
        <w:rPr>
          <w:rFonts w:cstheme="minorHAnsi"/>
          <w:bCs/>
        </w:rPr>
        <w:t>%</w:t>
      </w:r>
      <w:r w:rsidR="004A75D8" w:rsidRPr="009F173A">
        <w:rPr>
          <w:rFonts w:cstheme="minorHAnsi"/>
          <w:bCs/>
        </w:rPr>
        <w:t>)</w:t>
      </w:r>
      <w:r w:rsidR="008E014D" w:rsidRPr="009F173A">
        <w:rPr>
          <w:rFonts w:cstheme="minorHAnsi"/>
          <w:bCs/>
        </w:rPr>
        <w:t xml:space="preserve"> exceeding the clinically acceptable threshold of 3.5%</w:t>
      </w:r>
      <w:r w:rsidR="0059678C" w:rsidRPr="009F173A">
        <w:rPr>
          <w:rFonts w:cstheme="minorHAnsi"/>
          <w:bCs/>
        </w:rPr>
        <w:t>,</w:t>
      </w:r>
      <w:r w:rsidR="00847553" w:rsidRPr="009F173A">
        <w:rPr>
          <w:rFonts w:cstheme="minorHAnsi"/>
          <w:bCs/>
        </w:rPr>
        <w:t xml:space="preserve"> and LoA of 21.8</w:t>
      </w:r>
      <w:bookmarkStart w:id="25" w:name="_Hlk103331718"/>
      <w:r w:rsidR="00847553" w:rsidRPr="009F173A">
        <w:rPr>
          <w:rFonts w:cstheme="minorHAnsi"/>
          <w:bCs/>
        </w:rPr>
        <w:t>%</w:t>
      </w:r>
      <w:r w:rsidR="00F866AE" w:rsidRPr="009F173A">
        <w:rPr>
          <w:bCs/>
        </w:rPr>
        <w:t xml:space="preserve">.   </w:t>
      </w:r>
      <w:r w:rsidR="003D13DF" w:rsidRPr="009F173A">
        <w:rPr>
          <w:bCs/>
        </w:rPr>
        <w:t>A</w:t>
      </w:r>
      <w:r w:rsidR="00F866AE" w:rsidRPr="009F173A">
        <w:rPr>
          <w:bCs/>
        </w:rPr>
        <w:t xml:space="preserve"> strong, significant</w:t>
      </w:r>
      <w:r w:rsidR="00F77828" w:rsidRPr="009F173A">
        <w:rPr>
          <w:bCs/>
        </w:rPr>
        <w:t xml:space="preserve"> positive</w:t>
      </w:r>
      <w:r w:rsidR="00F866AE" w:rsidRPr="009F173A">
        <w:rPr>
          <w:bCs/>
        </w:rPr>
        <w:t xml:space="preserve"> correlation </w:t>
      </w:r>
      <w:r w:rsidR="00EA1484" w:rsidRPr="009F173A">
        <w:rPr>
          <w:bCs/>
        </w:rPr>
        <w:t xml:space="preserve">was found </w:t>
      </w:r>
      <w:r w:rsidR="00F866AE" w:rsidRPr="009F173A">
        <w:rPr>
          <w:bCs/>
        </w:rPr>
        <w:t>between %</w:t>
      </w:r>
      <w:r w:rsidR="003B71E6" w:rsidRPr="009F173A">
        <w:rPr>
          <w:bCs/>
        </w:rPr>
        <w:t>FM</w:t>
      </w:r>
      <w:r w:rsidR="00F866AE" w:rsidRPr="009F173A">
        <w:rPr>
          <w:bCs/>
          <w:vertAlign w:val="subscript"/>
        </w:rPr>
        <w:t>ADP</w:t>
      </w:r>
      <w:r w:rsidR="00F866AE" w:rsidRPr="009F173A">
        <w:rPr>
          <w:bCs/>
        </w:rPr>
        <w:t xml:space="preserve"> and %</w:t>
      </w:r>
      <w:r w:rsidR="003B71E6" w:rsidRPr="009F173A">
        <w:rPr>
          <w:bCs/>
        </w:rPr>
        <w:t>FM</w:t>
      </w:r>
      <w:r w:rsidR="00F866AE" w:rsidRPr="009F173A">
        <w:rPr>
          <w:bCs/>
          <w:vertAlign w:val="subscript"/>
        </w:rPr>
        <w:t>BIA</w:t>
      </w:r>
      <w:r w:rsidR="00F866AE" w:rsidRPr="009F173A">
        <w:rPr>
          <w:bCs/>
        </w:rPr>
        <w:t xml:space="preserve"> </w:t>
      </w:r>
      <w:r w:rsidR="00EA1484" w:rsidRPr="009F173A">
        <w:rPr>
          <w:bCs/>
        </w:rPr>
        <w:t>when examining all participants</w:t>
      </w:r>
      <w:r w:rsidR="004A75D8" w:rsidRPr="009F173A">
        <w:rPr>
          <w:bCs/>
        </w:rPr>
        <w:t xml:space="preserve"> </w:t>
      </w:r>
      <w:r w:rsidR="00F866AE" w:rsidRPr="009F173A">
        <w:rPr>
          <w:bCs/>
        </w:rPr>
        <w:t>(r</w:t>
      </w:r>
      <w:r w:rsidR="00875265" w:rsidRPr="009F173A">
        <w:rPr>
          <w:bCs/>
        </w:rPr>
        <w:t xml:space="preserve"> </w:t>
      </w:r>
      <w:r w:rsidR="00F866AE" w:rsidRPr="009F173A">
        <w:rPr>
          <w:bCs/>
        </w:rPr>
        <w:t>= 0.</w:t>
      </w:r>
      <w:r w:rsidR="003A13AC" w:rsidRPr="009F173A">
        <w:rPr>
          <w:bCs/>
        </w:rPr>
        <w:t>80</w:t>
      </w:r>
      <w:bookmarkEnd w:id="25"/>
      <w:r w:rsidR="00F866AE" w:rsidRPr="009F173A">
        <w:rPr>
          <w:bCs/>
        </w:rPr>
        <w:t>, p &lt;</w:t>
      </w:r>
      <w:r w:rsidR="007D4EEA" w:rsidRPr="009F173A">
        <w:rPr>
          <w:bCs/>
        </w:rPr>
        <w:t xml:space="preserve"> </w:t>
      </w:r>
      <w:r w:rsidR="00F866AE" w:rsidRPr="009F173A">
        <w:rPr>
          <w:bCs/>
        </w:rPr>
        <w:t>0.001</w:t>
      </w:r>
      <w:r w:rsidR="00D72FC4" w:rsidRPr="009F173A">
        <w:rPr>
          <w:bCs/>
        </w:rPr>
        <w:t xml:space="preserve">, 95%CI </w:t>
      </w:r>
      <w:r w:rsidR="00D01591" w:rsidRPr="009F173A">
        <w:rPr>
          <w:bCs/>
        </w:rPr>
        <w:t>0.64 to 0.95</w:t>
      </w:r>
      <w:r w:rsidR="00F866AE" w:rsidRPr="009F173A">
        <w:rPr>
          <w:bCs/>
        </w:rPr>
        <w:t>).</w:t>
      </w:r>
      <w:r w:rsidR="00EA1484" w:rsidRPr="009F173A">
        <w:rPr>
          <w:bCs/>
        </w:rPr>
        <w:t xml:space="preserve"> and </w:t>
      </w:r>
      <w:r w:rsidR="002851E1" w:rsidRPr="009F173A">
        <w:rPr>
          <w:bCs/>
        </w:rPr>
        <w:t xml:space="preserve">participants with </w:t>
      </w:r>
      <w:r w:rsidR="00EA1484" w:rsidRPr="009F173A">
        <w:rPr>
          <w:bCs/>
        </w:rPr>
        <w:t>obes</w:t>
      </w:r>
      <w:r w:rsidR="002851E1" w:rsidRPr="009F173A">
        <w:rPr>
          <w:bCs/>
        </w:rPr>
        <w:t>ity</w:t>
      </w:r>
      <w:r w:rsidR="00EA1484" w:rsidRPr="009F173A">
        <w:rPr>
          <w:bCs/>
        </w:rPr>
        <w:t xml:space="preserve"> (r = 0.60, p = 0.001</w:t>
      </w:r>
      <w:r w:rsidR="00D01591" w:rsidRPr="009F173A">
        <w:rPr>
          <w:bCs/>
        </w:rPr>
        <w:t>, 95%CI 0.11 to 1</w:t>
      </w:r>
      <w:r w:rsidR="00EA1484" w:rsidRPr="009F173A">
        <w:rPr>
          <w:bCs/>
        </w:rPr>
        <w:t xml:space="preserve">). </w:t>
      </w:r>
      <w:r w:rsidR="00F866AE" w:rsidRPr="009F173A">
        <w:rPr>
          <w:bCs/>
        </w:rPr>
        <w:t xml:space="preserve"> In the </w:t>
      </w:r>
      <w:r w:rsidR="002851E1" w:rsidRPr="009F173A">
        <w:rPr>
          <w:bCs/>
        </w:rPr>
        <w:t>without obesity</w:t>
      </w:r>
      <w:r w:rsidR="00F866AE" w:rsidRPr="009F173A">
        <w:rPr>
          <w:bCs/>
        </w:rPr>
        <w:t xml:space="preserve"> group, a moderate, significant</w:t>
      </w:r>
      <w:r w:rsidR="00AD48F3" w:rsidRPr="009F173A">
        <w:rPr>
          <w:bCs/>
        </w:rPr>
        <w:t xml:space="preserve"> positive</w:t>
      </w:r>
      <w:r w:rsidR="00F866AE" w:rsidRPr="009F173A">
        <w:rPr>
          <w:bCs/>
        </w:rPr>
        <w:t xml:space="preserve"> correlation</w:t>
      </w:r>
      <w:r w:rsidR="00E6605C" w:rsidRPr="009F173A">
        <w:rPr>
          <w:bCs/>
        </w:rPr>
        <w:t xml:space="preserve"> </w:t>
      </w:r>
      <w:r w:rsidR="00F866AE" w:rsidRPr="009F173A">
        <w:rPr>
          <w:bCs/>
        </w:rPr>
        <w:t>was found</w:t>
      </w:r>
      <w:r w:rsidR="003B71E6" w:rsidRPr="009F173A">
        <w:rPr>
          <w:bCs/>
        </w:rPr>
        <w:t xml:space="preserve"> </w:t>
      </w:r>
      <w:r w:rsidR="00F866AE" w:rsidRPr="009F173A">
        <w:rPr>
          <w:bCs/>
        </w:rPr>
        <w:t>(r</w:t>
      </w:r>
      <w:r w:rsidR="00875265" w:rsidRPr="009F173A">
        <w:rPr>
          <w:bCs/>
        </w:rPr>
        <w:t xml:space="preserve"> </w:t>
      </w:r>
      <w:r w:rsidR="00F866AE" w:rsidRPr="009F173A">
        <w:rPr>
          <w:bCs/>
        </w:rPr>
        <w:t>= 0.44, p = 0.00</w:t>
      </w:r>
      <w:r w:rsidR="003A13AC" w:rsidRPr="009F173A">
        <w:rPr>
          <w:bCs/>
        </w:rPr>
        <w:t>3</w:t>
      </w:r>
      <w:r w:rsidR="00D01591" w:rsidRPr="009F173A">
        <w:rPr>
          <w:bCs/>
        </w:rPr>
        <w:t>, 95%CI 0.26 to 1</w:t>
      </w:r>
      <w:r w:rsidR="00F866AE" w:rsidRPr="009F173A">
        <w:rPr>
          <w:bCs/>
        </w:rPr>
        <w:t xml:space="preserve">).  </w:t>
      </w:r>
      <w:r w:rsidR="003A13AC" w:rsidRPr="009F173A">
        <w:rPr>
          <w:bCs/>
        </w:rPr>
        <w:t>Figure</w:t>
      </w:r>
      <w:r w:rsidRPr="009F173A">
        <w:rPr>
          <w:bCs/>
        </w:rPr>
        <w:t xml:space="preserve"> 1 </w:t>
      </w:r>
      <w:r w:rsidR="003A13AC" w:rsidRPr="009F173A">
        <w:rPr>
          <w:bCs/>
        </w:rPr>
        <w:t>presents Bland-Altman plots</w:t>
      </w:r>
      <w:r w:rsidR="00477D94" w:rsidRPr="009F173A">
        <w:rPr>
          <w:bCs/>
        </w:rPr>
        <w:t xml:space="preserve"> of %</w:t>
      </w:r>
      <w:r w:rsidR="003B71E6" w:rsidRPr="009F173A">
        <w:rPr>
          <w:bCs/>
        </w:rPr>
        <w:t>FM</w:t>
      </w:r>
      <w:r w:rsidR="00477D94" w:rsidRPr="009F173A">
        <w:rPr>
          <w:bCs/>
          <w:vertAlign w:val="subscript"/>
        </w:rPr>
        <w:t>ADP</w:t>
      </w:r>
      <w:r w:rsidR="00477D94" w:rsidRPr="009F173A">
        <w:rPr>
          <w:bCs/>
        </w:rPr>
        <w:t xml:space="preserve"> and %</w:t>
      </w:r>
      <w:r w:rsidR="003B71E6" w:rsidRPr="009F173A">
        <w:rPr>
          <w:bCs/>
        </w:rPr>
        <w:t>FM</w:t>
      </w:r>
      <w:r w:rsidR="00477D94" w:rsidRPr="009F173A">
        <w:rPr>
          <w:bCs/>
          <w:vertAlign w:val="subscript"/>
        </w:rPr>
        <w:t>BIA</w:t>
      </w:r>
      <w:r w:rsidR="003A13AC" w:rsidRPr="009F173A">
        <w:rPr>
          <w:bCs/>
        </w:rPr>
        <w:t xml:space="preserve"> for all participants, </w:t>
      </w:r>
      <w:r w:rsidR="002851E1" w:rsidRPr="009F173A">
        <w:rPr>
          <w:bCs/>
        </w:rPr>
        <w:t>those with</w:t>
      </w:r>
      <w:r w:rsidR="003A13AC" w:rsidRPr="009F173A">
        <w:rPr>
          <w:bCs/>
        </w:rPr>
        <w:t xml:space="preserve"> obes</w:t>
      </w:r>
      <w:r w:rsidR="002851E1" w:rsidRPr="009F173A">
        <w:rPr>
          <w:bCs/>
        </w:rPr>
        <w:t>ity</w:t>
      </w:r>
      <w:r w:rsidR="003A13AC" w:rsidRPr="009F173A">
        <w:rPr>
          <w:bCs/>
        </w:rPr>
        <w:t xml:space="preserve">, and </w:t>
      </w:r>
      <w:r w:rsidR="002851E1" w:rsidRPr="009F173A">
        <w:rPr>
          <w:bCs/>
        </w:rPr>
        <w:t>those without</w:t>
      </w:r>
      <w:r w:rsidR="003A13AC" w:rsidRPr="009F173A">
        <w:rPr>
          <w:bCs/>
        </w:rPr>
        <w:t xml:space="preserve"> </w:t>
      </w:r>
      <w:r w:rsidR="002851E1" w:rsidRPr="009F173A">
        <w:rPr>
          <w:bCs/>
        </w:rPr>
        <w:t>obesity</w:t>
      </w:r>
      <w:r w:rsidR="003A13AC" w:rsidRPr="009F173A">
        <w:rPr>
          <w:bCs/>
        </w:rPr>
        <w:t>.</w:t>
      </w:r>
      <w:r w:rsidR="00BE03BF" w:rsidRPr="009F173A">
        <w:rPr>
          <w:bCs/>
        </w:rPr>
        <w:t xml:space="preserve">  No </w:t>
      </w:r>
      <w:r w:rsidR="00CC70E5" w:rsidRPr="009F173A">
        <w:rPr>
          <w:bCs/>
        </w:rPr>
        <w:t xml:space="preserve">proportional </w:t>
      </w:r>
      <w:r w:rsidR="00BE03BF" w:rsidRPr="009F173A">
        <w:rPr>
          <w:bCs/>
        </w:rPr>
        <w:t>bias was detected (</w:t>
      </w:r>
      <w:r w:rsidR="006A7D83" w:rsidRPr="009F173A">
        <w:rPr>
          <w:bCs/>
        </w:rPr>
        <w:t xml:space="preserve">r </w:t>
      </w:r>
      <w:r w:rsidR="00BE03BF" w:rsidRPr="009F173A">
        <w:rPr>
          <w:bCs/>
        </w:rPr>
        <w:t>= 0.001) meaning agreement between measures was not affected by the magnitude of %</w:t>
      </w:r>
      <w:r w:rsidR="003B71E6" w:rsidRPr="009F173A">
        <w:rPr>
          <w:bCs/>
        </w:rPr>
        <w:t>FM</w:t>
      </w:r>
      <w:r w:rsidR="00BE03BF" w:rsidRPr="009F173A">
        <w:rPr>
          <w:bCs/>
        </w:rPr>
        <w:t>.</w:t>
      </w:r>
      <w:r w:rsidR="003A13AC" w:rsidRPr="009F173A">
        <w:rPr>
          <w:bCs/>
        </w:rPr>
        <w:t xml:space="preserve">  </w:t>
      </w:r>
    </w:p>
    <w:p w14:paraId="6AD7F3CB" w14:textId="79B0ABC1" w:rsidR="00875265" w:rsidRPr="009F173A" w:rsidRDefault="00875265" w:rsidP="0079797A">
      <w:pPr>
        <w:spacing w:after="0" w:line="276" w:lineRule="auto"/>
        <w:rPr>
          <w:bCs/>
        </w:rPr>
      </w:pPr>
    </w:p>
    <w:p w14:paraId="09B9F271" w14:textId="6CEE9FFA" w:rsidR="00875265" w:rsidRPr="009F173A" w:rsidRDefault="00875265" w:rsidP="0079797A">
      <w:pPr>
        <w:spacing w:after="0" w:line="276" w:lineRule="auto"/>
        <w:rPr>
          <w:bCs/>
        </w:rPr>
      </w:pPr>
      <w:bookmarkStart w:id="26" w:name="_Hlk108080758"/>
      <w:r w:rsidRPr="009F173A">
        <w:rPr>
          <w:bCs/>
        </w:rPr>
        <w:t>Table</w:t>
      </w:r>
      <w:r w:rsidR="00BE7B60" w:rsidRPr="009F173A">
        <w:rPr>
          <w:bCs/>
        </w:rPr>
        <w:t xml:space="preserve"> </w:t>
      </w:r>
      <w:r w:rsidR="0042500E" w:rsidRPr="009F173A">
        <w:rPr>
          <w:bCs/>
        </w:rPr>
        <w:t>4</w:t>
      </w:r>
      <w:r w:rsidR="00BE7B60" w:rsidRPr="009F173A">
        <w:rPr>
          <w:bCs/>
        </w:rPr>
        <w:t xml:space="preserve">. </w:t>
      </w:r>
    </w:p>
    <w:bookmarkEnd w:id="26"/>
    <w:p w14:paraId="530EFFD4" w14:textId="77777777" w:rsidR="007B5A79" w:rsidRPr="009F173A" w:rsidRDefault="007B5A79" w:rsidP="0079797A">
      <w:pPr>
        <w:spacing w:after="0" w:line="276" w:lineRule="auto"/>
        <w:rPr>
          <w:bCs/>
        </w:rPr>
      </w:pPr>
    </w:p>
    <w:p w14:paraId="01794DFF" w14:textId="2B8631FC" w:rsidR="007B5A79" w:rsidRPr="009F173A" w:rsidRDefault="007B5A79" w:rsidP="0079797A">
      <w:pPr>
        <w:spacing w:after="0" w:line="276" w:lineRule="auto"/>
        <w:rPr>
          <w:bCs/>
        </w:rPr>
      </w:pPr>
      <w:bookmarkStart w:id="27" w:name="_Hlk108080781"/>
    </w:p>
    <w:bookmarkEnd w:id="27"/>
    <w:p w14:paraId="1F9179E9" w14:textId="4AD9ABCF" w:rsidR="00CC70E5" w:rsidRPr="009F173A" w:rsidRDefault="00CC70E5" w:rsidP="00CC70E5">
      <w:pPr>
        <w:spacing w:after="0" w:line="276" w:lineRule="auto"/>
        <w:rPr>
          <w:bCs/>
        </w:rPr>
      </w:pPr>
      <w:r w:rsidRPr="009F173A">
        <w:rPr>
          <w:bCs/>
        </w:rPr>
        <w:t xml:space="preserve">Figure 1.  </w:t>
      </w:r>
    </w:p>
    <w:p w14:paraId="681882BC" w14:textId="77777777" w:rsidR="007B5A79" w:rsidRPr="009F173A" w:rsidRDefault="007B5A79" w:rsidP="0079797A">
      <w:pPr>
        <w:spacing w:after="0" w:line="276" w:lineRule="auto"/>
        <w:rPr>
          <w:bCs/>
        </w:rPr>
      </w:pPr>
    </w:p>
    <w:p w14:paraId="660EB718" w14:textId="77777777" w:rsidR="007B5A79" w:rsidRPr="009F173A" w:rsidRDefault="007B5A79" w:rsidP="0079797A">
      <w:pPr>
        <w:spacing w:after="0" w:line="276" w:lineRule="auto"/>
        <w:rPr>
          <w:bCs/>
        </w:rPr>
      </w:pPr>
    </w:p>
    <w:p w14:paraId="6BE5EFE0" w14:textId="0F5C6155" w:rsidR="005F63BB" w:rsidRPr="009F173A" w:rsidRDefault="005F63BB" w:rsidP="0079797A">
      <w:pPr>
        <w:spacing w:after="0" w:line="276" w:lineRule="auto"/>
        <w:rPr>
          <w:bCs/>
        </w:rPr>
      </w:pPr>
      <w:r w:rsidRPr="009F173A">
        <w:rPr>
          <w:bCs/>
        </w:rPr>
        <w:t>Reliability</w:t>
      </w:r>
    </w:p>
    <w:p w14:paraId="0FD69E16" w14:textId="377B60F9" w:rsidR="001D2248" w:rsidRPr="009F173A" w:rsidRDefault="001D2248" w:rsidP="0079797A">
      <w:pPr>
        <w:spacing w:after="0" w:line="276" w:lineRule="auto"/>
        <w:rPr>
          <w:bCs/>
        </w:rPr>
      </w:pPr>
    </w:p>
    <w:p w14:paraId="1A09944E" w14:textId="1FCFE5BB" w:rsidR="00491069" w:rsidRPr="009F173A" w:rsidRDefault="00491069" w:rsidP="0079797A">
      <w:pPr>
        <w:spacing w:line="276" w:lineRule="auto"/>
        <w:rPr>
          <w:rFonts w:ascii="Calibri" w:eastAsia="Calibri" w:hAnsi="Calibri" w:cs="Times New Roman"/>
        </w:rPr>
      </w:pPr>
      <w:r w:rsidRPr="009F173A">
        <w:rPr>
          <w:bCs/>
        </w:rPr>
        <w:t>Reliability analysis revealed that ADP result</w:t>
      </w:r>
      <w:r w:rsidR="005C3C05" w:rsidRPr="009F173A">
        <w:rPr>
          <w:bCs/>
        </w:rPr>
        <w:t>ed</w:t>
      </w:r>
      <w:r w:rsidRPr="009F173A">
        <w:rPr>
          <w:bCs/>
        </w:rPr>
        <w:t xml:space="preserve"> in lower error </w:t>
      </w:r>
      <w:r w:rsidR="003D5877" w:rsidRPr="009F173A">
        <w:rPr>
          <w:bCs/>
        </w:rPr>
        <w:t>of %FM measures compared to BIA</w:t>
      </w:r>
      <w:r w:rsidR="00A229F3" w:rsidRPr="009F173A">
        <w:rPr>
          <w:bCs/>
        </w:rPr>
        <w:t>,</w:t>
      </w:r>
      <w:r w:rsidR="003D5877" w:rsidRPr="009F173A">
        <w:rPr>
          <w:bCs/>
        </w:rPr>
        <w:t xml:space="preserve"> with TEM</w:t>
      </w:r>
      <w:r w:rsidR="00466CF8" w:rsidRPr="009F173A">
        <w:rPr>
          <w:bCs/>
        </w:rPr>
        <w:t>s</w:t>
      </w:r>
      <w:r w:rsidR="003D5877" w:rsidRPr="009F173A">
        <w:rPr>
          <w:bCs/>
        </w:rPr>
        <w:t xml:space="preserve"> of </w:t>
      </w:r>
      <w:r w:rsidR="00501E4A" w:rsidRPr="009F173A">
        <w:rPr>
          <w:bCs/>
        </w:rPr>
        <w:t>0.55</w:t>
      </w:r>
      <w:r w:rsidR="003D5877" w:rsidRPr="009F173A">
        <w:rPr>
          <w:bCs/>
        </w:rPr>
        <w:t xml:space="preserve">% and </w:t>
      </w:r>
      <w:r w:rsidR="00501E4A" w:rsidRPr="009F173A">
        <w:rPr>
          <w:bCs/>
        </w:rPr>
        <w:t>0.65</w:t>
      </w:r>
      <w:r w:rsidR="003D5877" w:rsidRPr="009F173A">
        <w:rPr>
          <w:bCs/>
        </w:rPr>
        <w:t>%, respectively</w:t>
      </w:r>
      <w:r w:rsidR="0016091D" w:rsidRPr="009F173A">
        <w:rPr>
          <w:bCs/>
        </w:rPr>
        <w:t xml:space="preserve">. </w:t>
      </w:r>
      <w:r w:rsidR="003D5877" w:rsidRPr="009F173A">
        <w:rPr>
          <w:bCs/>
        </w:rPr>
        <w:t xml:space="preserve">Coefficient of reliability </w:t>
      </w:r>
      <w:r w:rsidR="00466CF8" w:rsidRPr="009F173A">
        <w:rPr>
          <w:bCs/>
        </w:rPr>
        <w:t xml:space="preserve">and ICCs </w:t>
      </w:r>
      <w:r w:rsidR="003D5877" w:rsidRPr="009F173A">
        <w:rPr>
          <w:bCs/>
        </w:rPr>
        <w:t>w</w:t>
      </w:r>
      <w:r w:rsidR="00466CF8" w:rsidRPr="009F173A">
        <w:rPr>
          <w:bCs/>
        </w:rPr>
        <w:t>ere</w:t>
      </w:r>
      <w:r w:rsidR="003D5877" w:rsidRPr="009F173A">
        <w:rPr>
          <w:bCs/>
        </w:rPr>
        <w:t xml:space="preserve"> also</w:t>
      </w:r>
      <w:r w:rsidR="00466CF8" w:rsidRPr="009F173A">
        <w:rPr>
          <w:bCs/>
        </w:rPr>
        <w:t xml:space="preserve"> higher </w:t>
      </w:r>
      <w:r w:rsidR="0016091D" w:rsidRPr="009F173A">
        <w:rPr>
          <w:bCs/>
        </w:rPr>
        <w:t xml:space="preserve">in </w:t>
      </w:r>
      <w:r w:rsidR="00E47E45" w:rsidRPr="009F173A">
        <w:rPr>
          <w:bCs/>
        </w:rPr>
        <w:t>%FM</w:t>
      </w:r>
      <w:r w:rsidR="00E47E45" w:rsidRPr="009F173A">
        <w:rPr>
          <w:bCs/>
          <w:vertAlign w:val="subscript"/>
        </w:rPr>
        <w:t>ADP</w:t>
      </w:r>
      <w:r w:rsidR="0016091D" w:rsidRPr="009F173A">
        <w:rPr>
          <w:bCs/>
        </w:rPr>
        <w:t xml:space="preserve"> measures (0.</w:t>
      </w:r>
      <w:r w:rsidR="00A04EA5" w:rsidRPr="009F173A">
        <w:rPr>
          <w:bCs/>
        </w:rPr>
        <w:t>92</w:t>
      </w:r>
      <w:r w:rsidR="0016091D" w:rsidRPr="009F173A">
        <w:rPr>
          <w:bCs/>
        </w:rPr>
        <w:t xml:space="preserve"> and 0.9</w:t>
      </w:r>
      <w:r w:rsidR="00A04EA5" w:rsidRPr="009F173A">
        <w:rPr>
          <w:bCs/>
        </w:rPr>
        <w:t xml:space="preserve">5, for </w:t>
      </w:r>
      <w:r w:rsidR="0031730F" w:rsidRPr="009F173A">
        <w:rPr>
          <w:bCs/>
        </w:rPr>
        <w:t>r</w:t>
      </w:r>
      <w:r w:rsidR="0031730F" w:rsidRPr="009F173A">
        <w:rPr>
          <w:bCs/>
          <w:vertAlign w:val="subscript"/>
        </w:rPr>
        <w:t>xx</w:t>
      </w:r>
      <w:r w:rsidR="00A04EA5" w:rsidRPr="009F173A">
        <w:rPr>
          <w:bCs/>
        </w:rPr>
        <w:t xml:space="preserve"> and ICC respectively</w:t>
      </w:r>
      <w:r w:rsidR="0016091D" w:rsidRPr="009F173A">
        <w:rPr>
          <w:bCs/>
        </w:rPr>
        <w:t xml:space="preserve">) compared to </w:t>
      </w:r>
      <w:r w:rsidR="00E47E45" w:rsidRPr="009F173A">
        <w:rPr>
          <w:bCs/>
        </w:rPr>
        <w:t>%FM</w:t>
      </w:r>
      <w:r w:rsidR="00E47E45" w:rsidRPr="009F173A">
        <w:rPr>
          <w:bCs/>
          <w:vertAlign w:val="subscript"/>
        </w:rPr>
        <w:t>BIA</w:t>
      </w:r>
      <w:r w:rsidR="0016091D" w:rsidRPr="009F173A">
        <w:rPr>
          <w:bCs/>
        </w:rPr>
        <w:t xml:space="preserve"> measures (0.</w:t>
      </w:r>
      <w:r w:rsidR="00A04EA5" w:rsidRPr="009F173A">
        <w:rPr>
          <w:bCs/>
        </w:rPr>
        <w:t>89</w:t>
      </w:r>
      <w:r w:rsidR="0016091D" w:rsidRPr="009F173A">
        <w:rPr>
          <w:bCs/>
        </w:rPr>
        <w:t xml:space="preserve"> and 0.9</w:t>
      </w:r>
      <w:r w:rsidR="00A04EA5" w:rsidRPr="009F173A">
        <w:rPr>
          <w:bCs/>
        </w:rPr>
        <w:t>3</w:t>
      </w:r>
      <w:r w:rsidR="00F61944" w:rsidRPr="009F173A">
        <w:rPr>
          <w:bCs/>
        </w:rPr>
        <w:t xml:space="preserve">; </w:t>
      </w:r>
      <w:r w:rsidRPr="009F173A">
        <w:rPr>
          <w:bCs/>
        </w:rPr>
        <w:t>Table</w:t>
      </w:r>
      <w:r w:rsidR="00BE7B60" w:rsidRPr="009F173A">
        <w:rPr>
          <w:bCs/>
        </w:rPr>
        <w:t xml:space="preserve"> </w:t>
      </w:r>
      <w:r w:rsidR="0042500E" w:rsidRPr="009F173A">
        <w:rPr>
          <w:bCs/>
        </w:rPr>
        <w:t>5</w:t>
      </w:r>
      <w:r w:rsidRPr="009F173A">
        <w:rPr>
          <w:bCs/>
        </w:rPr>
        <w:t>)</w:t>
      </w:r>
      <w:r w:rsidR="0016091D" w:rsidRPr="009F173A">
        <w:rPr>
          <w:bCs/>
        </w:rPr>
        <w:t>.</w:t>
      </w:r>
    </w:p>
    <w:p w14:paraId="30AE320B" w14:textId="77777777" w:rsidR="0042500E" w:rsidRPr="009F173A" w:rsidRDefault="0042500E" w:rsidP="0079797A">
      <w:pPr>
        <w:spacing w:line="276" w:lineRule="auto"/>
        <w:rPr>
          <w:rFonts w:ascii="Calibri" w:eastAsia="Calibri" w:hAnsi="Calibri" w:cs="Times New Roman"/>
        </w:rPr>
      </w:pPr>
      <w:bookmarkStart w:id="28" w:name="_Hlk108080820"/>
    </w:p>
    <w:p w14:paraId="13440607" w14:textId="197C2665" w:rsidR="001D2248" w:rsidRPr="009F173A" w:rsidRDefault="001D2248" w:rsidP="0079797A">
      <w:pPr>
        <w:spacing w:line="276" w:lineRule="auto"/>
        <w:rPr>
          <w:bCs/>
        </w:rPr>
      </w:pPr>
      <w:r w:rsidRPr="009F173A">
        <w:rPr>
          <w:rFonts w:ascii="Calibri" w:eastAsia="Calibri" w:hAnsi="Calibri" w:cs="Times New Roman"/>
        </w:rPr>
        <w:t>Table</w:t>
      </w:r>
      <w:r w:rsidR="00BE7B60" w:rsidRPr="009F173A">
        <w:rPr>
          <w:rFonts w:ascii="Calibri" w:eastAsia="Calibri" w:hAnsi="Calibri" w:cs="Times New Roman"/>
        </w:rPr>
        <w:t xml:space="preserve"> </w:t>
      </w:r>
      <w:r w:rsidR="0042500E" w:rsidRPr="009F173A">
        <w:rPr>
          <w:rFonts w:ascii="Calibri" w:eastAsia="Calibri" w:hAnsi="Calibri" w:cs="Times New Roman"/>
        </w:rPr>
        <w:t>5</w:t>
      </w:r>
      <w:r w:rsidR="00BE7B60" w:rsidRPr="009F173A">
        <w:rPr>
          <w:rFonts w:ascii="Calibri" w:eastAsia="Calibri" w:hAnsi="Calibri" w:cs="Times New Roman"/>
        </w:rPr>
        <w:t xml:space="preserve">.  </w:t>
      </w:r>
      <w:r w:rsidRPr="009F173A">
        <w:rPr>
          <w:rFonts w:ascii="Calibri" w:eastAsia="Calibri" w:hAnsi="Calibri" w:cs="Times New Roman"/>
        </w:rPr>
        <w:t xml:space="preserve"> </w:t>
      </w:r>
      <w:bookmarkEnd w:id="28"/>
    </w:p>
    <w:p w14:paraId="135890E7" w14:textId="1384C5CF" w:rsidR="008122CE" w:rsidRPr="009F173A" w:rsidRDefault="008122CE" w:rsidP="0079797A">
      <w:pPr>
        <w:spacing w:after="0" w:line="276" w:lineRule="auto"/>
        <w:rPr>
          <w:b/>
        </w:rPr>
      </w:pPr>
    </w:p>
    <w:p w14:paraId="67A55F7A" w14:textId="555CBB7C" w:rsidR="00E24760" w:rsidRPr="009F173A" w:rsidRDefault="00E24760" w:rsidP="0079797A">
      <w:pPr>
        <w:spacing w:after="0" w:line="276" w:lineRule="auto"/>
        <w:rPr>
          <w:b/>
        </w:rPr>
      </w:pPr>
    </w:p>
    <w:p w14:paraId="61915BDC" w14:textId="77777777" w:rsidR="00E24760" w:rsidRPr="009F173A" w:rsidRDefault="00E24760" w:rsidP="0079797A">
      <w:pPr>
        <w:spacing w:after="0" w:line="276" w:lineRule="auto"/>
        <w:rPr>
          <w:b/>
        </w:rPr>
      </w:pPr>
    </w:p>
    <w:p w14:paraId="229F8B97" w14:textId="77777777" w:rsidR="00F13937" w:rsidRPr="009F173A" w:rsidRDefault="00F13937" w:rsidP="0079797A">
      <w:pPr>
        <w:spacing w:after="0" w:line="276" w:lineRule="auto"/>
        <w:rPr>
          <w:b/>
        </w:rPr>
      </w:pPr>
    </w:p>
    <w:p w14:paraId="3C061A2F" w14:textId="7A0EBE18" w:rsidR="007A49B9" w:rsidRPr="009F173A" w:rsidRDefault="007A49B9" w:rsidP="0079797A">
      <w:pPr>
        <w:spacing w:after="0" w:line="276" w:lineRule="auto"/>
        <w:rPr>
          <w:b/>
        </w:rPr>
      </w:pPr>
      <w:r w:rsidRPr="009F173A">
        <w:rPr>
          <w:b/>
        </w:rPr>
        <w:t>Discussion</w:t>
      </w:r>
    </w:p>
    <w:p w14:paraId="74A4B828" w14:textId="6E39D4A2" w:rsidR="007C572C" w:rsidRPr="009F173A" w:rsidRDefault="007C572C" w:rsidP="0079797A">
      <w:pPr>
        <w:spacing w:after="0" w:line="276" w:lineRule="auto"/>
        <w:rPr>
          <w:bCs/>
        </w:rPr>
      </w:pPr>
    </w:p>
    <w:p w14:paraId="3B9F3FAA" w14:textId="4E362900" w:rsidR="007C572C" w:rsidRPr="009F173A" w:rsidRDefault="003F6444" w:rsidP="0079797A">
      <w:pPr>
        <w:spacing w:after="0" w:line="276" w:lineRule="auto"/>
        <w:rPr>
          <w:bCs/>
        </w:rPr>
      </w:pPr>
      <w:r w:rsidRPr="009F173A">
        <w:rPr>
          <w:bCs/>
        </w:rPr>
        <w:t>The aim of this study was to compare validity of %FM</w:t>
      </w:r>
      <w:r w:rsidRPr="009F173A">
        <w:rPr>
          <w:bCs/>
          <w:vertAlign w:val="subscript"/>
        </w:rPr>
        <w:t>BIA</w:t>
      </w:r>
      <w:r w:rsidRPr="009F173A">
        <w:rPr>
          <w:bCs/>
        </w:rPr>
        <w:t xml:space="preserve"> to the ‘standard’ %FM</w:t>
      </w:r>
      <w:r w:rsidRPr="009F173A">
        <w:rPr>
          <w:bCs/>
          <w:vertAlign w:val="subscript"/>
        </w:rPr>
        <w:t>ADP</w:t>
      </w:r>
      <w:r w:rsidRPr="009F173A">
        <w:rPr>
          <w:bCs/>
        </w:rPr>
        <w:t xml:space="preserve"> and assess </w:t>
      </w:r>
      <w:r w:rsidR="00B209FF" w:rsidRPr="009F173A">
        <w:rPr>
          <w:bCs/>
        </w:rPr>
        <w:t>intra-day</w:t>
      </w:r>
      <w:r w:rsidRPr="009F173A">
        <w:rPr>
          <w:bCs/>
        </w:rPr>
        <w:t xml:space="preserve"> reliability of both methods in the same cohort. </w:t>
      </w:r>
      <w:r w:rsidR="007C572C" w:rsidRPr="009F173A">
        <w:rPr>
          <w:bCs/>
        </w:rPr>
        <w:t>Compared to ADP, BIA underestimated %</w:t>
      </w:r>
      <w:r w:rsidR="00EA060E" w:rsidRPr="009F173A">
        <w:rPr>
          <w:bCs/>
        </w:rPr>
        <w:t>FM</w:t>
      </w:r>
      <w:r w:rsidR="007C572C" w:rsidRPr="009F173A">
        <w:rPr>
          <w:bCs/>
        </w:rPr>
        <w:t xml:space="preserve"> in the study population</w:t>
      </w:r>
      <w:r w:rsidR="00C2527D" w:rsidRPr="009F173A">
        <w:rPr>
          <w:bCs/>
        </w:rPr>
        <w:t>,</w:t>
      </w:r>
      <w:r w:rsidR="001A4430" w:rsidRPr="009F173A">
        <w:rPr>
          <w:bCs/>
        </w:rPr>
        <w:t xml:space="preserve"> </w:t>
      </w:r>
      <w:r w:rsidR="00C2527D" w:rsidRPr="009F173A">
        <w:rPr>
          <w:bCs/>
        </w:rPr>
        <w:t xml:space="preserve">but there was no bias </w:t>
      </w:r>
      <w:r w:rsidRPr="009F173A">
        <w:rPr>
          <w:bCs/>
        </w:rPr>
        <w:t>in differences</w:t>
      </w:r>
      <w:r w:rsidR="001A4430" w:rsidRPr="009F173A">
        <w:rPr>
          <w:bCs/>
        </w:rPr>
        <w:t xml:space="preserve"> between methods</w:t>
      </w:r>
      <w:r w:rsidRPr="009F173A">
        <w:rPr>
          <w:bCs/>
        </w:rPr>
        <w:t xml:space="preserve"> relating to </w:t>
      </w:r>
      <w:r w:rsidR="001A4430" w:rsidRPr="009F173A">
        <w:rPr>
          <w:bCs/>
        </w:rPr>
        <w:t xml:space="preserve">obesity status (i.e. </w:t>
      </w:r>
      <w:r w:rsidRPr="009F173A">
        <w:rPr>
          <w:bCs/>
        </w:rPr>
        <w:t>magnitude of %FM</w:t>
      </w:r>
      <w:r w:rsidR="001A4430" w:rsidRPr="009F173A">
        <w:rPr>
          <w:bCs/>
        </w:rPr>
        <w:t>)</w:t>
      </w:r>
      <w:r w:rsidR="00C2527D" w:rsidRPr="009F173A">
        <w:rPr>
          <w:bCs/>
        </w:rPr>
        <w:t>.  Despite the significant correlation, there was a significant difference</w:t>
      </w:r>
      <w:r w:rsidR="00A47135" w:rsidRPr="009F173A">
        <w:rPr>
          <w:bCs/>
        </w:rPr>
        <w:t xml:space="preserve"> and large limits of agreement</w:t>
      </w:r>
      <w:r w:rsidR="00C2527D" w:rsidRPr="009F173A">
        <w:rPr>
          <w:bCs/>
        </w:rPr>
        <w:t xml:space="preserve"> between measures of </w:t>
      </w:r>
      <w:r w:rsidRPr="009F173A">
        <w:rPr>
          <w:bCs/>
        </w:rPr>
        <w:t>%FM</w:t>
      </w:r>
      <w:r w:rsidRPr="009F173A">
        <w:rPr>
          <w:bCs/>
          <w:vertAlign w:val="subscript"/>
        </w:rPr>
        <w:t>BIA</w:t>
      </w:r>
      <w:r w:rsidRPr="009F173A">
        <w:rPr>
          <w:bCs/>
        </w:rPr>
        <w:t xml:space="preserve"> and %FM</w:t>
      </w:r>
      <w:r w:rsidRPr="009F173A">
        <w:rPr>
          <w:bCs/>
          <w:vertAlign w:val="subscript"/>
        </w:rPr>
        <w:t>ADP</w:t>
      </w:r>
      <w:r w:rsidR="00C2527D" w:rsidRPr="009F173A">
        <w:rPr>
          <w:bCs/>
        </w:rPr>
        <w:t xml:space="preserve">. </w:t>
      </w:r>
      <w:r w:rsidRPr="009F173A">
        <w:rPr>
          <w:bCs/>
        </w:rPr>
        <w:t xml:space="preserve"> The </w:t>
      </w:r>
      <w:r w:rsidR="00DE6C92" w:rsidRPr="009F173A">
        <w:rPr>
          <w:bCs/>
        </w:rPr>
        <w:t xml:space="preserve">reliability </w:t>
      </w:r>
      <w:r w:rsidRPr="009F173A">
        <w:rPr>
          <w:bCs/>
        </w:rPr>
        <w:t xml:space="preserve">findings </w:t>
      </w:r>
      <w:r w:rsidR="007D782F" w:rsidRPr="009F173A">
        <w:rPr>
          <w:bCs/>
        </w:rPr>
        <w:t>reported in</w:t>
      </w:r>
      <w:r w:rsidRPr="009F173A">
        <w:rPr>
          <w:bCs/>
        </w:rPr>
        <w:t xml:space="preserve"> this study reveal</w:t>
      </w:r>
      <w:r w:rsidR="00DE6C92" w:rsidRPr="009F173A">
        <w:rPr>
          <w:bCs/>
        </w:rPr>
        <w:t xml:space="preserve"> that %FM</w:t>
      </w:r>
      <w:r w:rsidR="00DE6C92" w:rsidRPr="009F173A">
        <w:rPr>
          <w:bCs/>
          <w:vertAlign w:val="subscript"/>
        </w:rPr>
        <w:t>ADP</w:t>
      </w:r>
      <w:r w:rsidR="00DE6C92" w:rsidRPr="009F173A">
        <w:rPr>
          <w:bCs/>
        </w:rPr>
        <w:t xml:space="preserve"> is a more reliable measure compared %FM</w:t>
      </w:r>
      <w:r w:rsidR="00DE6C92" w:rsidRPr="009F173A">
        <w:rPr>
          <w:bCs/>
          <w:vertAlign w:val="subscript"/>
        </w:rPr>
        <w:t>BIA</w:t>
      </w:r>
      <w:r w:rsidR="00DE6C92" w:rsidRPr="009F173A">
        <w:rPr>
          <w:bCs/>
        </w:rPr>
        <w:t xml:space="preserve">, but both methods </w:t>
      </w:r>
      <w:r w:rsidR="007D782F" w:rsidRPr="009F173A">
        <w:rPr>
          <w:bCs/>
        </w:rPr>
        <w:t>were</w:t>
      </w:r>
      <w:r w:rsidRPr="009F173A">
        <w:rPr>
          <w:bCs/>
        </w:rPr>
        <w:t xml:space="preserve"> </w:t>
      </w:r>
      <w:r w:rsidR="00DE6C92" w:rsidRPr="009F173A">
        <w:rPr>
          <w:bCs/>
        </w:rPr>
        <w:t xml:space="preserve">highly reliable in </w:t>
      </w:r>
      <w:r w:rsidR="007D782F" w:rsidRPr="009F173A">
        <w:rPr>
          <w:bCs/>
        </w:rPr>
        <w:t>the</w:t>
      </w:r>
      <w:r w:rsidR="00DE6C92" w:rsidRPr="009F173A">
        <w:rPr>
          <w:bCs/>
        </w:rPr>
        <w:t xml:space="preserve"> cohort</w:t>
      </w:r>
      <w:r w:rsidRPr="009F173A">
        <w:rPr>
          <w:bCs/>
        </w:rPr>
        <w:t>.</w:t>
      </w:r>
    </w:p>
    <w:p w14:paraId="29D1D124" w14:textId="71512B04" w:rsidR="00C2527D" w:rsidRPr="009F173A" w:rsidRDefault="00C2527D" w:rsidP="0079797A">
      <w:pPr>
        <w:spacing w:after="0" w:line="276" w:lineRule="auto"/>
        <w:rPr>
          <w:bCs/>
        </w:rPr>
      </w:pPr>
    </w:p>
    <w:p w14:paraId="6AA50B28" w14:textId="77777777" w:rsidR="003F6444" w:rsidRPr="009F173A" w:rsidRDefault="003F6444" w:rsidP="0079797A">
      <w:pPr>
        <w:spacing w:after="0" w:line="276" w:lineRule="auto"/>
        <w:rPr>
          <w:bCs/>
        </w:rPr>
      </w:pPr>
      <w:r w:rsidRPr="009F173A">
        <w:rPr>
          <w:bCs/>
        </w:rPr>
        <w:t>Concurrent Validity</w:t>
      </w:r>
    </w:p>
    <w:p w14:paraId="58A9FEA2" w14:textId="77777777" w:rsidR="003F6444" w:rsidRPr="009F173A" w:rsidRDefault="003F6444" w:rsidP="0079797A">
      <w:pPr>
        <w:spacing w:after="0" w:line="276" w:lineRule="auto"/>
        <w:rPr>
          <w:bCs/>
        </w:rPr>
      </w:pPr>
    </w:p>
    <w:p w14:paraId="7CB943A3" w14:textId="07D72567" w:rsidR="00ED413B" w:rsidRPr="009F173A" w:rsidRDefault="007D782F" w:rsidP="0079797A">
      <w:pPr>
        <w:spacing w:after="0" w:line="276" w:lineRule="auto"/>
        <w:rPr>
          <w:bCs/>
        </w:rPr>
      </w:pPr>
      <w:r w:rsidRPr="009F173A">
        <w:rPr>
          <w:bCs/>
        </w:rPr>
        <w:t>U</w:t>
      </w:r>
      <w:r w:rsidR="00A47135" w:rsidRPr="009F173A">
        <w:rPr>
          <w:bCs/>
        </w:rPr>
        <w:t>nderestimation of %FM</w:t>
      </w:r>
      <w:r w:rsidR="00A47135" w:rsidRPr="009F173A">
        <w:rPr>
          <w:bCs/>
          <w:vertAlign w:val="subscript"/>
        </w:rPr>
        <w:t>BIA</w:t>
      </w:r>
      <w:r w:rsidR="00A47135" w:rsidRPr="009F173A">
        <w:rPr>
          <w:bCs/>
        </w:rPr>
        <w:t xml:space="preserve"> compared %FM</w:t>
      </w:r>
      <w:r w:rsidR="00A47135" w:rsidRPr="009F173A">
        <w:rPr>
          <w:bCs/>
          <w:vertAlign w:val="subscript"/>
        </w:rPr>
        <w:t>ADP</w:t>
      </w:r>
      <w:r w:rsidR="00A47135" w:rsidRPr="009F173A">
        <w:rPr>
          <w:bCs/>
        </w:rPr>
        <w:t xml:space="preserve"> in the current study is in general agreement with previous studies.</w:t>
      </w:r>
      <w:r w:rsidR="00AA10BA" w:rsidRPr="009F173A">
        <w:rPr>
          <w:bCs/>
          <w:vertAlign w:val="superscript"/>
        </w:rPr>
        <w:t>2</w:t>
      </w:r>
      <w:r w:rsidR="00457FA4" w:rsidRPr="009F173A">
        <w:rPr>
          <w:bCs/>
          <w:vertAlign w:val="superscript"/>
        </w:rPr>
        <w:t>0</w:t>
      </w:r>
      <w:r w:rsidR="00AA10BA" w:rsidRPr="009F173A">
        <w:rPr>
          <w:bCs/>
          <w:vertAlign w:val="superscript"/>
        </w:rPr>
        <w:t>,2</w:t>
      </w:r>
      <w:r w:rsidR="00457FA4" w:rsidRPr="009F173A">
        <w:rPr>
          <w:bCs/>
          <w:vertAlign w:val="superscript"/>
        </w:rPr>
        <w:t>1</w:t>
      </w:r>
      <w:r w:rsidR="00AA10BA" w:rsidRPr="009F173A">
        <w:rPr>
          <w:bCs/>
          <w:vertAlign w:val="superscript"/>
        </w:rPr>
        <w:t>,2</w:t>
      </w:r>
      <w:r w:rsidR="00457FA4" w:rsidRPr="009F173A">
        <w:rPr>
          <w:bCs/>
          <w:vertAlign w:val="superscript"/>
        </w:rPr>
        <w:t>3</w:t>
      </w:r>
      <w:r w:rsidR="00AA10BA" w:rsidRPr="009F173A">
        <w:rPr>
          <w:bCs/>
          <w:vertAlign w:val="superscript"/>
        </w:rPr>
        <w:t>,4</w:t>
      </w:r>
      <w:r w:rsidR="00457FA4" w:rsidRPr="009F173A">
        <w:rPr>
          <w:bCs/>
          <w:vertAlign w:val="superscript"/>
        </w:rPr>
        <w:t>0</w:t>
      </w:r>
      <w:r w:rsidR="00DB4D66" w:rsidRPr="009F173A">
        <w:rPr>
          <w:bCs/>
        </w:rPr>
        <w:t xml:space="preserve"> Previous studies have shown %FM</w:t>
      </w:r>
      <w:r w:rsidR="00DB4D66" w:rsidRPr="009F173A">
        <w:rPr>
          <w:bCs/>
          <w:vertAlign w:val="subscript"/>
        </w:rPr>
        <w:t xml:space="preserve">BIA </w:t>
      </w:r>
      <w:r w:rsidR="00DB4D66" w:rsidRPr="009F173A">
        <w:rPr>
          <w:bCs/>
        </w:rPr>
        <w:t>to be underestimated by 0.5 – 5.6% in children and adolescents</w:t>
      </w:r>
      <w:r w:rsidR="00543B64" w:rsidRPr="009F173A">
        <w:rPr>
          <w:bCs/>
        </w:rPr>
        <w:t xml:space="preserve"> </w:t>
      </w:r>
      <w:r w:rsidR="001A4430" w:rsidRPr="009F173A">
        <w:rPr>
          <w:bCs/>
        </w:rPr>
        <w:t>compared to %FM</w:t>
      </w:r>
      <w:r w:rsidR="001A4430" w:rsidRPr="009F173A">
        <w:rPr>
          <w:bCs/>
          <w:vertAlign w:val="subscript"/>
        </w:rPr>
        <w:t>ADP</w:t>
      </w:r>
      <w:r w:rsidR="00DB4D66" w:rsidRPr="009F173A">
        <w:rPr>
          <w:bCs/>
        </w:rPr>
        <w:t>; although some %FM</w:t>
      </w:r>
      <w:r w:rsidR="00DB4D66" w:rsidRPr="009F173A">
        <w:rPr>
          <w:bCs/>
          <w:vertAlign w:val="subscript"/>
        </w:rPr>
        <w:t>BIA</w:t>
      </w:r>
      <w:r w:rsidR="00DB4D66" w:rsidRPr="009F173A">
        <w:rPr>
          <w:bCs/>
        </w:rPr>
        <w:t xml:space="preserve"> prediction equations </w:t>
      </w:r>
      <w:r w:rsidR="00061EDD" w:rsidRPr="009F173A">
        <w:rPr>
          <w:bCs/>
        </w:rPr>
        <w:t xml:space="preserve">have </w:t>
      </w:r>
      <w:r w:rsidR="00DB4D66" w:rsidRPr="009F173A">
        <w:rPr>
          <w:bCs/>
        </w:rPr>
        <w:t>result</w:t>
      </w:r>
      <w:r w:rsidR="00061EDD" w:rsidRPr="009F173A">
        <w:rPr>
          <w:bCs/>
        </w:rPr>
        <w:t>ed</w:t>
      </w:r>
      <w:r w:rsidR="00DB4D66" w:rsidRPr="009F173A">
        <w:rPr>
          <w:bCs/>
        </w:rPr>
        <w:t xml:space="preserve"> in an overestimation.</w:t>
      </w:r>
      <w:r w:rsidR="00AA10BA" w:rsidRPr="009F173A">
        <w:rPr>
          <w:bCs/>
          <w:vertAlign w:val="superscript"/>
        </w:rPr>
        <w:t>2</w:t>
      </w:r>
      <w:r w:rsidR="00457FA4" w:rsidRPr="009F173A">
        <w:rPr>
          <w:bCs/>
          <w:vertAlign w:val="superscript"/>
        </w:rPr>
        <w:t>1</w:t>
      </w:r>
      <w:r w:rsidR="00DB4D66" w:rsidRPr="009F173A">
        <w:rPr>
          <w:bCs/>
        </w:rPr>
        <w:t xml:space="preserve"> </w:t>
      </w:r>
      <w:r w:rsidR="00B946FD" w:rsidRPr="009F173A">
        <w:rPr>
          <w:bCs/>
        </w:rPr>
        <w:t>The mean underestimation of 3.4% found in the present study is within the range previously reported.  The differences between %FM</w:t>
      </w:r>
      <w:r w:rsidR="00B946FD" w:rsidRPr="009F173A">
        <w:rPr>
          <w:bCs/>
          <w:vertAlign w:val="subscript"/>
        </w:rPr>
        <w:t>BIA</w:t>
      </w:r>
      <w:r w:rsidR="00B946FD" w:rsidRPr="009F173A">
        <w:rPr>
          <w:bCs/>
        </w:rPr>
        <w:t xml:space="preserve"> and %FM</w:t>
      </w:r>
      <w:r w:rsidR="00B946FD" w:rsidRPr="009F173A">
        <w:rPr>
          <w:bCs/>
          <w:vertAlign w:val="subscript"/>
        </w:rPr>
        <w:t>ADP</w:t>
      </w:r>
      <w:r w:rsidR="00B946FD" w:rsidRPr="009F173A">
        <w:rPr>
          <w:bCs/>
        </w:rPr>
        <w:t xml:space="preserve"> within the </w:t>
      </w:r>
      <w:r w:rsidR="002851E1" w:rsidRPr="009F173A">
        <w:rPr>
          <w:bCs/>
        </w:rPr>
        <w:t xml:space="preserve">with- and without </w:t>
      </w:r>
      <w:r w:rsidR="00B946FD" w:rsidRPr="009F173A">
        <w:rPr>
          <w:bCs/>
        </w:rPr>
        <w:t>obes</w:t>
      </w:r>
      <w:r w:rsidR="002851E1" w:rsidRPr="009F173A">
        <w:rPr>
          <w:bCs/>
        </w:rPr>
        <w:t>ity</w:t>
      </w:r>
      <w:r w:rsidR="00B946FD" w:rsidRPr="009F173A">
        <w:rPr>
          <w:bCs/>
        </w:rPr>
        <w:t xml:space="preserve"> groups also agree with Azcona et al</w:t>
      </w:r>
      <w:r w:rsidR="00AA10BA" w:rsidRPr="009F173A">
        <w:rPr>
          <w:bCs/>
          <w:vertAlign w:val="superscript"/>
        </w:rPr>
        <w:t>2</w:t>
      </w:r>
      <w:r w:rsidR="00457FA4" w:rsidRPr="009F173A">
        <w:rPr>
          <w:bCs/>
          <w:vertAlign w:val="superscript"/>
        </w:rPr>
        <w:t>3</w:t>
      </w:r>
      <w:r w:rsidR="00E6605C" w:rsidRPr="009F173A">
        <w:rPr>
          <w:bCs/>
        </w:rPr>
        <w:t xml:space="preserve"> who</w:t>
      </w:r>
      <w:r w:rsidR="001E5F71" w:rsidRPr="009F173A">
        <w:rPr>
          <w:bCs/>
        </w:rPr>
        <w:t xml:space="preserve"> </w:t>
      </w:r>
      <w:r w:rsidR="0002098D" w:rsidRPr="009F173A">
        <w:rPr>
          <w:bCs/>
        </w:rPr>
        <w:t xml:space="preserve">reported </w:t>
      </w:r>
      <w:r w:rsidR="001E5F71" w:rsidRPr="009F173A">
        <w:rPr>
          <w:bCs/>
        </w:rPr>
        <w:t xml:space="preserve">mean underestimation of </w:t>
      </w:r>
      <w:r w:rsidR="0076201D" w:rsidRPr="009F173A">
        <w:rPr>
          <w:bCs/>
        </w:rPr>
        <w:t>%FM</w:t>
      </w:r>
      <w:r w:rsidR="0076201D" w:rsidRPr="009F173A">
        <w:rPr>
          <w:bCs/>
          <w:vertAlign w:val="subscript"/>
        </w:rPr>
        <w:t>BIA</w:t>
      </w:r>
      <w:r w:rsidR="001E5F71" w:rsidRPr="009F173A">
        <w:rPr>
          <w:bCs/>
        </w:rPr>
        <w:t xml:space="preserve"> compared to </w:t>
      </w:r>
      <w:r w:rsidR="0076201D" w:rsidRPr="009F173A">
        <w:rPr>
          <w:bCs/>
        </w:rPr>
        <w:t>%FM</w:t>
      </w:r>
      <w:r w:rsidR="0076201D" w:rsidRPr="009F173A">
        <w:rPr>
          <w:bCs/>
          <w:vertAlign w:val="subscript"/>
        </w:rPr>
        <w:t>ADP</w:t>
      </w:r>
      <w:r w:rsidR="001E5F71" w:rsidRPr="009F173A">
        <w:rPr>
          <w:bCs/>
        </w:rPr>
        <w:t xml:space="preserve"> </w:t>
      </w:r>
      <w:r w:rsidR="00955B2C" w:rsidRPr="009F173A">
        <w:rPr>
          <w:bCs/>
        </w:rPr>
        <w:t>among</w:t>
      </w:r>
      <w:r w:rsidR="0076201D" w:rsidRPr="009F173A">
        <w:rPr>
          <w:rFonts w:cstheme="minorHAnsi"/>
          <w:bCs/>
        </w:rPr>
        <w:t xml:space="preserve"> </w:t>
      </w:r>
      <w:r w:rsidR="00955B2C" w:rsidRPr="009F173A">
        <w:rPr>
          <w:rFonts w:cstheme="minorHAnsi"/>
          <w:bCs/>
        </w:rPr>
        <w:t xml:space="preserve">the </w:t>
      </w:r>
      <w:r w:rsidR="0076201D" w:rsidRPr="009F173A">
        <w:rPr>
          <w:rFonts w:cstheme="minorHAnsi"/>
          <w:bCs/>
        </w:rPr>
        <w:t>full sample</w:t>
      </w:r>
      <w:r w:rsidR="00955B2C" w:rsidRPr="009F173A">
        <w:rPr>
          <w:rFonts w:cstheme="minorHAnsi"/>
          <w:bCs/>
        </w:rPr>
        <w:t xml:space="preserve"> (3.39%)</w:t>
      </w:r>
      <w:r w:rsidR="0076201D" w:rsidRPr="009F173A">
        <w:rPr>
          <w:rFonts w:cstheme="minorHAnsi"/>
          <w:bCs/>
        </w:rPr>
        <w:t xml:space="preserve">, </w:t>
      </w:r>
      <w:r w:rsidR="002851E1" w:rsidRPr="009F173A">
        <w:rPr>
          <w:rFonts w:cstheme="minorHAnsi"/>
          <w:bCs/>
        </w:rPr>
        <w:t xml:space="preserve">without </w:t>
      </w:r>
      <w:r w:rsidR="0076201D" w:rsidRPr="009F173A">
        <w:rPr>
          <w:rFonts w:cstheme="minorHAnsi"/>
          <w:bCs/>
        </w:rPr>
        <w:t>obese</w:t>
      </w:r>
      <w:r w:rsidR="00955B2C" w:rsidRPr="009F173A">
        <w:rPr>
          <w:rFonts w:cstheme="minorHAnsi"/>
          <w:bCs/>
        </w:rPr>
        <w:t xml:space="preserve"> (2.49%)</w:t>
      </w:r>
      <w:r w:rsidR="0076201D" w:rsidRPr="009F173A">
        <w:rPr>
          <w:rFonts w:cstheme="minorHAnsi"/>
          <w:bCs/>
        </w:rPr>
        <w:t xml:space="preserve"> and</w:t>
      </w:r>
      <w:r w:rsidR="002851E1" w:rsidRPr="009F173A">
        <w:rPr>
          <w:rFonts w:cstheme="minorHAnsi"/>
          <w:bCs/>
        </w:rPr>
        <w:t xml:space="preserve"> with</w:t>
      </w:r>
      <w:r w:rsidR="0076201D" w:rsidRPr="009F173A">
        <w:rPr>
          <w:rFonts w:cstheme="minorHAnsi"/>
          <w:bCs/>
        </w:rPr>
        <w:t xml:space="preserve"> obes</w:t>
      </w:r>
      <w:r w:rsidR="002851E1" w:rsidRPr="009F173A">
        <w:rPr>
          <w:rFonts w:cstheme="minorHAnsi"/>
          <w:bCs/>
        </w:rPr>
        <w:t>ity</w:t>
      </w:r>
      <w:r w:rsidR="0076201D" w:rsidRPr="009F173A">
        <w:rPr>
          <w:rFonts w:cstheme="minorHAnsi"/>
          <w:bCs/>
        </w:rPr>
        <w:t xml:space="preserve"> groups</w:t>
      </w:r>
      <w:r w:rsidR="00955B2C" w:rsidRPr="009F173A">
        <w:rPr>
          <w:rFonts w:cstheme="minorHAnsi"/>
          <w:bCs/>
        </w:rPr>
        <w:t xml:space="preserve"> (5.01%)</w:t>
      </w:r>
      <w:r w:rsidR="0076201D" w:rsidRPr="009F173A">
        <w:rPr>
          <w:rFonts w:cstheme="minorHAnsi"/>
          <w:bCs/>
        </w:rPr>
        <w:t>.</w:t>
      </w:r>
      <w:r w:rsidR="00B946FD" w:rsidRPr="009F173A">
        <w:rPr>
          <w:rFonts w:cstheme="minorHAnsi"/>
          <w:bCs/>
        </w:rPr>
        <w:t xml:space="preserve"> </w:t>
      </w:r>
      <w:r w:rsidR="00B946FD" w:rsidRPr="009F173A">
        <w:rPr>
          <w:bCs/>
        </w:rPr>
        <w:t>Despite different BIA devices and %FM equations used between the current study and Azcona et al</w:t>
      </w:r>
      <w:r w:rsidR="0002098D" w:rsidRPr="009F173A">
        <w:rPr>
          <w:bCs/>
        </w:rPr>
        <w:t>,</w:t>
      </w:r>
      <w:r w:rsidR="00AA10BA" w:rsidRPr="009F173A">
        <w:rPr>
          <w:bCs/>
          <w:vertAlign w:val="superscript"/>
        </w:rPr>
        <w:t>2</w:t>
      </w:r>
      <w:r w:rsidR="00457FA4" w:rsidRPr="009F173A">
        <w:rPr>
          <w:bCs/>
          <w:vertAlign w:val="superscript"/>
        </w:rPr>
        <w:t>3</w:t>
      </w:r>
      <w:r w:rsidR="00B946FD" w:rsidRPr="009F173A">
        <w:rPr>
          <w:bCs/>
        </w:rPr>
        <w:t xml:space="preserve"> the mean differences </w:t>
      </w:r>
      <w:r w:rsidR="00E63584" w:rsidRPr="009F173A">
        <w:rPr>
          <w:bCs/>
        </w:rPr>
        <w:t>between %FM</w:t>
      </w:r>
      <w:r w:rsidR="00E63584" w:rsidRPr="009F173A">
        <w:rPr>
          <w:bCs/>
          <w:vertAlign w:val="subscript"/>
        </w:rPr>
        <w:t>BIA</w:t>
      </w:r>
      <w:r w:rsidR="00E63584" w:rsidRPr="009F173A">
        <w:rPr>
          <w:bCs/>
        </w:rPr>
        <w:t xml:space="preserve"> and %FM</w:t>
      </w:r>
      <w:r w:rsidR="00E63584" w:rsidRPr="009F173A">
        <w:rPr>
          <w:bCs/>
          <w:vertAlign w:val="subscript"/>
        </w:rPr>
        <w:t>ADP</w:t>
      </w:r>
      <w:r w:rsidR="00E63584" w:rsidRPr="009F173A">
        <w:rPr>
          <w:bCs/>
        </w:rPr>
        <w:t xml:space="preserve"> </w:t>
      </w:r>
      <w:r w:rsidR="00B946FD" w:rsidRPr="009F173A">
        <w:rPr>
          <w:bCs/>
        </w:rPr>
        <w:t>are similar.</w:t>
      </w:r>
      <w:r w:rsidR="00ED413B" w:rsidRPr="009F173A">
        <w:rPr>
          <w:bCs/>
        </w:rPr>
        <w:t xml:space="preserve">  </w:t>
      </w:r>
    </w:p>
    <w:p w14:paraId="3700EC58" w14:textId="77777777" w:rsidR="00ED413B" w:rsidRPr="009F173A" w:rsidRDefault="00ED413B" w:rsidP="0079797A">
      <w:pPr>
        <w:spacing w:after="0" w:line="276" w:lineRule="auto"/>
        <w:rPr>
          <w:bCs/>
        </w:rPr>
      </w:pPr>
    </w:p>
    <w:p w14:paraId="0C9A656C" w14:textId="20E67D61" w:rsidR="003F6444" w:rsidRPr="009F173A" w:rsidRDefault="00ED413B" w:rsidP="0079797A">
      <w:pPr>
        <w:spacing w:after="0" w:line="276" w:lineRule="auto"/>
        <w:rPr>
          <w:bCs/>
        </w:rPr>
      </w:pPr>
      <w:r w:rsidRPr="009F173A">
        <w:rPr>
          <w:bCs/>
        </w:rPr>
        <w:t xml:space="preserve">Compared to the clinically acceptable differences reported by </w:t>
      </w:r>
      <w:r w:rsidR="00347D97" w:rsidRPr="009F173A">
        <w:rPr>
          <w:bCs/>
        </w:rPr>
        <w:t xml:space="preserve">Heyward </w:t>
      </w:r>
      <w:r w:rsidR="002F236A" w:rsidRPr="009F173A">
        <w:rPr>
          <w:bCs/>
        </w:rPr>
        <w:t>and</w:t>
      </w:r>
      <w:r w:rsidR="00347D97" w:rsidRPr="009F173A">
        <w:rPr>
          <w:bCs/>
        </w:rPr>
        <w:t xml:space="preserve"> Wagner</w:t>
      </w:r>
      <w:r w:rsidR="003B4D14" w:rsidRPr="009F173A">
        <w:rPr>
          <w:bCs/>
        </w:rPr>
        <w:t>,</w:t>
      </w:r>
      <w:r w:rsidR="00AA10BA" w:rsidRPr="009F173A">
        <w:rPr>
          <w:bCs/>
          <w:vertAlign w:val="superscript"/>
        </w:rPr>
        <w:t>3</w:t>
      </w:r>
      <w:r w:rsidR="00457FA4" w:rsidRPr="009F173A">
        <w:rPr>
          <w:bCs/>
          <w:vertAlign w:val="superscript"/>
        </w:rPr>
        <w:t>7</w:t>
      </w:r>
      <w:r w:rsidR="00347D97" w:rsidRPr="009F173A">
        <w:rPr>
          <w:bCs/>
        </w:rPr>
        <w:t xml:space="preserve"> %FM differences in </w:t>
      </w:r>
      <w:r w:rsidRPr="009F173A">
        <w:rPr>
          <w:bCs/>
        </w:rPr>
        <w:t xml:space="preserve">the </w:t>
      </w:r>
      <w:r w:rsidR="002851E1" w:rsidRPr="009F173A">
        <w:rPr>
          <w:bCs/>
        </w:rPr>
        <w:t xml:space="preserve">without </w:t>
      </w:r>
      <w:r w:rsidRPr="009F173A">
        <w:rPr>
          <w:bCs/>
        </w:rPr>
        <w:t>obes</w:t>
      </w:r>
      <w:r w:rsidR="002851E1" w:rsidRPr="009F173A">
        <w:rPr>
          <w:bCs/>
        </w:rPr>
        <w:t>ity</w:t>
      </w:r>
      <w:r w:rsidRPr="009F173A">
        <w:rPr>
          <w:bCs/>
        </w:rPr>
        <w:t xml:space="preserve"> group w</w:t>
      </w:r>
      <w:r w:rsidR="00B329B2" w:rsidRPr="009F173A">
        <w:rPr>
          <w:bCs/>
        </w:rPr>
        <w:t>ere</w:t>
      </w:r>
      <w:r w:rsidRPr="009F173A">
        <w:rPr>
          <w:bCs/>
        </w:rPr>
        <w:t xml:space="preserve"> </w:t>
      </w:r>
      <w:r w:rsidR="00C201A6" w:rsidRPr="009F173A">
        <w:rPr>
          <w:bCs/>
        </w:rPr>
        <w:t xml:space="preserve">within </w:t>
      </w:r>
      <w:r w:rsidR="00347D97" w:rsidRPr="009F173A">
        <w:rPr>
          <w:bCs/>
        </w:rPr>
        <w:t xml:space="preserve">the </w:t>
      </w:r>
      <w:r w:rsidR="00CD1D27" w:rsidRPr="009F173A">
        <w:rPr>
          <w:rFonts w:cstheme="minorHAnsi"/>
          <w:bCs/>
        </w:rPr>
        <w:t>±</w:t>
      </w:r>
      <w:r w:rsidR="00E6605C" w:rsidRPr="009F173A">
        <w:rPr>
          <w:rFonts w:cstheme="minorHAnsi"/>
          <w:bCs/>
        </w:rPr>
        <w:t xml:space="preserve"> </w:t>
      </w:r>
      <w:r w:rsidRPr="009F173A">
        <w:rPr>
          <w:bCs/>
        </w:rPr>
        <w:t>3.5%</w:t>
      </w:r>
      <w:r w:rsidR="00347D97" w:rsidRPr="009F173A">
        <w:rPr>
          <w:bCs/>
        </w:rPr>
        <w:t xml:space="preserve"> </w:t>
      </w:r>
      <w:r w:rsidR="00B329B2" w:rsidRPr="009F173A">
        <w:rPr>
          <w:bCs/>
        </w:rPr>
        <w:t xml:space="preserve">clinically acceptable </w:t>
      </w:r>
      <w:r w:rsidR="00347D97" w:rsidRPr="009F173A">
        <w:rPr>
          <w:bCs/>
        </w:rPr>
        <w:t>threshold</w:t>
      </w:r>
      <w:r w:rsidRPr="009F173A">
        <w:rPr>
          <w:bCs/>
        </w:rPr>
        <w:t xml:space="preserve">, but </w:t>
      </w:r>
      <w:r w:rsidR="00347D97" w:rsidRPr="009F173A">
        <w:rPr>
          <w:bCs/>
        </w:rPr>
        <w:t xml:space="preserve">in </w:t>
      </w:r>
      <w:r w:rsidRPr="009F173A">
        <w:rPr>
          <w:bCs/>
        </w:rPr>
        <w:t xml:space="preserve">the </w:t>
      </w:r>
      <w:r w:rsidR="002851E1" w:rsidRPr="009F173A">
        <w:rPr>
          <w:bCs/>
        </w:rPr>
        <w:t xml:space="preserve">with </w:t>
      </w:r>
      <w:r w:rsidRPr="009F173A">
        <w:rPr>
          <w:bCs/>
        </w:rPr>
        <w:t>obes</w:t>
      </w:r>
      <w:r w:rsidR="002851E1" w:rsidRPr="009F173A">
        <w:rPr>
          <w:bCs/>
        </w:rPr>
        <w:t>ity</w:t>
      </w:r>
      <w:r w:rsidR="00347D97" w:rsidRPr="009F173A">
        <w:rPr>
          <w:bCs/>
        </w:rPr>
        <w:t xml:space="preserve"> group differences would be deemed clinically unacceptable</w:t>
      </w:r>
      <w:r w:rsidR="00573705" w:rsidRPr="009F173A">
        <w:rPr>
          <w:bCs/>
        </w:rPr>
        <w:t xml:space="preserve"> (&gt;</w:t>
      </w:r>
      <w:r w:rsidR="00E6605C" w:rsidRPr="009F173A">
        <w:rPr>
          <w:bCs/>
        </w:rPr>
        <w:t xml:space="preserve"> </w:t>
      </w:r>
      <w:r w:rsidR="00573705" w:rsidRPr="009F173A">
        <w:rPr>
          <w:bCs/>
        </w:rPr>
        <w:t>3.5%)</w:t>
      </w:r>
      <w:r w:rsidRPr="009F173A">
        <w:rPr>
          <w:bCs/>
        </w:rPr>
        <w:t>.</w:t>
      </w:r>
      <w:r w:rsidR="00347D97" w:rsidRPr="009F173A">
        <w:rPr>
          <w:bCs/>
        </w:rPr>
        <w:t xml:space="preserve">  Despite no significant bias in differences between devices detected across levels of body fat, it does appear that BIA underestimates %FM to a greater extent.  Furthermore, the LoA found in the current study are in general agreement with </w:t>
      </w:r>
      <w:r w:rsidR="00B329B2" w:rsidRPr="009F173A">
        <w:rPr>
          <w:bCs/>
        </w:rPr>
        <w:t xml:space="preserve">values of </w:t>
      </w:r>
      <w:r w:rsidR="00347D97" w:rsidRPr="009F173A">
        <w:rPr>
          <w:bCs/>
        </w:rPr>
        <w:t>15.3-20.6% reported in previous studies.</w:t>
      </w:r>
      <w:r w:rsidR="00AA10BA" w:rsidRPr="009F173A">
        <w:rPr>
          <w:bCs/>
          <w:vertAlign w:val="superscript"/>
        </w:rPr>
        <w:t>2</w:t>
      </w:r>
      <w:r w:rsidR="00457FA4" w:rsidRPr="009F173A">
        <w:rPr>
          <w:bCs/>
          <w:vertAlign w:val="superscript"/>
        </w:rPr>
        <w:t>0</w:t>
      </w:r>
      <w:r w:rsidR="00AA10BA" w:rsidRPr="009F173A">
        <w:rPr>
          <w:bCs/>
          <w:vertAlign w:val="superscript"/>
        </w:rPr>
        <w:t>,2</w:t>
      </w:r>
      <w:r w:rsidR="00457FA4" w:rsidRPr="009F173A">
        <w:rPr>
          <w:bCs/>
          <w:vertAlign w:val="superscript"/>
        </w:rPr>
        <w:t>1</w:t>
      </w:r>
      <w:r w:rsidR="00AA10BA" w:rsidRPr="009F173A">
        <w:rPr>
          <w:bCs/>
          <w:vertAlign w:val="superscript"/>
        </w:rPr>
        <w:t>,2</w:t>
      </w:r>
      <w:r w:rsidR="00457FA4" w:rsidRPr="009F173A">
        <w:rPr>
          <w:bCs/>
          <w:vertAlign w:val="superscript"/>
        </w:rPr>
        <w:t>3</w:t>
      </w:r>
      <w:r w:rsidR="00347D97" w:rsidRPr="009F173A">
        <w:rPr>
          <w:bCs/>
        </w:rPr>
        <w:t xml:space="preserve"> Whilst no consensus has been reached on </w:t>
      </w:r>
      <w:r w:rsidR="007E491F" w:rsidRPr="009F173A">
        <w:rPr>
          <w:bCs/>
        </w:rPr>
        <w:t>what level of LoA is clinically acceptable (</w:t>
      </w:r>
      <w:r w:rsidR="00007D9E" w:rsidRPr="009F173A">
        <w:rPr>
          <w:bCs/>
        </w:rPr>
        <w:t xml:space="preserve">a </w:t>
      </w:r>
      <w:r w:rsidR="007E491F" w:rsidRPr="009F173A">
        <w:rPr>
          <w:bCs/>
        </w:rPr>
        <w:t xml:space="preserve">range </w:t>
      </w:r>
      <w:r w:rsidR="00007D9E" w:rsidRPr="009F173A">
        <w:rPr>
          <w:bCs/>
        </w:rPr>
        <w:t>of</w:t>
      </w:r>
      <w:r w:rsidR="007E491F" w:rsidRPr="009F173A">
        <w:rPr>
          <w:bCs/>
        </w:rPr>
        <w:t xml:space="preserve"> 2 to 20% ha</w:t>
      </w:r>
      <w:r w:rsidR="00007D9E" w:rsidRPr="009F173A">
        <w:rPr>
          <w:bCs/>
        </w:rPr>
        <w:t>s</w:t>
      </w:r>
      <w:r w:rsidR="007E491F" w:rsidRPr="009F173A">
        <w:rPr>
          <w:bCs/>
        </w:rPr>
        <w:t xml:space="preserve"> been reported in the literature)</w:t>
      </w:r>
      <w:r w:rsidR="003B4D14" w:rsidRPr="009F173A">
        <w:rPr>
          <w:bCs/>
        </w:rPr>
        <w:t>,</w:t>
      </w:r>
      <w:r w:rsidR="00AA10BA" w:rsidRPr="009F173A">
        <w:rPr>
          <w:bCs/>
          <w:vertAlign w:val="superscript"/>
        </w:rPr>
        <w:t>3</w:t>
      </w:r>
      <w:r w:rsidR="00457FA4" w:rsidRPr="009F173A">
        <w:rPr>
          <w:bCs/>
          <w:vertAlign w:val="superscript"/>
        </w:rPr>
        <w:t>0</w:t>
      </w:r>
      <w:r w:rsidR="00AA10BA" w:rsidRPr="009F173A">
        <w:rPr>
          <w:bCs/>
          <w:vertAlign w:val="superscript"/>
        </w:rPr>
        <w:t>,4</w:t>
      </w:r>
      <w:r w:rsidR="00457FA4" w:rsidRPr="009F173A">
        <w:rPr>
          <w:bCs/>
          <w:vertAlign w:val="superscript"/>
        </w:rPr>
        <w:t>1</w:t>
      </w:r>
      <w:r w:rsidR="00AA10BA" w:rsidRPr="009F173A">
        <w:rPr>
          <w:bCs/>
          <w:vertAlign w:val="superscript"/>
        </w:rPr>
        <w:t>,4</w:t>
      </w:r>
      <w:r w:rsidR="00457FA4" w:rsidRPr="009F173A">
        <w:rPr>
          <w:bCs/>
          <w:vertAlign w:val="superscript"/>
        </w:rPr>
        <w:t>2</w:t>
      </w:r>
      <w:r w:rsidR="00704748" w:rsidRPr="009F173A">
        <w:rPr>
          <w:bCs/>
        </w:rPr>
        <w:t xml:space="preserve"> </w:t>
      </w:r>
      <w:r w:rsidR="0011022D" w:rsidRPr="009F173A">
        <w:rPr>
          <w:bCs/>
        </w:rPr>
        <w:t xml:space="preserve">the </w:t>
      </w:r>
      <w:r w:rsidR="00704748" w:rsidRPr="009F173A">
        <w:rPr>
          <w:bCs/>
        </w:rPr>
        <w:t>large LoA</w:t>
      </w:r>
      <w:r w:rsidR="0011022D" w:rsidRPr="009F173A">
        <w:rPr>
          <w:bCs/>
        </w:rPr>
        <w:t xml:space="preserve"> in the current study</w:t>
      </w:r>
      <w:r w:rsidR="00704748" w:rsidRPr="009F173A">
        <w:rPr>
          <w:bCs/>
        </w:rPr>
        <w:t xml:space="preserve"> indicate</w:t>
      </w:r>
      <w:r w:rsidR="00007D9E" w:rsidRPr="009F173A">
        <w:rPr>
          <w:bCs/>
        </w:rPr>
        <w:t>s</w:t>
      </w:r>
      <w:r w:rsidR="00704748" w:rsidRPr="009F173A">
        <w:rPr>
          <w:bCs/>
        </w:rPr>
        <w:t xml:space="preserve"> that BIA and ADP cannot be used interchangeably to measure</w:t>
      </w:r>
      <w:r w:rsidR="00007D9E" w:rsidRPr="009F173A">
        <w:rPr>
          <w:bCs/>
        </w:rPr>
        <w:t xml:space="preserve"> an </w:t>
      </w:r>
      <w:r w:rsidR="00704748" w:rsidRPr="009F173A">
        <w:rPr>
          <w:bCs/>
        </w:rPr>
        <w:t>individual’s %FM.  Assessment of body composition must be accurate on an individual basis to correctly identify overweight and obes</w:t>
      </w:r>
      <w:r w:rsidR="002851E1" w:rsidRPr="009F173A">
        <w:rPr>
          <w:bCs/>
        </w:rPr>
        <w:t>ity</w:t>
      </w:r>
      <w:r w:rsidR="00704748" w:rsidRPr="009F173A">
        <w:rPr>
          <w:bCs/>
        </w:rPr>
        <w:t>.</w:t>
      </w:r>
      <w:r w:rsidR="00AA10BA" w:rsidRPr="009F173A">
        <w:rPr>
          <w:bCs/>
          <w:vertAlign w:val="superscript"/>
        </w:rPr>
        <w:t>4</w:t>
      </w:r>
      <w:r w:rsidR="00457FA4" w:rsidRPr="009F173A">
        <w:rPr>
          <w:bCs/>
          <w:vertAlign w:val="superscript"/>
        </w:rPr>
        <w:t>3</w:t>
      </w:r>
    </w:p>
    <w:p w14:paraId="2F537754" w14:textId="77777777" w:rsidR="003F6444" w:rsidRPr="009F173A" w:rsidRDefault="003F6444" w:rsidP="0079797A">
      <w:pPr>
        <w:spacing w:after="0" w:line="276" w:lineRule="auto"/>
        <w:rPr>
          <w:bCs/>
        </w:rPr>
      </w:pPr>
    </w:p>
    <w:p w14:paraId="1D1FDE6F" w14:textId="77777777" w:rsidR="003F6444" w:rsidRPr="009F173A" w:rsidRDefault="003F6444" w:rsidP="0079797A">
      <w:pPr>
        <w:spacing w:after="0" w:line="276" w:lineRule="auto"/>
        <w:rPr>
          <w:bCs/>
        </w:rPr>
      </w:pPr>
    </w:p>
    <w:p w14:paraId="51EC2998" w14:textId="065244A3" w:rsidR="00C2527D" w:rsidRPr="009F173A" w:rsidRDefault="00C2527D" w:rsidP="0079797A">
      <w:pPr>
        <w:spacing w:after="0" w:line="276" w:lineRule="auto"/>
        <w:rPr>
          <w:bCs/>
        </w:rPr>
      </w:pPr>
      <w:r w:rsidRPr="009F173A">
        <w:rPr>
          <w:bCs/>
        </w:rPr>
        <w:t xml:space="preserve">Reliability </w:t>
      </w:r>
    </w:p>
    <w:p w14:paraId="01B6C34A" w14:textId="77777777" w:rsidR="007F424A" w:rsidRPr="009F173A" w:rsidRDefault="007F424A" w:rsidP="0079797A">
      <w:pPr>
        <w:spacing w:after="0" w:line="276" w:lineRule="auto"/>
        <w:rPr>
          <w:b/>
        </w:rPr>
      </w:pPr>
    </w:p>
    <w:p w14:paraId="532EFADD" w14:textId="44510575" w:rsidR="00A735A3" w:rsidRPr="009F173A" w:rsidRDefault="00E44788" w:rsidP="0079797A">
      <w:pPr>
        <w:spacing w:after="0" w:line="276" w:lineRule="auto"/>
        <w:rPr>
          <w:bCs/>
        </w:rPr>
      </w:pPr>
      <w:r w:rsidRPr="009F173A">
        <w:rPr>
          <w:bCs/>
        </w:rPr>
        <w:t>The findings from the current study suggest that repeated measurements of %FM from ADP and BIA are highly reliable in young children.</w:t>
      </w:r>
      <w:r w:rsidR="00B60DA7" w:rsidRPr="009F173A">
        <w:rPr>
          <w:bCs/>
        </w:rPr>
        <w:t xml:space="preserve"> </w:t>
      </w:r>
      <w:r w:rsidR="00854AC5" w:rsidRPr="009F173A">
        <w:rPr>
          <w:bCs/>
        </w:rPr>
        <w:t>These findings are comparable to</w:t>
      </w:r>
      <w:r w:rsidR="007F424A" w:rsidRPr="009F173A">
        <w:rPr>
          <w:bCs/>
        </w:rPr>
        <w:t xml:space="preserve"> other studies examining the </w:t>
      </w:r>
      <w:r w:rsidR="00B209FF" w:rsidRPr="009F173A">
        <w:rPr>
          <w:bCs/>
        </w:rPr>
        <w:t>intra-day</w:t>
      </w:r>
      <w:r w:rsidR="007F424A" w:rsidRPr="009F173A">
        <w:rPr>
          <w:bCs/>
        </w:rPr>
        <w:t xml:space="preserve"> reliability of </w:t>
      </w:r>
      <w:r w:rsidR="00A735A3" w:rsidRPr="009F173A">
        <w:rPr>
          <w:bCs/>
        </w:rPr>
        <w:t>%FM</w:t>
      </w:r>
      <w:r w:rsidR="00A735A3" w:rsidRPr="009F173A">
        <w:rPr>
          <w:bCs/>
          <w:vertAlign w:val="subscript"/>
        </w:rPr>
        <w:t>ADP</w:t>
      </w:r>
      <w:r w:rsidR="00A735A3" w:rsidRPr="009F173A">
        <w:rPr>
          <w:bCs/>
        </w:rPr>
        <w:t xml:space="preserve"> and %FM</w:t>
      </w:r>
      <w:r w:rsidR="00A735A3" w:rsidRPr="009F173A">
        <w:rPr>
          <w:bCs/>
          <w:vertAlign w:val="subscript"/>
        </w:rPr>
        <w:t>BIA</w:t>
      </w:r>
      <w:r w:rsidR="007F424A" w:rsidRPr="009F173A">
        <w:rPr>
          <w:bCs/>
        </w:rPr>
        <w:t xml:space="preserve"> in </w:t>
      </w:r>
      <w:r w:rsidR="004D7088" w:rsidRPr="009F173A">
        <w:rPr>
          <w:bCs/>
        </w:rPr>
        <w:t xml:space="preserve">older </w:t>
      </w:r>
      <w:r w:rsidR="007F424A" w:rsidRPr="009F173A">
        <w:rPr>
          <w:bCs/>
        </w:rPr>
        <w:t>children</w:t>
      </w:r>
      <w:r w:rsidR="0011022D" w:rsidRPr="009F173A">
        <w:rPr>
          <w:bCs/>
        </w:rPr>
        <w:t>.</w:t>
      </w:r>
      <w:r w:rsidR="007F424A" w:rsidRPr="009F173A">
        <w:rPr>
          <w:bCs/>
        </w:rPr>
        <w:t xml:space="preserve"> Vicente-Rodriguez et al</w:t>
      </w:r>
      <w:r w:rsidR="00457FA4" w:rsidRPr="009F173A">
        <w:rPr>
          <w:bCs/>
          <w:vertAlign w:val="superscript"/>
        </w:rPr>
        <w:t>29</w:t>
      </w:r>
      <w:r w:rsidR="007F424A" w:rsidRPr="009F173A">
        <w:rPr>
          <w:bCs/>
        </w:rPr>
        <w:t xml:space="preserve"> measured </w:t>
      </w:r>
      <w:r w:rsidR="00B209FF" w:rsidRPr="009F173A">
        <w:rPr>
          <w:bCs/>
        </w:rPr>
        <w:t>intra-day</w:t>
      </w:r>
      <w:r w:rsidR="00266DD5" w:rsidRPr="009F173A">
        <w:rPr>
          <w:bCs/>
        </w:rPr>
        <w:t xml:space="preserve"> </w:t>
      </w:r>
      <w:r w:rsidR="007F424A" w:rsidRPr="009F173A">
        <w:rPr>
          <w:bCs/>
        </w:rPr>
        <w:t>reliability</w:t>
      </w:r>
      <w:r w:rsidR="00A735A3" w:rsidRPr="009F173A">
        <w:rPr>
          <w:bCs/>
        </w:rPr>
        <w:t xml:space="preserve"> in 84 adolescents (13-17 years old),</w:t>
      </w:r>
      <w:r w:rsidR="007F424A" w:rsidRPr="009F173A">
        <w:rPr>
          <w:bCs/>
        </w:rPr>
        <w:t xml:space="preserve"> finding </w:t>
      </w:r>
      <w:r w:rsidR="00A735A3" w:rsidRPr="009F173A">
        <w:rPr>
          <w:bCs/>
        </w:rPr>
        <w:t>%FM</w:t>
      </w:r>
      <w:r w:rsidR="00A735A3" w:rsidRPr="009F173A">
        <w:rPr>
          <w:bCs/>
          <w:vertAlign w:val="subscript"/>
        </w:rPr>
        <w:t>ADP</w:t>
      </w:r>
      <w:r w:rsidR="00A735A3" w:rsidRPr="009F173A">
        <w:rPr>
          <w:bCs/>
        </w:rPr>
        <w:t xml:space="preserve"> </w:t>
      </w:r>
      <w:r w:rsidR="007F424A" w:rsidRPr="009F173A">
        <w:rPr>
          <w:bCs/>
        </w:rPr>
        <w:t xml:space="preserve">TEM of 1.07% FM and </w:t>
      </w:r>
      <w:r w:rsidR="001C6C01" w:rsidRPr="009F173A">
        <w:rPr>
          <w:bCs/>
        </w:rPr>
        <w:t>r</w:t>
      </w:r>
      <w:r w:rsidR="001C6C01" w:rsidRPr="009F173A">
        <w:rPr>
          <w:bCs/>
          <w:vertAlign w:val="subscript"/>
        </w:rPr>
        <w:t>xx</w:t>
      </w:r>
      <w:r w:rsidR="007F424A" w:rsidRPr="009F173A">
        <w:rPr>
          <w:bCs/>
        </w:rPr>
        <w:t xml:space="preserve"> </w:t>
      </w:r>
      <w:r w:rsidR="00A735A3" w:rsidRPr="009F173A">
        <w:rPr>
          <w:bCs/>
        </w:rPr>
        <w:t>=</w:t>
      </w:r>
      <w:r w:rsidR="007F424A" w:rsidRPr="009F173A">
        <w:rPr>
          <w:bCs/>
        </w:rPr>
        <w:t xml:space="preserve"> 0.9</w:t>
      </w:r>
      <w:r w:rsidR="005F6AD7" w:rsidRPr="009F173A">
        <w:rPr>
          <w:bCs/>
        </w:rPr>
        <w:t>9</w:t>
      </w:r>
      <w:r w:rsidR="00A735A3" w:rsidRPr="009F173A">
        <w:rPr>
          <w:bCs/>
        </w:rPr>
        <w:t>, and %FM</w:t>
      </w:r>
      <w:r w:rsidR="00A735A3" w:rsidRPr="009F173A">
        <w:rPr>
          <w:bCs/>
          <w:vertAlign w:val="subscript"/>
        </w:rPr>
        <w:t>BIA</w:t>
      </w:r>
      <w:r w:rsidR="00A735A3" w:rsidRPr="009F173A">
        <w:rPr>
          <w:bCs/>
        </w:rPr>
        <w:t xml:space="preserve"> TEM of 0.74% and </w:t>
      </w:r>
      <w:r w:rsidR="001C6C01" w:rsidRPr="009F173A">
        <w:rPr>
          <w:bCs/>
        </w:rPr>
        <w:t>r</w:t>
      </w:r>
      <w:r w:rsidR="001C6C01" w:rsidRPr="009F173A">
        <w:rPr>
          <w:bCs/>
          <w:vertAlign w:val="subscript"/>
        </w:rPr>
        <w:t>xx</w:t>
      </w:r>
      <w:r w:rsidR="00A735A3" w:rsidRPr="009F173A">
        <w:rPr>
          <w:bCs/>
        </w:rPr>
        <w:t xml:space="preserve"> = 0.99</w:t>
      </w:r>
      <w:r w:rsidR="007F424A" w:rsidRPr="009F173A">
        <w:rPr>
          <w:bCs/>
        </w:rPr>
        <w:t xml:space="preserve">.  </w:t>
      </w:r>
      <w:r w:rsidR="00EA060E" w:rsidRPr="009F173A">
        <w:rPr>
          <w:bCs/>
        </w:rPr>
        <w:t xml:space="preserve">Resistance and body volume reliability </w:t>
      </w:r>
      <w:r w:rsidR="004D7088" w:rsidRPr="009F173A">
        <w:rPr>
          <w:bCs/>
        </w:rPr>
        <w:t xml:space="preserve">in the current study </w:t>
      </w:r>
      <w:r w:rsidR="00EA060E" w:rsidRPr="009F173A">
        <w:rPr>
          <w:bCs/>
        </w:rPr>
        <w:t xml:space="preserve">also compare well with values of Vicente-Rodriguez et </w:t>
      </w:r>
      <w:r w:rsidR="007D4471" w:rsidRPr="009F173A">
        <w:rPr>
          <w:bCs/>
        </w:rPr>
        <w:t>al</w:t>
      </w:r>
      <w:r w:rsidR="00457FA4" w:rsidRPr="009F173A">
        <w:rPr>
          <w:bCs/>
          <w:vertAlign w:val="superscript"/>
        </w:rPr>
        <w:t>29</w:t>
      </w:r>
      <w:r w:rsidR="00EA060E" w:rsidRPr="009F173A">
        <w:rPr>
          <w:bCs/>
        </w:rPr>
        <w:t xml:space="preserve">; resistance TEM of 10.2Ω and </w:t>
      </w:r>
      <w:r w:rsidR="001C6C01" w:rsidRPr="009F173A">
        <w:rPr>
          <w:bCs/>
        </w:rPr>
        <w:t>r</w:t>
      </w:r>
      <w:r w:rsidR="001C6C01" w:rsidRPr="009F173A">
        <w:rPr>
          <w:bCs/>
          <w:vertAlign w:val="subscript"/>
        </w:rPr>
        <w:t>xx</w:t>
      </w:r>
      <w:r w:rsidR="00EA060E" w:rsidRPr="009F173A">
        <w:rPr>
          <w:bCs/>
        </w:rPr>
        <w:t xml:space="preserve"> = 0.99, and body volume TEM of 0.58m</w:t>
      </w:r>
      <w:r w:rsidR="00EA060E" w:rsidRPr="009F173A">
        <w:rPr>
          <w:bCs/>
          <w:vertAlign w:val="superscript"/>
        </w:rPr>
        <w:t>3</w:t>
      </w:r>
      <w:r w:rsidR="00EA060E" w:rsidRPr="009F173A">
        <w:rPr>
          <w:bCs/>
        </w:rPr>
        <w:t xml:space="preserve"> and </w:t>
      </w:r>
      <w:r w:rsidR="001C6C01" w:rsidRPr="009F173A">
        <w:rPr>
          <w:bCs/>
        </w:rPr>
        <w:t>r</w:t>
      </w:r>
      <w:r w:rsidR="001C6C01" w:rsidRPr="009F173A">
        <w:rPr>
          <w:bCs/>
          <w:vertAlign w:val="subscript"/>
        </w:rPr>
        <w:t>xx</w:t>
      </w:r>
      <w:r w:rsidR="00EA060E" w:rsidRPr="009F173A">
        <w:rPr>
          <w:bCs/>
        </w:rPr>
        <w:t xml:space="preserve"> = 0.99. </w:t>
      </w:r>
      <w:r w:rsidR="00C4103F" w:rsidRPr="009F173A">
        <w:rPr>
          <w:bCs/>
        </w:rPr>
        <w:t xml:space="preserve">Comparable reliability in the current younger cohort to adolescents reveals that children </w:t>
      </w:r>
      <w:r w:rsidR="00727660" w:rsidRPr="009F173A">
        <w:rPr>
          <w:bCs/>
        </w:rPr>
        <w:t>were</w:t>
      </w:r>
      <w:r w:rsidR="00C4103F" w:rsidRPr="009F173A">
        <w:rPr>
          <w:bCs/>
        </w:rPr>
        <w:t xml:space="preserve"> able to adhere to the BIA and ADP procedures and follow instructions. </w:t>
      </w:r>
      <w:r w:rsidR="000F3805" w:rsidRPr="009F173A">
        <w:rPr>
          <w:rFonts w:cstheme="minorHAnsi"/>
          <w:sz w:val="24"/>
          <w:szCs w:val="24"/>
        </w:rPr>
        <w:t xml:space="preserve">  </w:t>
      </w:r>
    </w:p>
    <w:p w14:paraId="498D9585" w14:textId="57ADFC56" w:rsidR="007F424A" w:rsidRPr="009F173A" w:rsidRDefault="007F424A" w:rsidP="0079797A">
      <w:pPr>
        <w:spacing w:after="0" w:line="276" w:lineRule="auto"/>
        <w:rPr>
          <w:bCs/>
        </w:rPr>
      </w:pPr>
    </w:p>
    <w:p w14:paraId="250E19D0" w14:textId="1373BB69" w:rsidR="007F424A" w:rsidRPr="009F173A" w:rsidRDefault="007F424A" w:rsidP="0079797A">
      <w:pPr>
        <w:spacing w:after="0" w:line="276" w:lineRule="auto"/>
        <w:rPr>
          <w:bCs/>
        </w:rPr>
      </w:pPr>
      <w:r w:rsidRPr="009F173A">
        <w:rPr>
          <w:bCs/>
        </w:rPr>
        <w:t xml:space="preserve">The </w:t>
      </w:r>
      <w:r w:rsidR="00B209FF" w:rsidRPr="009F173A">
        <w:rPr>
          <w:bCs/>
        </w:rPr>
        <w:t>intra-day</w:t>
      </w:r>
      <w:r w:rsidRPr="009F173A">
        <w:rPr>
          <w:bCs/>
        </w:rPr>
        <w:t xml:space="preserve"> reliability of body fat mass measures from ADP and BIA are dependent on environmental conditions, instructor competence, and participant adherence to the procedures.  Environmental variation include</w:t>
      </w:r>
      <w:r w:rsidR="002851E1" w:rsidRPr="009F173A">
        <w:rPr>
          <w:bCs/>
        </w:rPr>
        <w:t>s</w:t>
      </w:r>
      <w:r w:rsidRPr="009F173A">
        <w:rPr>
          <w:bCs/>
        </w:rPr>
        <w:t xml:space="preserve"> pressure changes within the laboratory (from opening doors or drafts) during the procedure that can affect ADP reliability and</w:t>
      </w:r>
      <w:r w:rsidR="002851E1" w:rsidRPr="009F173A">
        <w:rPr>
          <w:bCs/>
        </w:rPr>
        <w:t>,</w:t>
      </w:r>
      <w:r w:rsidRPr="009F173A">
        <w:rPr>
          <w:bCs/>
        </w:rPr>
        <w:t xml:space="preserve"> temperature changes in the </w:t>
      </w:r>
      <w:r w:rsidR="004D7088" w:rsidRPr="009F173A">
        <w:rPr>
          <w:bCs/>
        </w:rPr>
        <w:t>ten</w:t>
      </w:r>
      <w:r w:rsidRPr="009F173A">
        <w:rPr>
          <w:bCs/>
        </w:rPr>
        <w:t xml:space="preserve"> minutes between repeated measures that can affect BIA reliability.  </w:t>
      </w:r>
      <w:r w:rsidR="002D41F1" w:rsidRPr="009F173A">
        <w:rPr>
          <w:bCs/>
        </w:rPr>
        <w:t>Correct electrode placement on the ipsilateral bony prominences of the wrist and ankle (the metacarpal and metatarsal lines)</w:t>
      </w:r>
      <w:r w:rsidR="00AA10BA" w:rsidRPr="009F173A">
        <w:rPr>
          <w:bCs/>
          <w:vertAlign w:val="superscript"/>
        </w:rPr>
        <w:t>4</w:t>
      </w:r>
      <w:r w:rsidR="00457FA4" w:rsidRPr="009F173A">
        <w:rPr>
          <w:bCs/>
          <w:vertAlign w:val="superscript"/>
        </w:rPr>
        <w:t>4</w:t>
      </w:r>
      <w:r w:rsidR="002D41F1" w:rsidRPr="009F173A">
        <w:rPr>
          <w:bCs/>
        </w:rPr>
        <w:t xml:space="preserve"> can be subjective.  Electrode placement variability can alter impedance readings by 4%</w:t>
      </w:r>
      <w:r w:rsidR="007D4471" w:rsidRPr="009F173A">
        <w:rPr>
          <w:bCs/>
        </w:rPr>
        <w:t>,</w:t>
      </w:r>
      <w:r w:rsidR="00AA10BA" w:rsidRPr="009F173A">
        <w:rPr>
          <w:bCs/>
          <w:vertAlign w:val="superscript"/>
        </w:rPr>
        <w:t>4</w:t>
      </w:r>
      <w:r w:rsidR="00457FA4" w:rsidRPr="009F173A">
        <w:rPr>
          <w:bCs/>
          <w:vertAlign w:val="superscript"/>
        </w:rPr>
        <w:t>5</w:t>
      </w:r>
      <w:r w:rsidR="002D41F1" w:rsidRPr="009F173A">
        <w:rPr>
          <w:bCs/>
        </w:rPr>
        <w:t xml:space="preserve"> and would have reduced reliability in this study.  Variability due to procedural adherence includes movement of the participant in the Bodpod chamber or irregular breathing.  These can cause pressure changes within the Bodpod influencing raw body volumes.</w:t>
      </w:r>
      <w:r w:rsidR="00AA10BA" w:rsidRPr="009F173A">
        <w:rPr>
          <w:bCs/>
          <w:vertAlign w:val="superscript"/>
        </w:rPr>
        <w:t>4</w:t>
      </w:r>
      <w:r w:rsidR="00457FA4" w:rsidRPr="009F173A">
        <w:rPr>
          <w:bCs/>
          <w:vertAlign w:val="superscript"/>
        </w:rPr>
        <w:t>6</w:t>
      </w:r>
      <w:r w:rsidR="002D41F1" w:rsidRPr="009F173A">
        <w:rPr>
          <w:bCs/>
        </w:rPr>
        <w:t xml:space="preserve"> For this reason</w:t>
      </w:r>
      <w:r w:rsidR="0011022D" w:rsidRPr="009F173A">
        <w:rPr>
          <w:bCs/>
        </w:rPr>
        <w:t>,</w:t>
      </w:r>
      <w:r w:rsidR="002D41F1" w:rsidRPr="009F173A">
        <w:rPr>
          <w:bCs/>
        </w:rPr>
        <w:t xml:space="preserve"> ADP measures from Bodpod </w:t>
      </w:r>
      <w:r w:rsidR="000F3805" w:rsidRPr="009F173A">
        <w:rPr>
          <w:bCs/>
        </w:rPr>
        <w:t>were</w:t>
      </w:r>
      <w:r w:rsidR="002D41F1" w:rsidRPr="009F173A">
        <w:rPr>
          <w:bCs/>
        </w:rPr>
        <w:t xml:space="preserve"> taken in </w:t>
      </w:r>
      <w:r w:rsidR="00306534" w:rsidRPr="009F173A">
        <w:rPr>
          <w:bCs/>
        </w:rPr>
        <w:t>triplicate</w:t>
      </w:r>
      <w:r w:rsidR="002D41F1" w:rsidRPr="009F173A">
        <w:rPr>
          <w:bCs/>
        </w:rPr>
        <w:t xml:space="preserve"> and</w:t>
      </w:r>
      <w:r w:rsidR="00306534" w:rsidRPr="009F173A">
        <w:rPr>
          <w:bCs/>
        </w:rPr>
        <w:t>,</w:t>
      </w:r>
      <w:r w:rsidR="002D41F1" w:rsidRPr="009F173A">
        <w:rPr>
          <w:bCs/>
        </w:rPr>
        <w:t xml:space="preserve"> if the raw body volumes differ</w:t>
      </w:r>
      <w:r w:rsidR="0075388A" w:rsidRPr="009F173A">
        <w:rPr>
          <w:bCs/>
        </w:rPr>
        <w:t>ed</w:t>
      </w:r>
      <w:r w:rsidR="002D41F1" w:rsidRPr="009F173A">
        <w:rPr>
          <w:bCs/>
        </w:rPr>
        <w:t xml:space="preserve"> by &gt;</w:t>
      </w:r>
      <w:r w:rsidR="00F03FDD" w:rsidRPr="009F173A">
        <w:rPr>
          <w:bCs/>
        </w:rPr>
        <w:t>0.015L</w:t>
      </w:r>
      <w:r w:rsidR="00306534" w:rsidRPr="009F173A">
        <w:rPr>
          <w:bCs/>
        </w:rPr>
        <w:t>,</w:t>
      </w:r>
      <w:r w:rsidR="00F03FDD" w:rsidRPr="009F173A">
        <w:rPr>
          <w:bCs/>
        </w:rPr>
        <w:t xml:space="preserve"> </w:t>
      </w:r>
      <w:r w:rsidR="002D41F1" w:rsidRPr="009F173A">
        <w:rPr>
          <w:bCs/>
        </w:rPr>
        <w:t xml:space="preserve">the procedure </w:t>
      </w:r>
      <w:r w:rsidR="002851E1" w:rsidRPr="009F173A">
        <w:rPr>
          <w:bCs/>
        </w:rPr>
        <w:t>was</w:t>
      </w:r>
      <w:r w:rsidR="002D41F1" w:rsidRPr="009F173A">
        <w:rPr>
          <w:bCs/>
        </w:rPr>
        <w:t xml:space="preserve"> started again.  </w:t>
      </w:r>
      <w:r w:rsidRPr="009F173A">
        <w:rPr>
          <w:bCs/>
        </w:rPr>
        <w:t xml:space="preserve">In order to maximise </w:t>
      </w:r>
      <w:r w:rsidR="00B209FF" w:rsidRPr="009F173A">
        <w:rPr>
          <w:bCs/>
        </w:rPr>
        <w:t>intra-day</w:t>
      </w:r>
      <w:r w:rsidRPr="009F173A">
        <w:rPr>
          <w:bCs/>
        </w:rPr>
        <w:t xml:space="preserve"> reliability of </w:t>
      </w:r>
      <w:r w:rsidR="002D41F1" w:rsidRPr="009F173A">
        <w:rPr>
          <w:bCs/>
        </w:rPr>
        <w:t>%FM</w:t>
      </w:r>
      <w:r w:rsidRPr="009F173A">
        <w:rPr>
          <w:bCs/>
          <w:vertAlign w:val="subscript"/>
        </w:rPr>
        <w:t>ADP</w:t>
      </w:r>
      <w:r w:rsidRPr="009F173A">
        <w:rPr>
          <w:bCs/>
        </w:rPr>
        <w:t xml:space="preserve"> and</w:t>
      </w:r>
      <w:r w:rsidR="002D41F1" w:rsidRPr="009F173A">
        <w:rPr>
          <w:bCs/>
        </w:rPr>
        <w:t xml:space="preserve"> %FM</w:t>
      </w:r>
      <w:r w:rsidRPr="009F173A">
        <w:rPr>
          <w:bCs/>
          <w:vertAlign w:val="subscript"/>
        </w:rPr>
        <w:t>BIA</w:t>
      </w:r>
      <w:r w:rsidR="002D41F1" w:rsidRPr="009F173A">
        <w:rPr>
          <w:bCs/>
        </w:rPr>
        <w:t xml:space="preserve"> </w:t>
      </w:r>
      <w:r w:rsidRPr="009F173A">
        <w:rPr>
          <w:bCs/>
        </w:rPr>
        <w:t>measures environmental</w:t>
      </w:r>
      <w:r w:rsidR="00CA3181" w:rsidRPr="009F173A">
        <w:rPr>
          <w:bCs/>
        </w:rPr>
        <w:t xml:space="preserve"> conditions</w:t>
      </w:r>
      <w:r w:rsidR="00C84C1B" w:rsidRPr="009F173A">
        <w:rPr>
          <w:bCs/>
        </w:rPr>
        <w:t>, p</w:t>
      </w:r>
      <w:r w:rsidR="00CA3181" w:rsidRPr="009F173A">
        <w:rPr>
          <w:bCs/>
        </w:rPr>
        <w:t>rotocols and participant preparation</w:t>
      </w:r>
      <w:r w:rsidRPr="009F173A">
        <w:rPr>
          <w:bCs/>
        </w:rPr>
        <w:t xml:space="preserve"> </w:t>
      </w:r>
      <w:r w:rsidR="002D41F1" w:rsidRPr="009F173A">
        <w:rPr>
          <w:bCs/>
        </w:rPr>
        <w:t>should be</w:t>
      </w:r>
      <w:r w:rsidRPr="009F173A">
        <w:rPr>
          <w:bCs/>
        </w:rPr>
        <w:t xml:space="preserve"> strictly monitored throughout testing procedures.</w:t>
      </w:r>
    </w:p>
    <w:p w14:paraId="2F59389A" w14:textId="77777777" w:rsidR="00C2527D" w:rsidRPr="009F173A" w:rsidRDefault="00C2527D" w:rsidP="0079797A">
      <w:pPr>
        <w:spacing w:after="0" w:line="276" w:lineRule="auto"/>
        <w:rPr>
          <w:bCs/>
        </w:rPr>
      </w:pPr>
    </w:p>
    <w:p w14:paraId="2C266EF2" w14:textId="011125A9" w:rsidR="003C3B70" w:rsidRPr="009F173A" w:rsidRDefault="00021B47" w:rsidP="0079797A">
      <w:pPr>
        <w:spacing w:after="0" w:line="276" w:lineRule="auto"/>
        <w:rPr>
          <w:bCs/>
        </w:rPr>
      </w:pPr>
      <w:r w:rsidRPr="009F173A">
        <w:rPr>
          <w:bCs/>
        </w:rPr>
        <w:t>L</w:t>
      </w:r>
      <w:r w:rsidR="00B56D8D" w:rsidRPr="009F173A">
        <w:rPr>
          <w:bCs/>
        </w:rPr>
        <w:t>imitations</w:t>
      </w:r>
      <w:r w:rsidRPr="009F173A">
        <w:rPr>
          <w:bCs/>
        </w:rPr>
        <w:t xml:space="preserve"> of the current study</w:t>
      </w:r>
      <w:r w:rsidR="00B56D8D" w:rsidRPr="009F173A">
        <w:rPr>
          <w:bCs/>
        </w:rPr>
        <w:t xml:space="preserve"> comprise the use of predicted lung volumes in ADP measurements which may impact the accuracy of %FM</w:t>
      </w:r>
      <w:r w:rsidR="00B56D8D" w:rsidRPr="009F173A">
        <w:rPr>
          <w:bCs/>
          <w:vertAlign w:val="subscript"/>
        </w:rPr>
        <w:t>ADP</w:t>
      </w:r>
      <w:r w:rsidR="00B56D8D" w:rsidRPr="009F173A">
        <w:rPr>
          <w:bCs/>
        </w:rPr>
        <w:t xml:space="preserve">.  However, young children struggle with the protocol for lung volume measurement and </w:t>
      </w:r>
      <w:r w:rsidR="00772E09" w:rsidRPr="009F173A">
        <w:rPr>
          <w:bCs/>
        </w:rPr>
        <w:t xml:space="preserve">error in </w:t>
      </w:r>
      <w:r w:rsidR="00B56D8D" w:rsidRPr="009F173A">
        <w:rPr>
          <w:bCs/>
        </w:rPr>
        <w:t xml:space="preserve">the correction of raw body volume for air in the lungs </w:t>
      </w:r>
      <w:r w:rsidR="00772E09" w:rsidRPr="009F173A">
        <w:rPr>
          <w:bCs/>
        </w:rPr>
        <w:t>i</w:t>
      </w:r>
      <w:r w:rsidR="00325552" w:rsidRPr="009F173A">
        <w:rPr>
          <w:bCs/>
        </w:rPr>
        <w:t>s</w:t>
      </w:r>
      <w:r w:rsidR="00772E09" w:rsidRPr="009F173A">
        <w:rPr>
          <w:bCs/>
        </w:rPr>
        <w:t xml:space="preserve"> relatively small.</w:t>
      </w:r>
      <w:r w:rsidR="00AA10BA" w:rsidRPr="009F173A">
        <w:rPr>
          <w:bCs/>
          <w:vertAlign w:val="superscript"/>
        </w:rPr>
        <w:t>4</w:t>
      </w:r>
      <w:r w:rsidR="00457FA4" w:rsidRPr="009F173A">
        <w:rPr>
          <w:bCs/>
          <w:vertAlign w:val="superscript"/>
        </w:rPr>
        <w:t>7</w:t>
      </w:r>
      <w:r w:rsidR="00772E09" w:rsidRPr="009F173A">
        <w:rPr>
          <w:bCs/>
        </w:rPr>
        <w:t xml:space="preserve"> Other age- and gender-specific %FM equations are available for ADP that account for changes in hydration status with age and gender.</w:t>
      </w:r>
      <w:r w:rsidR="00AA10BA" w:rsidRPr="009F173A">
        <w:rPr>
          <w:bCs/>
          <w:vertAlign w:val="superscript"/>
        </w:rPr>
        <w:t>11</w:t>
      </w:r>
      <w:r w:rsidR="00772E09" w:rsidRPr="009F173A">
        <w:rPr>
          <w:bCs/>
        </w:rPr>
        <w:t xml:space="preserve">  However, the Lohman</w:t>
      </w:r>
      <w:r w:rsidR="00457FA4" w:rsidRPr="009F173A">
        <w:rPr>
          <w:bCs/>
          <w:vertAlign w:val="superscript"/>
        </w:rPr>
        <w:t>25</w:t>
      </w:r>
      <w:r w:rsidR="00772E09" w:rsidRPr="009F173A">
        <w:rPr>
          <w:bCs/>
        </w:rPr>
        <w:t xml:space="preserve"> equation has been validated against 4C</w:t>
      </w:r>
      <w:r w:rsidR="00D462F6" w:rsidRPr="009F173A">
        <w:rPr>
          <w:bCs/>
          <w:vertAlign w:val="superscript"/>
        </w:rPr>
        <w:t>4</w:t>
      </w:r>
      <w:r w:rsidR="00457FA4" w:rsidRPr="009F173A">
        <w:rPr>
          <w:bCs/>
          <w:vertAlign w:val="superscript"/>
        </w:rPr>
        <w:t>8</w:t>
      </w:r>
      <w:r w:rsidR="00772E09" w:rsidRPr="009F173A">
        <w:rPr>
          <w:bCs/>
        </w:rPr>
        <w:t xml:space="preserve"> and, in boys, compares well with more recent equations </w:t>
      </w:r>
      <w:r w:rsidR="00841FCE" w:rsidRPr="009F173A">
        <w:rPr>
          <w:bCs/>
        </w:rPr>
        <w:t>for %FM</w:t>
      </w:r>
      <w:r w:rsidR="00841FCE" w:rsidRPr="009F173A">
        <w:rPr>
          <w:bCs/>
          <w:vertAlign w:val="subscript"/>
        </w:rPr>
        <w:t>ADP</w:t>
      </w:r>
      <w:r w:rsidR="00841FCE" w:rsidRPr="009F173A">
        <w:rPr>
          <w:bCs/>
        </w:rPr>
        <w:t>.</w:t>
      </w:r>
      <w:r w:rsidR="00D462F6" w:rsidRPr="009F173A">
        <w:rPr>
          <w:bCs/>
          <w:vertAlign w:val="superscript"/>
        </w:rPr>
        <w:t>11</w:t>
      </w:r>
      <w:r w:rsidR="00841FCE" w:rsidRPr="009F173A">
        <w:rPr>
          <w:bCs/>
        </w:rPr>
        <w:t xml:space="preserve">  </w:t>
      </w:r>
      <w:r w:rsidR="009439E8" w:rsidRPr="009F173A">
        <w:rPr>
          <w:bCs/>
        </w:rPr>
        <w:t>The relatively short duration of food and drink abstention may have affected BIA measurements.  However, longer abstention may be unethical and impractical.</w:t>
      </w:r>
      <w:r w:rsidR="00457FA4" w:rsidRPr="009F173A">
        <w:rPr>
          <w:bCs/>
          <w:vertAlign w:val="superscript"/>
        </w:rPr>
        <w:t>49</w:t>
      </w:r>
      <w:r w:rsidR="009439E8" w:rsidRPr="009F173A">
        <w:rPr>
          <w:bCs/>
        </w:rPr>
        <w:t xml:space="preserve"> </w:t>
      </w:r>
      <w:r w:rsidR="00841FCE" w:rsidRPr="009F173A">
        <w:rPr>
          <w:bCs/>
        </w:rPr>
        <w:t>We could not collect pubertal status from our sample</w:t>
      </w:r>
      <w:r w:rsidR="005C5700" w:rsidRPr="009F173A">
        <w:rPr>
          <w:bCs/>
        </w:rPr>
        <w:t xml:space="preserve"> and it</w:t>
      </w:r>
      <w:r w:rsidR="003240AA" w:rsidRPr="009F173A">
        <w:rPr>
          <w:bCs/>
        </w:rPr>
        <w:t xml:space="preserve"> is acknowledged that p</w:t>
      </w:r>
      <w:r w:rsidR="00841FCE" w:rsidRPr="009F173A">
        <w:rPr>
          <w:bCs/>
        </w:rPr>
        <w:t xml:space="preserve">ubertal status may have improved the accuracy of </w:t>
      </w:r>
      <w:r w:rsidR="00325552" w:rsidRPr="009F173A">
        <w:rPr>
          <w:bCs/>
        </w:rPr>
        <w:t>both %FM</w:t>
      </w:r>
      <w:r w:rsidR="00325552" w:rsidRPr="009F173A">
        <w:rPr>
          <w:bCs/>
          <w:vertAlign w:val="subscript"/>
        </w:rPr>
        <w:t>ADP</w:t>
      </w:r>
      <w:r w:rsidR="00325552" w:rsidRPr="009F173A">
        <w:rPr>
          <w:bCs/>
        </w:rPr>
        <w:t xml:space="preserve"> and %FM</w:t>
      </w:r>
      <w:r w:rsidR="00325552" w:rsidRPr="009F173A">
        <w:rPr>
          <w:bCs/>
          <w:vertAlign w:val="subscript"/>
        </w:rPr>
        <w:t>BIA</w:t>
      </w:r>
      <w:r w:rsidR="00447E8E" w:rsidRPr="009F173A">
        <w:rPr>
          <w:bCs/>
        </w:rPr>
        <w:t>.</w:t>
      </w:r>
      <w:r w:rsidR="00AE121E" w:rsidRPr="009F173A">
        <w:rPr>
          <w:bCs/>
        </w:rPr>
        <w:t xml:space="preserve"> Particularly for %FM</w:t>
      </w:r>
      <w:r w:rsidR="00AE121E" w:rsidRPr="009F173A">
        <w:rPr>
          <w:bCs/>
          <w:vertAlign w:val="subscript"/>
        </w:rPr>
        <w:t>BIA</w:t>
      </w:r>
      <w:r w:rsidR="00AE121E" w:rsidRPr="009F173A">
        <w:rPr>
          <w:bCs/>
        </w:rPr>
        <w:t xml:space="preserve"> measurements,</w:t>
      </w:r>
      <w:r w:rsidR="00C4103F" w:rsidRPr="009F173A">
        <w:rPr>
          <w:bCs/>
        </w:rPr>
        <w:t xml:space="preserve"> </w:t>
      </w:r>
      <w:r w:rsidR="00AE121E" w:rsidRPr="009F173A">
        <w:rPr>
          <w:bCs/>
        </w:rPr>
        <w:t xml:space="preserve">puberty/maturation status has an impact on total body water (TBW), but the current study used standardised procedures and age-appropriate equations to </w:t>
      </w:r>
      <w:r w:rsidR="00C019D6" w:rsidRPr="009F173A">
        <w:rPr>
          <w:bCs/>
        </w:rPr>
        <w:t>limit extraneous</w:t>
      </w:r>
      <w:r w:rsidR="00AE121E" w:rsidRPr="009F173A">
        <w:rPr>
          <w:bCs/>
        </w:rPr>
        <w:t xml:space="preserve"> variation.  Indeed, as reported by Horlick et al</w:t>
      </w:r>
      <w:r w:rsidR="00457FA4" w:rsidRPr="009F173A">
        <w:rPr>
          <w:bCs/>
          <w:vertAlign w:val="superscript"/>
        </w:rPr>
        <w:t>33</w:t>
      </w:r>
      <w:r w:rsidR="00AE121E" w:rsidRPr="009F173A">
        <w:rPr>
          <w:bCs/>
        </w:rPr>
        <w:t xml:space="preserve"> when developing the BIA equation used in the current study, including Tanner stage to the regression model for TBW had little effect on the predictive power above measures of age, height, mass and gender.</w:t>
      </w:r>
    </w:p>
    <w:p w14:paraId="7B1117AE" w14:textId="59C66B31" w:rsidR="00C2527D" w:rsidRPr="009F173A" w:rsidRDefault="00C2527D" w:rsidP="0079797A">
      <w:pPr>
        <w:spacing w:after="0" w:line="276" w:lineRule="auto"/>
        <w:rPr>
          <w:bCs/>
        </w:rPr>
      </w:pPr>
    </w:p>
    <w:p w14:paraId="51275A22" w14:textId="77777777" w:rsidR="007A49B9" w:rsidRPr="009F173A" w:rsidRDefault="007A49B9" w:rsidP="0079797A">
      <w:pPr>
        <w:spacing w:after="0" w:line="276" w:lineRule="auto"/>
        <w:rPr>
          <w:b/>
        </w:rPr>
      </w:pPr>
    </w:p>
    <w:p w14:paraId="0D10D3DD" w14:textId="77777777" w:rsidR="00B56D8D" w:rsidRPr="009F173A" w:rsidRDefault="00B56D8D" w:rsidP="0079797A">
      <w:pPr>
        <w:spacing w:after="0" w:line="276" w:lineRule="auto"/>
        <w:rPr>
          <w:b/>
        </w:rPr>
      </w:pPr>
      <w:r w:rsidRPr="009F173A">
        <w:rPr>
          <w:b/>
        </w:rPr>
        <w:t>Conclusion</w:t>
      </w:r>
    </w:p>
    <w:p w14:paraId="37388B0C" w14:textId="153211EF" w:rsidR="006C54DD" w:rsidRPr="009F173A" w:rsidRDefault="00B56D8D" w:rsidP="0079797A">
      <w:pPr>
        <w:spacing w:line="276" w:lineRule="auto"/>
      </w:pPr>
      <w:r w:rsidRPr="009F173A">
        <w:t xml:space="preserve">The results of the </w:t>
      </w:r>
      <w:r w:rsidR="00B209FF" w:rsidRPr="009F173A">
        <w:t>intra-day</w:t>
      </w:r>
      <w:r w:rsidRPr="009F173A">
        <w:t xml:space="preserve"> reliability tests reveal</w:t>
      </w:r>
      <w:r w:rsidR="00727660" w:rsidRPr="009F173A">
        <w:t>ed</w:t>
      </w:r>
      <w:r w:rsidRPr="009F173A">
        <w:t xml:space="preserve"> that both %FM</w:t>
      </w:r>
      <w:r w:rsidRPr="009F173A">
        <w:rPr>
          <w:vertAlign w:val="subscript"/>
        </w:rPr>
        <w:t>ADP</w:t>
      </w:r>
      <w:r w:rsidRPr="009F173A">
        <w:t xml:space="preserve"> and %FM</w:t>
      </w:r>
      <w:r w:rsidRPr="009F173A">
        <w:rPr>
          <w:vertAlign w:val="subscript"/>
        </w:rPr>
        <w:t>BIA</w:t>
      </w:r>
      <w:r w:rsidRPr="009F173A">
        <w:t xml:space="preserve"> are highly reliable in boys age 6</w:t>
      </w:r>
      <w:r w:rsidR="00F61944" w:rsidRPr="009F173A">
        <w:t>-</w:t>
      </w:r>
      <w:r w:rsidRPr="009F173A">
        <w:t>to</w:t>
      </w:r>
      <w:r w:rsidR="00F61944" w:rsidRPr="009F173A">
        <w:t>-</w:t>
      </w:r>
      <w:r w:rsidRPr="009F173A">
        <w:t>12</w:t>
      </w:r>
      <w:r w:rsidR="00F61944" w:rsidRPr="009F173A">
        <w:t>-</w:t>
      </w:r>
      <w:r w:rsidRPr="009F173A">
        <w:t>years</w:t>
      </w:r>
      <w:r w:rsidR="00F61944" w:rsidRPr="009F173A">
        <w:t>-</w:t>
      </w:r>
      <w:r w:rsidRPr="009F173A">
        <w:t>old.  %</w:t>
      </w:r>
      <w:r w:rsidR="00EA060E" w:rsidRPr="009F173A">
        <w:t>FM</w:t>
      </w:r>
      <w:r w:rsidR="00325552" w:rsidRPr="009F173A">
        <w:rPr>
          <w:vertAlign w:val="subscript"/>
        </w:rPr>
        <w:t>BIA</w:t>
      </w:r>
      <w:r w:rsidRPr="009F173A">
        <w:t xml:space="preserve"> was significantly correlated with %</w:t>
      </w:r>
      <w:r w:rsidR="00EA060E" w:rsidRPr="009F173A">
        <w:t>FM</w:t>
      </w:r>
      <w:r w:rsidRPr="009F173A">
        <w:rPr>
          <w:vertAlign w:val="subscript"/>
        </w:rPr>
        <w:t>A</w:t>
      </w:r>
      <w:r w:rsidR="00325552" w:rsidRPr="009F173A">
        <w:rPr>
          <w:vertAlign w:val="subscript"/>
        </w:rPr>
        <w:t>DP</w:t>
      </w:r>
      <w:r w:rsidRPr="009F173A">
        <w:t xml:space="preserve"> in </w:t>
      </w:r>
      <w:r w:rsidR="00EA7CF4" w:rsidRPr="009F173A">
        <w:t>children with and without obesity</w:t>
      </w:r>
      <w:r w:rsidRPr="009F173A">
        <w:t>.  However, %</w:t>
      </w:r>
      <w:r w:rsidR="00EA060E" w:rsidRPr="009F173A">
        <w:t>FM</w:t>
      </w:r>
      <w:r w:rsidR="00B329B2" w:rsidRPr="009F173A">
        <w:rPr>
          <w:vertAlign w:val="subscript"/>
        </w:rPr>
        <w:t>BIA</w:t>
      </w:r>
      <w:r w:rsidRPr="009F173A">
        <w:t xml:space="preserve"> was significantly underestimated in both groups, but only in the </w:t>
      </w:r>
      <w:r w:rsidR="00A67C91" w:rsidRPr="009F173A">
        <w:t xml:space="preserve">with </w:t>
      </w:r>
      <w:r w:rsidRPr="009F173A">
        <w:t>obes</w:t>
      </w:r>
      <w:r w:rsidR="00A67C91" w:rsidRPr="009F173A">
        <w:t>ity</w:t>
      </w:r>
      <w:r w:rsidRPr="009F173A">
        <w:t xml:space="preserve"> group was it beyond the minimal acceptable standard of ±3.5% (Heyward &amp; Wagner, 2004). </w:t>
      </w:r>
      <w:r w:rsidR="00F13937" w:rsidRPr="009F173A">
        <w:t>Therefore, BIA may be suitable for determining %FM in boys without obesity age 6</w:t>
      </w:r>
      <w:r w:rsidR="00F61944" w:rsidRPr="009F173A">
        <w:t>-</w:t>
      </w:r>
      <w:r w:rsidR="00F13937" w:rsidRPr="009F173A">
        <w:t>to</w:t>
      </w:r>
      <w:r w:rsidR="00F61944" w:rsidRPr="009F173A">
        <w:t>-</w:t>
      </w:r>
      <w:r w:rsidR="00F13937" w:rsidRPr="009F173A">
        <w:t>12 years</w:t>
      </w:r>
      <w:r w:rsidR="00F61944" w:rsidRPr="009F173A">
        <w:t>-</w:t>
      </w:r>
      <w:r w:rsidR="00F13937" w:rsidRPr="009F173A">
        <w:t xml:space="preserve">old.  </w:t>
      </w:r>
      <w:r w:rsidRPr="009F173A">
        <w:t xml:space="preserve">Similar to the findings of previous studies that have used different devices (e.g. foot-to-foot BIA), %FM equations (proprietary or adult), sample age (e.g. adolescents), and </w:t>
      </w:r>
      <w:r w:rsidR="00A67C91" w:rsidRPr="009F173A">
        <w:t xml:space="preserve">do not </w:t>
      </w:r>
      <w:r w:rsidR="00325552" w:rsidRPr="009F173A">
        <w:t>consider obesity status</w:t>
      </w:r>
      <w:r w:rsidRPr="009F173A">
        <w:t>, the large limits of agreement between %FM</w:t>
      </w:r>
      <w:r w:rsidRPr="009F173A">
        <w:rPr>
          <w:vertAlign w:val="subscript"/>
        </w:rPr>
        <w:t>ADP</w:t>
      </w:r>
      <w:r w:rsidRPr="009F173A">
        <w:t xml:space="preserve"> and %FM</w:t>
      </w:r>
      <w:r w:rsidRPr="009F173A">
        <w:rPr>
          <w:vertAlign w:val="subscript"/>
        </w:rPr>
        <w:t>BIA</w:t>
      </w:r>
      <w:r w:rsidRPr="009F173A">
        <w:t xml:space="preserve"> in the current study indicate that the devices cannot be used interchangeably in boys age 6</w:t>
      </w:r>
      <w:r w:rsidR="00F61944" w:rsidRPr="009F173A">
        <w:t>-</w:t>
      </w:r>
      <w:r w:rsidRPr="009F173A">
        <w:t>to</w:t>
      </w:r>
      <w:r w:rsidR="00F61944" w:rsidRPr="009F173A">
        <w:t>-</w:t>
      </w:r>
      <w:r w:rsidRPr="009F173A">
        <w:t>12</w:t>
      </w:r>
      <w:r w:rsidR="00F61944" w:rsidRPr="009F173A">
        <w:t>-</w:t>
      </w:r>
      <w:r w:rsidRPr="009F173A">
        <w:t>years</w:t>
      </w:r>
      <w:r w:rsidR="00F61944" w:rsidRPr="009F173A">
        <w:t>-</w:t>
      </w:r>
      <w:r w:rsidRPr="009F173A">
        <w:t xml:space="preserve">old. </w:t>
      </w:r>
    </w:p>
    <w:p w14:paraId="6BAFDFF4" w14:textId="682B5BE4" w:rsidR="006C54DD" w:rsidRPr="009F173A" w:rsidRDefault="006C54DD" w:rsidP="0079797A">
      <w:pPr>
        <w:spacing w:line="276" w:lineRule="auto"/>
      </w:pPr>
    </w:p>
    <w:p w14:paraId="627121D4" w14:textId="4E7D12DC" w:rsidR="00F61944" w:rsidRPr="009F173A" w:rsidRDefault="0073791D" w:rsidP="0079797A">
      <w:pPr>
        <w:spacing w:line="276" w:lineRule="auto"/>
        <w:rPr>
          <w:b/>
        </w:rPr>
      </w:pPr>
      <w:r w:rsidRPr="009F173A">
        <w:rPr>
          <w:b/>
        </w:rPr>
        <w:t>Conflicts of Interest statement</w:t>
      </w:r>
    </w:p>
    <w:p w14:paraId="5132F9CC" w14:textId="5E11C074" w:rsidR="0073791D" w:rsidRPr="009F173A" w:rsidRDefault="0073791D" w:rsidP="0079797A">
      <w:pPr>
        <w:spacing w:line="276" w:lineRule="auto"/>
      </w:pPr>
      <w:r w:rsidRPr="009F173A">
        <w:t>The authors declare no conflict of interest</w:t>
      </w:r>
      <w:r w:rsidR="00454002" w:rsidRPr="009F173A">
        <w:t xml:space="preserve"> in relation to this study</w:t>
      </w:r>
      <w:r w:rsidRPr="009F173A">
        <w:t>.</w:t>
      </w:r>
    </w:p>
    <w:p w14:paraId="09B36A79" w14:textId="2F496534" w:rsidR="00F61944" w:rsidRPr="009F173A" w:rsidRDefault="00F61944" w:rsidP="0079797A">
      <w:pPr>
        <w:spacing w:line="276" w:lineRule="auto"/>
      </w:pPr>
    </w:p>
    <w:p w14:paraId="2DBC4938" w14:textId="5C8EC665" w:rsidR="0073791D" w:rsidRPr="009F173A" w:rsidRDefault="0073791D" w:rsidP="0079797A">
      <w:pPr>
        <w:spacing w:line="276" w:lineRule="auto"/>
        <w:rPr>
          <w:b/>
        </w:rPr>
      </w:pPr>
      <w:r w:rsidRPr="009F173A">
        <w:rPr>
          <w:b/>
        </w:rPr>
        <w:t>Author Contributions</w:t>
      </w:r>
    </w:p>
    <w:p w14:paraId="257E2B53" w14:textId="0A2FB392" w:rsidR="0073791D" w:rsidRPr="009F173A" w:rsidRDefault="0073791D" w:rsidP="0079797A">
      <w:pPr>
        <w:spacing w:line="276" w:lineRule="auto"/>
      </w:pPr>
      <w:r w:rsidRPr="009F173A">
        <w:t xml:space="preserve">All authors contributed to </w:t>
      </w:r>
      <w:r w:rsidR="00454002" w:rsidRPr="009F173A">
        <w:t xml:space="preserve">conceptualisation, study design, </w:t>
      </w:r>
      <w:r w:rsidRPr="009F173A">
        <w:t xml:space="preserve">data analysis, data interpretation, </w:t>
      </w:r>
      <w:r w:rsidR="00454002" w:rsidRPr="009F173A">
        <w:t xml:space="preserve">presentation of tables and figures, </w:t>
      </w:r>
      <w:r w:rsidRPr="009F173A">
        <w:t>writing of the manuscript and manuscript revisions.</w:t>
      </w:r>
      <w:r w:rsidR="00454002" w:rsidRPr="009F173A">
        <w:t xml:space="preserve"> Ryan Mahaffey collected data.  </w:t>
      </w:r>
    </w:p>
    <w:p w14:paraId="1309C938" w14:textId="797927AE" w:rsidR="00454002" w:rsidRPr="009F173A" w:rsidRDefault="00454002" w:rsidP="0079797A">
      <w:pPr>
        <w:spacing w:line="276" w:lineRule="auto"/>
      </w:pPr>
    </w:p>
    <w:p w14:paraId="37F44336" w14:textId="527582EE" w:rsidR="00454002" w:rsidRPr="009F173A" w:rsidRDefault="00454002" w:rsidP="0079797A">
      <w:pPr>
        <w:spacing w:line="276" w:lineRule="auto"/>
        <w:rPr>
          <w:b/>
        </w:rPr>
      </w:pPr>
      <w:r w:rsidRPr="009F173A">
        <w:rPr>
          <w:b/>
        </w:rPr>
        <w:t>Acknowledgments</w:t>
      </w:r>
    </w:p>
    <w:p w14:paraId="4BE0F11B" w14:textId="77777777" w:rsidR="00834E9B" w:rsidRPr="009F173A" w:rsidRDefault="00454002" w:rsidP="0079797A">
      <w:pPr>
        <w:spacing w:line="276" w:lineRule="auto"/>
      </w:pPr>
      <w:r w:rsidRPr="009F173A">
        <w:t xml:space="preserve">We thank the children who participated in the study and the technical teams for their support.  </w:t>
      </w:r>
    </w:p>
    <w:p w14:paraId="64E59217" w14:textId="562263E8" w:rsidR="00834E9B" w:rsidRPr="009F173A" w:rsidRDefault="00834E9B" w:rsidP="0079797A">
      <w:pPr>
        <w:spacing w:line="276" w:lineRule="auto"/>
      </w:pPr>
    </w:p>
    <w:p w14:paraId="005F962C" w14:textId="31EABBEB" w:rsidR="00834E9B" w:rsidRPr="009F173A" w:rsidRDefault="00834E9B" w:rsidP="0079797A">
      <w:pPr>
        <w:spacing w:line="276" w:lineRule="auto"/>
        <w:rPr>
          <w:b/>
        </w:rPr>
      </w:pPr>
      <w:r w:rsidRPr="009F173A">
        <w:rPr>
          <w:b/>
        </w:rPr>
        <w:t>Finical Support</w:t>
      </w:r>
    </w:p>
    <w:p w14:paraId="26C6086A" w14:textId="0F8E65D7" w:rsidR="00454002" w:rsidRPr="009F173A" w:rsidRDefault="00454002" w:rsidP="0079797A">
      <w:pPr>
        <w:spacing w:line="276" w:lineRule="auto"/>
      </w:pPr>
      <w:r w:rsidRPr="009F173A">
        <w:t>The research was funded by the Dr William M. Scholl Podiatric Research and Development Fund.</w:t>
      </w:r>
    </w:p>
    <w:p w14:paraId="40DD42BA" w14:textId="5B6B4FDD" w:rsidR="00454002" w:rsidRPr="009F173A" w:rsidRDefault="00454002" w:rsidP="0079797A">
      <w:pPr>
        <w:spacing w:line="276" w:lineRule="auto"/>
      </w:pPr>
    </w:p>
    <w:p w14:paraId="3EE3C38D" w14:textId="5E6A8149" w:rsidR="001503D4" w:rsidRPr="009F173A" w:rsidRDefault="001503D4" w:rsidP="0079797A">
      <w:pPr>
        <w:spacing w:line="276" w:lineRule="auto"/>
      </w:pPr>
    </w:p>
    <w:p w14:paraId="36EEB273" w14:textId="0BE88A70" w:rsidR="001503D4" w:rsidRPr="009F173A" w:rsidRDefault="001503D4" w:rsidP="0079797A">
      <w:pPr>
        <w:spacing w:line="276" w:lineRule="auto"/>
      </w:pPr>
    </w:p>
    <w:p w14:paraId="7313A55B" w14:textId="38A179EB" w:rsidR="001503D4" w:rsidRPr="009F173A" w:rsidRDefault="001503D4" w:rsidP="0079797A">
      <w:pPr>
        <w:spacing w:line="276" w:lineRule="auto"/>
      </w:pPr>
    </w:p>
    <w:p w14:paraId="25CEFEDE" w14:textId="3DDFB5ED" w:rsidR="001503D4" w:rsidRPr="009F173A" w:rsidRDefault="001503D4" w:rsidP="0079797A">
      <w:pPr>
        <w:spacing w:line="276" w:lineRule="auto"/>
      </w:pPr>
    </w:p>
    <w:p w14:paraId="4A532BAD" w14:textId="5BDB1BC3" w:rsidR="00E24760" w:rsidRPr="009F173A" w:rsidRDefault="00E24760" w:rsidP="0079797A">
      <w:pPr>
        <w:spacing w:line="276" w:lineRule="auto"/>
      </w:pPr>
    </w:p>
    <w:p w14:paraId="7FC501F8" w14:textId="548CD393" w:rsidR="00E24760" w:rsidRPr="009F173A" w:rsidRDefault="00E24760" w:rsidP="0079797A">
      <w:pPr>
        <w:spacing w:line="276" w:lineRule="auto"/>
      </w:pPr>
    </w:p>
    <w:p w14:paraId="399D8732" w14:textId="093CCDEF" w:rsidR="00E24760" w:rsidRPr="009F173A" w:rsidRDefault="00E24760" w:rsidP="0079797A">
      <w:pPr>
        <w:spacing w:line="276" w:lineRule="auto"/>
      </w:pPr>
    </w:p>
    <w:p w14:paraId="7CB4FE0C" w14:textId="0933B373" w:rsidR="00E24760" w:rsidRPr="009F173A" w:rsidRDefault="00E24760" w:rsidP="0079797A">
      <w:pPr>
        <w:spacing w:line="276" w:lineRule="auto"/>
      </w:pPr>
    </w:p>
    <w:p w14:paraId="1F77FF52" w14:textId="3C2B5B4B" w:rsidR="00E24760" w:rsidRPr="009F173A" w:rsidRDefault="00E24760" w:rsidP="0079797A">
      <w:pPr>
        <w:spacing w:line="276" w:lineRule="auto"/>
      </w:pPr>
    </w:p>
    <w:p w14:paraId="665A19A5" w14:textId="28900E76" w:rsidR="00E24760" w:rsidRPr="009F173A" w:rsidRDefault="00E24760" w:rsidP="0079797A">
      <w:pPr>
        <w:spacing w:line="276" w:lineRule="auto"/>
      </w:pPr>
    </w:p>
    <w:p w14:paraId="39879258" w14:textId="502BB5CD" w:rsidR="00E24760" w:rsidRPr="009F173A" w:rsidRDefault="00E24760" w:rsidP="0079797A">
      <w:pPr>
        <w:spacing w:line="276" w:lineRule="auto"/>
      </w:pPr>
    </w:p>
    <w:p w14:paraId="37EA4B38" w14:textId="01DF0417" w:rsidR="00E24760" w:rsidRPr="009F173A" w:rsidRDefault="00E24760" w:rsidP="0079797A">
      <w:pPr>
        <w:spacing w:line="276" w:lineRule="auto"/>
      </w:pPr>
    </w:p>
    <w:p w14:paraId="63AC9E53" w14:textId="79D676F2" w:rsidR="00E24760" w:rsidRPr="009F173A" w:rsidRDefault="00E24760" w:rsidP="0079797A">
      <w:pPr>
        <w:spacing w:line="276" w:lineRule="auto"/>
      </w:pPr>
    </w:p>
    <w:p w14:paraId="339E1A06" w14:textId="368F9C6E" w:rsidR="00E24760" w:rsidRPr="009F173A" w:rsidRDefault="00E24760" w:rsidP="0079797A">
      <w:pPr>
        <w:spacing w:line="276" w:lineRule="auto"/>
      </w:pPr>
    </w:p>
    <w:p w14:paraId="3E70F43D" w14:textId="77777777" w:rsidR="00E24760" w:rsidRPr="009F173A" w:rsidRDefault="00E24760" w:rsidP="0079797A">
      <w:pPr>
        <w:spacing w:line="276" w:lineRule="auto"/>
      </w:pPr>
    </w:p>
    <w:p w14:paraId="14EC8455" w14:textId="194CDEA9" w:rsidR="001503D4" w:rsidRPr="009F173A" w:rsidRDefault="001503D4" w:rsidP="0079797A">
      <w:pPr>
        <w:spacing w:line="276" w:lineRule="auto"/>
      </w:pPr>
    </w:p>
    <w:p w14:paraId="3506C5F9" w14:textId="77777777" w:rsidR="001503D4" w:rsidRPr="009F173A" w:rsidRDefault="001503D4" w:rsidP="0079797A">
      <w:pPr>
        <w:spacing w:line="276" w:lineRule="auto"/>
      </w:pPr>
    </w:p>
    <w:p w14:paraId="66BDE5DE" w14:textId="481DB206" w:rsidR="006C54DD" w:rsidRPr="009F173A" w:rsidRDefault="006C54DD" w:rsidP="0079797A">
      <w:pPr>
        <w:spacing w:line="276" w:lineRule="auto"/>
        <w:rPr>
          <w:b/>
        </w:rPr>
      </w:pPr>
      <w:bookmarkStart w:id="29" w:name="_Hlk108001199"/>
      <w:r w:rsidRPr="009F173A">
        <w:rPr>
          <w:b/>
        </w:rPr>
        <w:t>References</w:t>
      </w:r>
    </w:p>
    <w:bookmarkEnd w:id="29"/>
    <w:p w14:paraId="6777DE82" w14:textId="77777777" w:rsidR="00E24760" w:rsidRPr="009F173A" w:rsidRDefault="00E24760" w:rsidP="00E24760">
      <w:pPr>
        <w:pStyle w:val="ListParagraph"/>
        <w:numPr>
          <w:ilvl w:val="0"/>
          <w:numId w:val="6"/>
        </w:numPr>
        <w:ind w:left="284" w:hanging="284"/>
        <w:rPr>
          <w:rFonts w:eastAsia="Calibri" w:cstheme="minorHAnsi"/>
        </w:rPr>
      </w:pPr>
      <w:r w:rsidRPr="009F173A">
        <w:rPr>
          <w:rFonts w:eastAsia="Calibri" w:cstheme="minorHAnsi"/>
        </w:rPr>
        <w:t xml:space="preserve">Sommer A &amp; Twig G. The Impact of Childhood and Adolescent Obesity on Cardiovascular Risk in Adulthood: a Systematic Review. </w:t>
      </w:r>
      <w:r w:rsidRPr="009F173A">
        <w:rPr>
          <w:rFonts w:eastAsia="Calibri" w:cstheme="minorHAnsi"/>
          <w:i/>
        </w:rPr>
        <w:t>Curr Diab Rep.</w:t>
      </w:r>
      <w:r w:rsidRPr="009F173A">
        <w:rPr>
          <w:rFonts w:eastAsia="Calibri" w:cstheme="minorHAnsi"/>
        </w:rPr>
        <w:t xml:space="preserve"> 2018; 18 (91): 1062-9</w:t>
      </w:r>
    </w:p>
    <w:p w14:paraId="7CA00806" w14:textId="77777777" w:rsidR="00E24760" w:rsidRPr="009F173A" w:rsidRDefault="00E24760" w:rsidP="00E24760">
      <w:pPr>
        <w:pStyle w:val="ListParagraph"/>
        <w:numPr>
          <w:ilvl w:val="0"/>
          <w:numId w:val="6"/>
        </w:numPr>
        <w:ind w:left="284" w:hanging="284"/>
        <w:rPr>
          <w:rFonts w:eastAsia="Calibri" w:cstheme="minorHAnsi"/>
        </w:rPr>
      </w:pPr>
      <w:r w:rsidRPr="009F173A">
        <w:rPr>
          <w:rFonts w:eastAsia="Calibri" w:cstheme="minorHAnsi"/>
        </w:rPr>
        <w:t xml:space="preserve">Lindberg L, Danielsson P, Persson M, Marcus C, Hagman E. Association of childhood obesity with risk of early all-cause and cause-specific mortality: A Swedish prospective cohort study. </w:t>
      </w:r>
      <w:r w:rsidRPr="009F173A">
        <w:rPr>
          <w:rFonts w:eastAsia="Calibri" w:cstheme="minorHAnsi"/>
          <w:i/>
        </w:rPr>
        <w:t>Plos Med</w:t>
      </w:r>
      <w:r w:rsidRPr="009F173A">
        <w:rPr>
          <w:rFonts w:eastAsia="Calibri" w:cstheme="minorHAnsi"/>
        </w:rPr>
        <w:t>. 2020; 17(3): e1003078</w:t>
      </w:r>
    </w:p>
    <w:p w14:paraId="2260D67A" w14:textId="77777777" w:rsidR="00E24760" w:rsidRPr="009F173A" w:rsidRDefault="00E24760" w:rsidP="00E24760">
      <w:pPr>
        <w:pStyle w:val="ListParagraph"/>
        <w:numPr>
          <w:ilvl w:val="0"/>
          <w:numId w:val="6"/>
        </w:numPr>
        <w:ind w:left="284" w:hanging="284"/>
        <w:rPr>
          <w:rFonts w:cstheme="minorHAnsi"/>
          <w:lang w:val="en-US"/>
        </w:rPr>
      </w:pPr>
      <w:r w:rsidRPr="009F173A">
        <w:rPr>
          <w:rFonts w:cstheme="minorHAnsi"/>
          <w:lang w:val="en-US"/>
        </w:rPr>
        <w:t xml:space="preserve">Kumar S &amp; Kelly AS. Review of Childhood Obesity: From Epidemiology, Etiology, and Comorbidities to Clinical Assessment and Treatment. </w:t>
      </w:r>
      <w:r w:rsidRPr="009F173A">
        <w:rPr>
          <w:rFonts w:cstheme="minorHAnsi"/>
          <w:i/>
          <w:lang w:val="en-US"/>
        </w:rPr>
        <w:t>Mayo Clin Proc.</w:t>
      </w:r>
      <w:r w:rsidRPr="009F173A">
        <w:rPr>
          <w:rFonts w:cstheme="minorHAnsi"/>
          <w:lang w:val="en-US"/>
        </w:rPr>
        <w:t xml:space="preserve"> 2017; 92(2): 251-265</w:t>
      </w:r>
    </w:p>
    <w:p w14:paraId="7810C961" w14:textId="77777777" w:rsidR="00E24760" w:rsidRPr="009F173A" w:rsidRDefault="00E24760" w:rsidP="00E24760">
      <w:pPr>
        <w:pStyle w:val="ListParagraph"/>
        <w:numPr>
          <w:ilvl w:val="0"/>
          <w:numId w:val="6"/>
        </w:numPr>
        <w:ind w:left="284" w:hanging="284"/>
        <w:rPr>
          <w:rFonts w:eastAsia="Calibri" w:cstheme="minorHAnsi"/>
        </w:rPr>
      </w:pPr>
      <w:r w:rsidRPr="009F173A">
        <w:rPr>
          <w:rFonts w:eastAsia="Calibri" w:cstheme="minorHAnsi"/>
        </w:rPr>
        <w:t xml:space="preserve">Lobstein T &amp; Jackson-Leach R. Planning for the worst: estimates of obesity and comorbidities in school-age children in 2025. </w:t>
      </w:r>
      <w:r w:rsidRPr="009F173A">
        <w:rPr>
          <w:rFonts w:eastAsia="Calibri" w:cstheme="minorHAnsi"/>
          <w:i/>
        </w:rPr>
        <w:t xml:space="preserve">Pediatr Obes. </w:t>
      </w:r>
      <w:r w:rsidRPr="009F173A">
        <w:rPr>
          <w:rFonts w:eastAsia="Calibri" w:cstheme="minorHAnsi"/>
        </w:rPr>
        <w:t>2016;</w:t>
      </w:r>
      <w:r w:rsidRPr="009F173A">
        <w:rPr>
          <w:rFonts w:eastAsia="Calibri" w:cstheme="minorHAnsi"/>
          <w:i/>
        </w:rPr>
        <w:t xml:space="preserve"> </w:t>
      </w:r>
      <w:r w:rsidRPr="009F173A">
        <w:rPr>
          <w:rFonts w:eastAsia="Calibri" w:cstheme="minorHAnsi"/>
        </w:rPr>
        <w:t>11(5): 321-5</w:t>
      </w:r>
    </w:p>
    <w:p w14:paraId="370A7DE2" w14:textId="77777777" w:rsidR="00E24760" w:rsidRPr="009F173A" w:rsidRDefault="00E24760" w:rsidP="00E24760">
      <w:pPr>
        <w:pStyle w:val="ListParagraph"/>
        <w:numPr>
          <w:ilvl w:val="0"/>
          <w:numId w:val="6"/>
        </w:numPr>
        <w:ind w:left="284" w:hanging="284"/>
        <w:rPr>
          <w:rFonts w:eastAsia="Calibri" w:cstheme="minorHAnsi"/>
        </w:rPr>
      </w:pPr>
      <w:r w:rsidRPr="009F173A">
        <w:rPr>
          <w:rFonts w:eastAsia="Calibri" w:cstheme="minorHAnsi"/>
        </w:rPr>
        <w:t xml:space="preserve">Ward ZJ, Long MW, Resch SC, Giles CM, Cradock AL, Gortmaker SL. Simulation of Growth Trajectories of Childhood Obesity into Adulthood. </w:t>
      </w:r>
      <w:r w:rsidRPr="009F173A">
        <w:rPr>
          <w:rFonts w:eastAsia="Calibri" w:cstheme="minorHAnsi"/>
          <w:i/>
        </w:rPr>
        <w:t>N Engl J Med.</w:t>
      </w:r>
      <w:r w:rsidRPr="009F173A">
        <w:rPr>
          <w:rFonts w:eastAsia="Calibri" w:cstheme="minorHAnsi"/>
        </w:rPr>
        <w:t xml:space="preserve"> 2017; 377: 2145-53</w:t>
      </w:r>
    </w:p>
    <w:p w14:paraId="288C1375" w14:textId="77777777" w:rsidR="00E24760" w:rsidRPr="009F173A" w:rsidRDefault="00E24760" w:rsidP="00E24760">
      <w:pPr>
        <w:pStyle w:val="ListParagraph"/>
        <w:numPr>
          <w:ilvl w:val="0"/>
          <w:numId w:val="6"/>
        </w:numPr>
        <w:ind w:left="284" w:hanging="284"/>
        <w:rPr>
          <w:rFonts w:cstheme="minorHAnsi"/>
          <w:lang w:val="en-US"/>
        </w:rPr>
      </w:pPr>
      <w:r w:rsidRPr="009F173A">
        <w:rPr>
          <w:rFonts w:cstheme="minorHAnsi"/>
          <w:lang w:val="en-US"/>
        </w:rPr>
        <w:t>World Health Organization (2021, June 9).  Obesity and Overweight. https://www.who.int/news-room/fact-sheets/detail/obesity-and-overweight</w:t>
      </w:r>
    </w:p>
    <w:p w14:paraId="20D32681" w14:textId="77777777" w:rsidR="00E24760" w:rsidRPr="009F173A" w:rsidRDefault="00E24760" w:rsidP="00E24760">
      <w:pPr>
        <w:pStyle w:val="ListParagraph"/>
        <w:numPr>
          <w:ilvl w:val="0"/>
          <w:numId w:val="6"/>
        </w:numPr>
        <w:ind w:left="284" w:hanging="284"/>
      </w:pPr>
      <w:r w:rsidRPr="009F173A">
        <w:t xml:space="preserve">Cole TJ, Freeman JV, Preece MA. British 1990 growth reference centiles for weight, height, body mass index and head circumference fitted by maximum penalized likelihood. </w:t>
      </w:r>
      <w:r w:rsidRPr="009F173A">
        <w:rPr>
          <w:i/>
          <w:iCs/>
        </w:rPr>
        <w:t>Stat Med.</w:t>
      </w:r>
      <w:r w:rsidRPr="009F173A">
        <w:rPr>
          <w:iCs/>
        </w:rPr>
        <w:t xml:space="preserve"> 1998;</w:t>
      </w:r>
      <w:r w:rsidRPr="009F173A">
        <w:rPr>
          <w:i/>
          <w:iCs/>
        </w:rPr>
        <w:t xml:space="preserve"> </w:t>
      </w:r>
      <w:r w:rsidRPr="009F173A">
        <w:t>17(4): 407-429.</w:t>
      </w:r>
    </w:p>
    <w:p w14:paraId="5F78E2C7" w14:textId="77777777" w:rsidR="00E24760" w:rsidRPr="009F173A" w:rsidRDefault="00E24760" w:rsidP="00E24760">
      <w:pPr>
        <w:pStyle w:val="ListParagraph"/>
        <w:numPr>
          <w:ilvl w:val="0"/>
          <w:numId w:val="6"/>
        </w:numPr>
        <w:ind w:left="284" w:hanging="284"/>
      </w:pPr>
      <w:r w:rsidRPr="009F173A">
        <w:t xml:space="preserve">Maynard LM, Wisemandle W, Roche AF, Chumlea WC, Guo SS, Siervogel RM. Childhood body composition in relation to body mass index. </w:t>
      </w:r>
      <w:r w:rsidRPr="009F173A">
        <w:rPr>
          <w:i/>
          <w:iCs/>
        </w:rPr>
        <w:t>Pediatrics.</w:t>
      </w:r>
      <w:r w:rsidRPr="009F173A">
        <w:rPr>
          <w:iCs/>
        </w:rPr>
        <w:t xml:space="preserve"> 2001;</w:t>
      </w:r>
      <w:r w:rsidRPr="009F173A">
        <w:rPr>
          <w:i/>
          <w:iCs/>
        </w:rPr>
        <w:t xml:space="preserve"> </w:t>
      </w:r>
      <w:r w:rsidRPr="009F173A">
        <w:t>107(2): 344-350.</w:t>
      </w:r>
    </w:p>
    <w:p w14:paraId="3BA0C3CF" w14:textId="77777777" w:rsidR="00E24760" w:rsidRPr="009F173A" w:rsidRDefault="00E24760" w:rsidP="00E24760">
      <w:pPr>
        <w:pStyle w:val="ListParagraph"/>
        <w:numPr>
          <w:ilvl w:val="0"/>
          <w:numId w:val="6"/>
        </w:numPr>
        <w:ind w:left="284" w:hanging="284"/>
      </w:pPr>
      <w:r w:rsidRPr="009F173A">
        <w:t xml:space="preserve">Wells JC, Fuller NJ, Dewit O, Fewtrell MS, Elian M, Cole TJ. Four-component model of body composition in children: Density and hydration of fat-free mass and comparison with simpler models. </w:t>
      </w:r>
      <w:r w:rsidRPr="009F173A">
        <w:rPr>
          <w:i/>
          <w:iCs/>
        </w:rPr>
        <w:t>Am J Clin Nutr.</w:t>
      </w:r>
      <w:r w:rsidRPr="009F173A">
        <w:rPr>
          <w:iCs/>
        </w:rPr>
        <w:t xml:space="preserve"> 1999;</w:t>
      </w:r>
      <w:r w:rsidRPr="009F173A">
        <w:rPr>
          <w:i/>
          <w:iCs/>
        </w:rPr>
        <w:t xml:space="preserve"> </w:t>
      </w:r>
      <w:r w:rsidRPr="009F173A">
        <w:t>69: 904-912.</w:t>
      </w:r>
    </w:p>
    <w:p w14:paraId="2184BC09" w14:textId="77777777" w:rsidR="00E24760" w:rsidRPr="009F173A" w:rsidRDefault="00E24760" w:rsidP="00E24760">
      <w:pPr>
        <w:pStyle w:val="ListParagraph"/>
        <w:numPr>
          <w:ilvl w:val="0"/>
          <w:numId w:val="6"/>
        </w:numPr>
        <w:ind w:left="284" w:hanging="284"/>
        <w:rPr>
          <w:rFonts w:cstheme="minorHAnsi"/>
          <w:lang w:val="en-US"/>
        </w:rPr>
      </w:pPr>
      <w:r w:rsidRPr="009F173A">
        <w:rPr>
          <w:rFonts w:cstheme="minorHAnsi"/>
          <w:lang w:val="en-US"/>
        </w:rPr>
        <w:t xml:space="preserve">Kyle UG, Earthman CP, Pichard C, Cross-Bu JA. Body composition during growth in children: limitations and perspectives of bioelectrical impedance analysis.  </w:t>
      </w:r>
      <w:r w:rsidRPr="009F173A">
        <w:rPr>
          <w:rFonts w:cstheme="minorHAnsi"/>
          <w:i/>
          <w:lang w:val="en-US"/>
        </w:rPr>
        <w:t>Eur J Clin Nutr</w:t>
      </w:r>
      <w:r w:rsidRPr="009F173A">
        <w:rPr>
          <w:rFonts w:cstheme="minorHAnsi"/>
          <w:lang w:val="en-US"/>
        </w:rPr>
        <w:t>.  2016; 69: 1298-1305</w:t>
      </w:r>
    </w:p>
    <w:p w14:paraId="7C2E64F5" w14:textId="77777777" w:rsidR="00E24760" w:rsidRPr="009F173A" w:rsidRDefault="00E24760" w:rsidP="00E24760">
      <w:pPr>
        <w:pStyle w:val="ListParagraph"/>
        <w:numPr>
          <w:ilvl w:val="0"/>
          <w:numId w:val="6"/>
        </w:numPr>
        <w:ind w:left="284" w:hanging="284"/>
        <w:rPr>
          <w:rFonts w:cstheme="minorHAnsi"/>
          <w:lang w:val="en-US"/>
        </w:rPr>
      </w:pPr>
      <w:r w:rsidRPr="009F173A">
        <w:rPr>
          <w:rFonts w:cstheme="minorHAnsi"/>
          <w:lang w:val="en-US"/>
        </w:rPr>
        <w:t xml:space="preserve">Wells JCK, Williams JE, Chomtho S, et al.  Pediatric reference data for lean tissue properties: density and hydration from age 5 to 20 y. </w:t>
      </w:r>
      <w:r w:rsidRPr="009F173A">
        <w:rPr>
          <w:rFonts w:cstheme="minorHAnsi"/>
          <w:i/>
          <w:lang w:val="en-US"/>
        </w:rPr>
        <w:t>Am J Clin Nutr</w:t>
      </w:r>
      <w:r w:rsidRPr="009F173A">
        <w:rPr>
          <w:rFonts w:cstheme="minorHAnsi"/>
          <w:lang w:val="en-US"/>
        </w:rPr>
        <w:t>.  2010; 91: 610-618</w:t>
      </w:r>
    </w:p>
    <w:p w14:paraId="1AE3F3FB" w14:textId="77777777" w:rsidR="00E24760" w:rsidRPr="009F173A" w:rsidRDefault="00E24760" w:rsidP="00E24760">
      <w:pPr>
        <w:pStyle w:val="ListParagraph"/>
        <w:numPr>
          <w:ilvl w:val="0"/>
          <w:numId w:val="6"/>
        </w:numPr>
        <w:ind w:left="284" w:hanging="284"/>
        <w:rPr>
          <w:bCs/>
        </w:rPr>
      </w:pPr>
      <w:r w:rsidRPr="009F173A">
        <w:rPr>
          <w:bCs/>
        </w:rPr>
        <w:t xml:space="preserve">Talma H, Chinapaw MJM, Bakker B, HiraSing RA, Terwee CB, Altenburg TM. Bioelectrical impedance analysis to estimate body composition in children and adolescents: a systematic review and evidence appraisal of validity, responsiveness, reliability and measurement error. </w:t>
      </w:r>
      <w:r w:rsidRPr="009F173A">
        <w:rPr>
          <w:bCs/>
          <w:i/>
        </w:rPr>
        <w:t>Obes Rev</w:t>
      </w:r>
      <w:r w:rsidRPr="009F173A">
        <w:rPr>
          <w:bCs/>
        </w:rPr>
        <w:t>. 2013; 14(11): 895-905</w:t>
      </w:r>
    </w:p>
    <w:p w14:paraId="3613AA18" w14:textId="77777777" w:rsidR="00E24760" w:rsidRPr="009F173A" w:rsidRDefault="00E24760" w:rsidP="00E24760">
      <w:pPr>
        <w:pStyle w:val="ListParagraph"/>
        <w:numPr>
          <w:ilvl w:val="0"/>
          <w:numId w:val="6"/>
        </w:numPr>
        <w:ind w:left="284" w:hanging="284"/>
      </w:pPr>
      <w:r w:rsidRPr="009F173A">
        <w:t xml:space="preserve">Lobstein T, Baur L, Uauy R, IASO International Obesity TaskForce. Obesity in children and young people: A crisis in public health. </w:t>
      </w:r>
      <w:r w:rsidRPr="009F173A">
        <w:rPr>
          <w:i/>
          <w:iCs/>
        </w:rPr>
        <w:t>Obes Rev.</w:t>
      </w:r>
      <w:r w:rsidRPr="009F173A">
        <w:rPr>
          <w:iCs/>
        </w:rPr>
        <w:t xml:space="preserve"> 2004;</w:t>
      </w:r>
      <w:r w:rsidRPr="009F173A">
        <w:rPr>
          <w:i/>
          <w:iCs/>
        </w:rPr>
        <w:t xml:space="preserve"> </w:t>
      </w:r>
      <w:r w:rsidRPr="009F173A">
        <w:t>5 Suppl 1: 4-104.</w:t>
      </w:r>
    </w:p>
    <w:p w14:paraId="2B712041" w14:textId="77777777" w:rsidR="00E24760" w:rsidRPr="009F173A" w:rsidRDefault="00E24760" w:rsidP="00E24760">
      <w:pPr>
        <w:pStyle w:val="ListParagraph"/>
        <w:numPr>
          <w:ilvl w:val="0"/>
          <w:numId w:val="6"/>
        </w:numPr>
        <w:ind w:left="284" w:hanging="284"/>
      </w:pPr>
      <w:r w:rsidRPr="009F173A">
        <w:t xml:space="preserve">Dempster P &amp; Aitkens S. A new air displacement method for the determination of human body composition. </w:t>
      </w:r>
      <w:r w:rsidRPr="009F173A">
        <w:rPr>
          <w:i/>
          <w:iCs/>
        </w:rPr>
        <w:t xml:space="preserve">Med Sci Sports Exerc, </w:t>
      </w:r>
      <w:r w:rsidRPr="009F173A">
        <w:rPr>
          <w:iCs/>
        </w:rPr>
        <w:t xml:space="preserve">1995; </w:t>
      </w:r>
      <w:r w:rsidRPr="009F173A">
        <w:t>27(12): 1692-1697.</w:t>
      </w:r>
    </w:p>
    <w:p w14:paraId="2DEF26AB" w14:textId="77777777" w:rsidR="00E24760" w:rsidRPr="009F173A" w:rsidRDefault="00E24760" w:rsidP="00E24760">
      <w:pPr>
        <w:pStyle w:val="ListParagraph"/>
        <w:numPr>
          <w:ilvl w:val="0"/>
          <w:numId w:val="6"/>
        </w:numPr>
        <w:ind w:left="284" w:hanging="284"/>
      </w:pPr>
      <w:r w:rsidRPr="009F173A">
        <w:t xml:space="preserve">Wells JC, Fuller NJ, Wright A, Fewtrell MS, Cole TJ. Evaluation of air-displacement plethysmography in children aged 5-7 years using a three-component model of body composition. </w:t>
      </w:r>
      <w:r w:rsidRPr="009F173A">
        <w:rPr>
          <w:i/>
          <w:iCs/>
        </w:rPr>
        <w:t>Br J Nutr.</w:t>
      </w:r>
      <w:r w:rsidRPr="009F173A">
        <w:rPr>
          <w:iCs/>
        </w:rPr>
        <w:t xml:space="preserve"> 2003;</w:t>
      </w:r>
      <w:r w:rsidRPr="009F173A">
        <w:rPr>
          <w:i/>
          <w:iCs/>
        </w:rPr>
        <w:t xml:space="preserve"> </w:t>
      </w:r>
      <w:r w:rsidRPr="009F173A">
        <w:t>90(3): 699-707.</w:t>
      </w:r>
    </w:p>
    <w:p w14:paraId="4AAB4BC8" w14:textId="77777777" w:rsidR="00E24760" w:rsidRPr="009F173A" w:rsidRDefault="00E24760" w:rsidP="00E24760">
      <w:pPr>
        <w:pStyle w:val="ListParagraph"/>
        <w:numPr>
          <w:ilvl w:val="0"/>
          <w:numId w:val="6"/>
        </w:numPr>
        <w:ind w:left="284" w:hanging="284"/>
      </w:pPr>
      <w:r w:rsidRPr="009F173A">
        <w:t xml:space="preserve">Gately PJ, Radley D, Cooke CB, et al. (2003) Comparison of body composition methods in overweight and obese children. </w:t>
      </w:r>
      <w:r w:rsidRPr="009F173A">
        <w:rPr>
          <w:i/>
          <w:iCs/>
        </w:rPr>
        <w:t>J Appl Physiol.</w:t>
      </w:r>
      <w:r w:rsidRPr="009F173A">
        <w:rPr>
          <w:iCs/>
        </w:rPr>
        <w:t xml:space="preserve"> 2003;</w:t>
      </w:r>
      <w:r w:rsidRPr="009F173A">
        <w:rPr>
          <w:i/>
          <w:iCs/>
        </w:rPr>
        <w:t xml:space="preserve"> </w:t>
      </w:r>
      <w:r w:rsidRPr="009F173A">
        <w:t>95(5): 2039-2046.</w:t>
      </w:r>
    </w:p>
    <w:p w14:paraId="28871372" w14:textId="77777777" w:rsidR="00E24760" w:rsidRPr="009F173A" w:rsidRDefault="00E24760" w:rsidP="00E24760">
      <w:pPr>
        <w:pStyle w:val="ListParagraph"/>
        <w:numPr>
          <w:ilvl w:val="0"/>
          <w:numId w:val="6"/>
        </w:numPr>
        <w:ind w:left="284" w:hanging="284"/>
      </w:pPr>
      <w:r w:rsidRPr="009F173A">
        <w:t xml:space="preserve">Lazzer S, Bedogni G, Agosti F, De Col A, Mornati D, Sartorio A. Comparison of dual-energy x-ray absorptiometry, air displacement plethysmography and bioelectrical impedance analysis for the assessment of body composition in severely obese caucasian children and adolescents. </w:t>
      </w:r>
      <w:r w:rsidRPr="009F173A">
        <w:rPr>
          <w:i/>
          <w:iCs/>
        </w:rPr>
        <w:t xml:space="preserve">Br J Nutr. </w:t>
      </w:r>
      <w:r w:rsidRPr="009F173A">
        <w:rPr>
          <w:iCs/>
        </w:rPr>
        <w:t>2008;</w:t>
      </w:r>
      <w:r w:rsidRPr="009F173A">
        <w:rPr>
          <w:i/>
          <w:iCs/>
        </w:rPr>
        <w:t xml:space="preserve"> </w:t>
      </w:r>
      <w:r w:rsidRPr="009F173A">
        <w:t>100(4): 918-924.</w:t>
      </w:r>
    </w:p>
    <w:p w14:paraId="6101C372" w14:textId="77777777" w:rsidR="00E24760" w:rsidRPr="009F173A" w:rsidRDefault="00E24760" w:rsidP="00E24760">
      <w:pPr>
        <w:pStyle w:val="ListParagraph"/>
        <w:numPr>
          <w:ilvl w:val="0"/>
          <w:numId w:val="6"/>
        </w:numPr>
        <w:ind w:left="284" w:hanging="284"/>
        <w:rPr>
          <w:bCs/>
        </w:rPr>
      </w:pPr>
      <w:r w:rsidRPr="009F173A">
        <w:rPr>
          <w:bCs/>
        </w:rPr>
        <w:t xml:space="preserve">Lohman TG &amp; Goring SB. Body composition assessment for development of an international growth standard for preadolescent and adolescent children.  </w:t>
      </w:r>
      <w:r w:rsidRPr="009F173A">
        <w:rPr>
          <w:bCs/>
          <w:i/>
        </w:rPr>
        <w:t>Food Nutr Bull.</w:t>
      </w:r>
      <w:r w:rsidRPr="009F173A">
        <w:rPr>
          <w:bCs/>
        </w:rPr>
        <w:t xml:space="preserve">  2006;27(4): S314-S325</w:t>
      </w:r>
    </w:p>
    <w:p w14:paraId="1BB3CDC0" w14:textId="77777777" w:rsidR="00E24760" w:rsidRPr="009F173A" w:rsidRDefault="00E24760" w:rsidP="00E24760">
      <w:pPr>
        <w:pStyle w:val="ListParagraph"/>
        <w:numPr>
          <w:ilvl w:val="0"/>
          <w:numId w:val="6"/>
        </w:numPr>
        <w:ind w:left="284" w:hanging="284"/>
        <w:rPr>
          <w:bCs/>
        </w:rPr>
      </w:pPr>
      <w:r w:rsidRPr="009F173A">
        <w:rPr>
          <w:bCs/>
        </w:rPr>
        <w:t xml:space="preserve">Chula de Castro JA, Rodrigues de Lima T, Santos Silva DA. Body composition estimation in children and adolescents by bioelectrical impedance analysis: A systematic review. </w:t>
      </w:r>
      <w:r w:rsidRPr="009F173A">
        <w:rPr>
          <w:bCs/>
          <w:i/>
        </w:rPr>
        <w:t xml:space="preserve">J Bodyw Mov Ther.  </w:t>
      </w:r>
      <w:r w:rsidRPr="009F173A">
        <w:rPr>
          <w:bCs/>
        </w:rPr>
        <w:t>2018; 22: 134-146.</w:t>
      </w:r>
    </w:p>
    <w:p w14:paraId="5BE8F05A" w14:textId="77777777" w:rsidR="00E24760" w:rsidRPr="009F173A" w:rsidRDefault="00E24760" w:rsidP="00E24760">
      <w:pPr>
        <w:pStyle w:val="ListParagraph"/>
        <w:numPr>
          <w:ilvl w:val="0"/>
          <w:numId w:val="6"/>
        </w:numPr>
        <w:ind w:left="284" w:hanging="284"/>
        <w:rPr>
          <w:bCs/>
        </w:rPr>
      </w:pPr>
      <w:r w:rsidRPr="009F173A">
        <w:rPr>
          <w:bCs/>
        </w:rPr>
        <w:t xml:space="preserve">Foucart L, De Decker A, Sioen I, De Henauw S, Michels N. Hand-to-foot bioelectrical impedance analysis to measure fat mass in healthy children: A comparison with air-displacement plethysmography. </w:t>
      </w:r>
      <w:r w:rsidRPr="009F173A">
        <w:rPr>
          <w:bCs/>
          <w:i/>
        </w:rPr>
        <w:t xml:space="preserve">Nutr Diet. </w:t>
      </w:r>
      <w:r w:rsidRPr="009F173A">
        <w:rPr>
          <w:bCs/>
        </w:rPr>
        <w:t xml:space="preserve"> 2017; 74: 516-520</w:t>
      </w:r>
    </w:p>
    <w:p w14:paraId="12598FFA" w14:textId="77777777" w:rsidR="00E24760" w:rsidRPr="009F173A" w:rsidRDefault="00E24760" w:rsidP="00E24760">
      <w:pPr>
        <w:pStyle w:val="ListParagraph"/>
        <w:numPr>
          <w:ilvl w:val="0"/>
          <w:numId w:val="6"/>
        </w:numPr>
        <w:ind w:left="284" w:hanging="284"/>
        <w:rPr>
          <w:bCs/>
        </w:rPr>
      </w:pPr>
      <w:r w:rsidRPr="009F173A">
        <w:rPr>
          <w:bCs/>
        </w:rPr>
        <w:t xml:space="preserve">Michels N, Huybrechts I, Bammann K, et al. Caucasian children’s fat mass: routine anthropometry v. air-displacement plethysmography. </w:t>
      </w:r>
      <w:r w:rsidRPr="009F173A">
        <w:rPr>
          <w:bCs/>
          <w:i/>
        </w:rPr>
        <w:t>Br J Nutr</w:t>
      </w:r>
      <w:r w:rsidRPr="009F173A">
        <w:rPr>
          <w:bCs/>
        </w:rPr>
        <w:t>. 2013; 109: 1528-1537.</w:t>
      </w:r>
    </w:p>
    <w:p w14:paraId="10F53726" w14:textId="77777777" w:rsidR="00E24760" w:rsidRPr="009F173A" w:rsidRDefault="00E24760" w:rsidP="00E24760">
      <w:pPr>
        <w:pStyle w:val="ListParagraph"/>
        <w:numPr>
          <w:ilvl w:val="0"/>
          <w:numId w:val="6"/>
        </w:numPr>
        <w:ind w:left="284" w:hanging="284"/>
        <w:rPr>
          <w:bCs/>
        </w:rPr>
      </w:pPr>
      <w:r w:rsidRPr="009F173A">
        <w:rPr>
          <w:bCs/>
        </w:rPr>
        <w:t xml:space="preserve">Gutierrez-Marin D, Escribano J, Closa-Monasterolo R, et al. A novel approach to assess body composition in children with obesity from density of the fat-free mass.  </w:t>
      </w:r>
      <w:r w:rsidRPr="009F173A">
        <w:rPr>
          <w:bCs/>
          <w:i/>
        </w:rPr>
        <w:t>Clin Nutr.</w:t>
      </w:r>
      <w:r w:rsidRPr="009F173A">
        <w:rPr>
          <w:bCs/>
        </w:rPr>
        <w:t xml:space="preserve"> 2021; 40: 1102-1107</w:t>
      </w:r>
    </w:p>
    <w:p w14:paraId="2A5171AA" w14:textId="77777777" w:rsidR="00E24760" w:rsidRPr="009F173A" w:rsidRDefault="00E24760" w:rsidP="00E24760">
      <w:pPr>
        <w:pStyle w:val="ListParagraph"/>
        <w:numPr>
          <w:ilvl w:val="0"/>
          <w:numId w:val="6"/>
        </w:numPr>
        <w:ind w:left="284" w:hanging="284"/>
      </w:pPr>
      <w:r w:rsidRPr="009F173A">
        <w:t xml:space="preserve">Azcona C, Köek N, Frühbeck G. Fat mass by air-displacement plethysmography and impedance in obese/non-obese children and adolescents. </w:t>
      </w:r>
      <w:r w:rsidRPr="009F173A">
        <w:rPr>
          <w:i/>
          <w:iCs/>
        </w:rPr>
        <w:t>Int J Pediatr Obes.</w:t>
      </w:r>
      <w:r w:rsidRPr="009F173A">
        <w:rPr>
          <w:iCs/>
        </w:rPr>
        <w:t xml:space="preserve"> 2006;</w:t>
      </w:r>
      <w:r w:rsidRPr="009F173A">
        <w:rPr>
          <w:i/>
          <w:iCs/>
        </w:rPr>
        <w:t xml:space="preserve"> </w:t>
      </w:r>
      <w:r w:rsidRPr="009F173A">
        <w:t>1(3): 176-182.</w:t>
      </w:r>
    </w:p>
    <w:p w14:paraId="11825DD4" w14:textId="77777777" w:rsidR="00E24760" w:rsidRPr="009F173A" w:rsidRDefault="00E24760" w:rsidP="00E24760">
      <w:pPr>
        <w:pStyle w:val="ListParagraph"/>
        <w:numPr>
          <w:ilvl w:val="0"/>
          <w:numId w:val="6"/>
        </w:numPr>
        <w:ind w:left="284" w:hanging="284"/>
      </w:pPr>
      <w:r w:rsidRPr="009F173A">
        <w:t xml:space="preserve">Siri WE. Body composition from fluid spaces and density: Analysis of methods', in Brozek, J. and Henschel, A. eds.  </w:t>
      </w:r>
      <w:r w:rsidRPr="009F173A">
        <w:rPr>
          <w:i/>
          <w:iCs/>
        </w:rPr>
        <w:t>Techniques for measuring body composition</w:t>
      </w:r>
      <w:r w:rsidRPr="009F173A">
        <w:t>. Washington DC: National Academy of Sciences, National Research Council; 1961: 223-224.</w:t>
      </w:r>
    </w:p>
    <w:p w14:paraId="5156440A" w14:textId="77777777" w:rsidR="00E24760" w:rsidRPr="009F173A" w:rsidRDefault="00E24760" w:rsidP="00E24760">
      <w:pPr>
        <w:pStyle w:val="ListParagraph"/>
        <w:numPr>
          <w:ilvl w:val="0"/>
          <w:numId w:val="6"/>
        </w:numPr>
        <w:ind w:left="284" w:hanging="284"/>
      </w:pPr>
      <w:r w:rsidRPr="009F173A">
        <w:t xml:space="preserve">Lohman TG. (1989) Assessment of body composition in children. </w:t>
      </w:r>
      <w:r w:rsidRPr="009F173A">
        <w:rPr>
          <w:i/>
          <w:iCs/>
        </w:rPr>
        <w:t>Pediatr Exerc Sci.</w:t>
      </w:r>
      <w:r w:rsidRPr="009F173A">
        <w:rPr>
          <w:iCs/>
        </w:rPr>
        <w:t xml:space="preserve"> 1989;</w:t>
      </w:r>
      <w:r w:rsidRPr="009F173A">
        <w:rPr>
          <w:i/>
          <w:iCs/>
        </w:rPr>
        <w:t xml:space="preserve"> </w:t>
      </w:r>
      <w:r w:rsidRPr="009F173A">
        <w:t>1: 19-30.</w:t>
      </w:r>
    </w:p>
    <w:p w14:paraId="757D0C0C" w14:textId="77777777" w:rsidR="00E24760" w:rsidRPr="009F173A" w:rsidRDefault="00E24760" w:rsidP="00E24760">
      <w:pPr>
        <w:pStyle w:val="ListParagraph"/>
        <w:numPr>
          <w:ilvl w:val="0"/>
          <w:numId w:val="6"/>
        </w:numPr>
        <w:ind w:left="284" w:hanging="284"/>
        <w:rPr>
          <w:bCs/>
        </w:rPr>
      </w:pPr>
      <w:r w:rsidRPr="009F173A">
        <w:rPr>
          <w:bCs/>
        </w:rPr>
        <w:t xml:space="preserve">Joffe TH, Welle S, Roubenoff R, et al. A bioelectrical impedance analysis equation for predicting total body water and fat-free mass in children with Human Immunodeficiency Virus-1 in the pre-HAART and HAART eras.  </w:t>
      </w:r>
      <w:r w:rsidRPr="009F173A">
        <w:rPr>
          <w:bCs/>
          <w:i/>
        </w:rPr>
        <w:t xml:space="preserve">Int J Body Comp Res. </w:t>
      </w:r>
      <w:r w:rsidRPr="009F173A">
        <w:rPr>
          <w:bCs/>
        </w:rPr>
        <w:t>2005; 3(1): 1-10</w:t>
      </w:r>
    </w:p>
    <w:p w14:paraId="59440F16" w14:textId="77777777" w:rsidR="00E24760" w:rsidRPr="009F173A" w:rsidRDefault="00E24760" w:rsidP="00E24760">
      <w:pPr>
        <w:pStyle w:val="ListParagraph"/>
        <w:numPr>
          <w:ilvl w:val="0"/>
          <w:numId w:val="6"/>
        </w:numPr>
        <w:ind w:left="284" w:hanging="284"/>
      </w:pPr>
      <w:r w:rsidRPr="009F173A">
        <w:t xml:space="preserve">Williams J, Wake M, Campbell M. Comparing estimates of body fat mass in children using published bioelectrical impedance analysis equations. </w:t>
      </w:r>
      <w:r w:rsidRPr="009F173A">
        <w:rPr>
          <w:i/>
          <w:iCs/>
        </w:rPr>
        <w:t>Int J Pediatr Obes.</w:t>
      </w:r>
      <w:r w:rsidRPr="009F173A">
        <w:rPr>
          <w:iCs/>
        </w:rPr>
        <w:t xml:space="preserve"> 2007;</w:t>
      </w:r>
      <w:r w:rsidRPr="009F173A">
        <w:rPr>
          <w:i/>
          <w:iCs/>
        </w:rPr>
        <w:t xml:space="preserve"> </w:t>
      </w:r>
      <w:r w:rsidRPr="009F173A">
        <w:t>2(3): 174-179.</w:t>
      </w:r>
    </w:p>
    <w:p w14:paraId="23039A08" w14:textId="77777777" w:rsidR="00E24760" w:rsidRPr="009F173A" w:rsidRDefault="00E24760" w:rsidP="00E24760">
      <w:pPr>
        <w:pStyle w:val="ListParagraph"/>
        <w:numPr>
          <w:ilvl w:val="0"/>
          <w:numId w:val="6"/>
        </w:numPr>
        <w:ind w:left="284" w:hanging="284"/>
        <w:rPr>
          <w:bCs/>
        </w:rPr>
      </w:pPr>
      <w:r w:rsidRPr="009F173A">
        <w:rPr>
          <w:bCs/>
        </w:rPr>
        <w:t xml:space="preserve">Holmes JC, Gibson AL, Gualberto Cremades J, Mier CM. Body-Density Measurement in Children: The BOD POD Versus Hydrodensitometry. </w:t>
      </w:r>
      <w:r w:rsidRPr="009F173A">
        <w:rPr>
          <w:bCs/>
          <w:i/>
        </w:rPr>
        <w:t>Int J Sport Nutr Exerc Metab</w:t>
      </w:r>
      <w:r w:rsidRPr="009F173A">
        <w:rPr>
          <w:bCs/>
        </w:rPr>
        <w:t>. 2011; 21: 240-247.</w:t>
      </w:r>
    </w:p>
    <w:p w14:paraId="5C38F2FB" w14:textId="77777777" w:rsidR="00E24760" w:rsidRPr="009F173A" w:rsidRDefault="00E24760" w:rsidP="00E24760">
      <w:pPr>
        <w:pStyle w:val="ListParagraph"/>
        <w:numPr>
          <w:ilvl w:val="0"/>
          <w:numId w:val="6"/>
        </w:numPr>
        <w:ind w:left="284" w:hanging="284"/>
      </w:pPr>
      <w:r w:rsidRPr="009F173A">
        <w:t xml:space="preserve">Vicente-Rodríguez G, Rey-López JP, Mesana MI, et al. Reliability and intermethod agreement for body fat mass assessment among two field and two laboratory methods in adolescents. </w:t>
      </w:r>
      <w:r w:rsidRPr="009F173A">
        <w:rPr>
          <w:i/>
          <w:iCs/>
        </w:rPr>
        <w:t>Obesity (Silver Spring).</w:t>
      </w:r>
      <w:r w:rsidRPr="009F173A">
        <w:rPr>
          <w:iCs/>
        </w:rPr>
        <w:t xml:space="preserve"> 2012;</w:t>
      </w:r>
      <w:r w:rsidRPr="009F173A">
        <w:rPr>
          <w:i/>
          <w:iCs/>
        </w:rPr>
        <w:t xml:space="preserve"> </w:t>
      </w:r>
      <w:r w:rsidRPr="009F173A">
        <w:t>20(1): 221-228.</w:t>
      </w:r>
    </w:p>
    <w:p w14:paraId="0FCE6B5E" w14:textId="77777777" w:rsidR="00E24760" w:rsidRPr="009F173A" w:rsidRDefault="00E24760" w:rsidP="00E24760">
      <w:pPr>
        <w:pStyle w:val="ListParagraph"/>
        <w:numPr>
          <w:ilvl w:val="0"/>
          <w:numId w:val="6"/>
        </w:numPr>
        <w:ind w:left="284" w:hanging="284"/>
        <w:rPr>
          <w:bCs/>
        </w:rPr>
      </w:pPr>
      <w:r w:rsidRPr="009F173A">
        <w:rPr>
          <w:bCs/>
        </w:rPr>
        <w:t xml:space="preserve">Orsso CE, Silva MIB, Gonzalez MC, et al.  Assessment of body composition in pediatric overweight and obesity: A systematic review of the reliability and validity of common techniques.  </w:t>
      </w:r>
      <w:r w:rsidRPr="009F173A">
        <w:rPr>
          <w:bCs/>
          <w:i/>
        </w:rPr>
        <w:t>Obes rev</w:t>
      </w:r>
      <w:r w:rsidRPr="009F173A">
        <w:rPr>
          <w:bCs/>
        </w:rPr>
        <w:t>.  2020; 21: e13041</w:t>
      </w:r>
    </w:p>
    <w:p w14:paraId="7CF9A300" w14:textId="77777777" w:rsidR="00E24760" w:rsidRPr="009F173A" w:rsidRDefault="00E24760" w:rsidP="00E24760">
      <w:pPr>
        <w:pStyle w:val="ListParagraph"/>
        <w:numPr>
          <w:ilvl w:val="0"/>
          <w:numId w:val="6"/>
        </w:numPr>
        <w:ind w:left="284" w:hanging="284"/>
      </w:pPr>
      <w:r w:rsidRPr="009F173A">
        <w:t xml:space="preserve">Fields DA, Hull HR, Cheline AJ, Yao M, Higgins PB. (2004) Child-specific thoracic gas volume prediction equations for air-displacement plethysmography. </w:t>
      </w:r>
      <w:r w:rsidRPr="009F173A">
        <w:rPr>
          <w:i/>
          <w:iCs/>
        </w:rPr>
        <w:t>Obes Res.</w:t>
      </w:r>
      <w:r w:rsidRPr="009F173A">
        <w:rPr>
          <w:iCs/>
        </w:rPr>
        <w:t xml:space="preserve"> 2004;</w:t>
      </w:r>
      <w:r w:rsidRPr="009F173A">
        <w:rPr>
          <w:i/>
          <w:iCs/>
        </w:rPr>
        <w:t xml:space="preserve"> </w:t>
      </w:r>
      <w:r w:rsidRPr="009F173A">
        <w:t>12(11): 1797-1804.</w:t>
      </w:r>
    </w:p>
    <w:p w14:paraId="0FEF3D80" w14:textId="77777777" w:rsidR="00E24760" w:rsidRPr="009F173A" w:rsidRDefault="00E24760" w:rsidP="00E24760">
      <w:pPr>
        <w:pStyle w:val="ListParagraph"/>
        <w:numPr>
          <w:ilvl w:val="0"/>
          <w:numId w:val="6"/>
        </w:numPr>
        <w:ind w:left="284" w:hanging="284"/>
      </w:pPr>
      <w:r w:rsidRPr="009F173A">
        <w:t xml:space="preserve">Haycock GB, Schwartz GJ, Wisotsky DH. (1978) Geometric method for measuring body surface area: A height-weight formula validated in infants, children, and adults. </w:t>
      </w:r>
      <w:r w:rsidRPr="009F173A">
        <w:rPr>
          <w:i/>
          <w:iCs/>
        </w:rPr>
        <w:t>J Pediatr.</w:t>
      </w:r>
      <w:r w:rsidRPr="009F173A">
        <w:rPr>
          <w:iCs/>
        </w:rPr>
        <w:t xml:space="preserve"> 1978;</w:t>
      </w:r>
      <w:r w:rsidRPr="009F173A">
        <w:rPr>
          <w:i/>
          <w:iCs/>
        </w:rPr>
        <w:t xml:space="preserve"> </w:t>
      </w:r>
      <w:r w:rsidRPr="009F173A">
        <w:t>93(1): 62-66.</w:t>
      </w:r>
    </w:p>
    <w:p w14:paraId="68170CC6" w14:textId="77777777" w:rsidR="00E24760" w:rsidRPr="009F173A" w:rsidRDefault="00E24760" w:rsidP="00E24760">
      <w:pPr>
        <w:pStyle w:val="ListParagraph"/>
        <w:numPr>
          <w:ilvl w:val="0"/>
          <w:numId w:val="6"/>
        </w:numPr>
        <w:ind w:left="284" w:hanging="284"/>
      </w:pPr>
      <w:r w:rsidRPr="009F173A">
        <w:t xml:space="preserve">Horlick M, Arpadi SM, Bethel J, et al. (2002) Bioelectrical impedance analysis models for prediction of total body water and fat-free mass in healthy and HIV-infected children and adolescents. </w:t>
      </w:r>
      <w:r w:rsidRPr="009F173A">
        <w:rPr>
          <w:i/>
          <w:iCs/>
        </w:rPr>
        <w:t>Am J Clin Nutr.</w:t>
      </w:r>
      <w:r w:rsidRPr="009F173A">
        <w:rPr>
          <w:iCs/>
        </w:rPr>
        <w:t xml:space="preserve"> 2002;</w:t>
      </w:r>
      <w:r w:rsidRPr="009F173A">
        <w:rPr>
          <w:i/>
          <w:iCs/>
        </w:rPr>
        <w:t xml:space="preserve"> </w:t>
      </w:r>
      <w:r w:rsidRPr="009F173A">
        <w:t>76(5): 991-999.</w:t>
      </w:r>
    </w:p>
    <w:p w14:paraId="5751E763" w14:textId="77777777" w:rsidR="00E24760" w:rsidRPr="009F173A" w:rsidRDefault="00E24760" w:rsidP="00E24760">
      <w:pPr>
        <w:pStyle w:val="ListParagraph"/>
        <w:numPr>
          <w:ilvl w:val="0"/>
          <w:numId w:val="6"/>
        </w:numPr>
        <w:ind w:left="284" w:hanging="284"/>
        <w:rPr>
          <w:rFonts w:cstheme="minorHAnsi"/>
        </w:rPr>
      </w:pPr>
      <w:r w:rsidRPr="009F173A">
        <w:rPr>
          <w:rFonts w:cstheme="minorHAnsi"/>
        </w:rPr>
        <w:t>Cohen J. Statistical Power Analysis for the Behavioural Sciences (2nd ed.): Mahwah, NJ: Lawrence Earlbaum Associates; 1988</w:t>
      </w:r>
    </w:p>
    <w:p w14:paraId="7C26AA89" w14:textId="77777777" w:rsidR="00E24760" w:rsidRPr="009F173A" w:rsidRDefault="00E24760" w:rsidP="00E24760">
      <w:pPr>
        <w:pStyle w:val="ListParagraph"/>
        <w:numPr>
          <w:ilvl w:val="0"/>
          <w:numId w:val="6"/>
        </w:numPr>
        <w:ind w:left="284" w:hanging="284"/>
      </w:pPr>
      <w:r w:rsidRPr="009F173A">
        <w:t xml:space="preserve">Bland JM &amp; Altman DG. Statistical methods for assessing agreement between two methods of clinical measurement. </w:t>
      </w:r>
      <w:r w:rsidRPr="009F173A">
        <w:rPr>
          <w:i/>
          <w:iCs/>
        </w:rPr>
        <w:t>Lancet.</w:t>
      </w:r>
      <w:r w:rsidRPr="009F173A">
        <w:rPr>
          <w:iCs/>
        </w:rPr>
        <w:t xml:space="preserve"> 1986;</w:t>
      </w:r>
      <w:r w:rsidRPr="009F173A">
        <w:rPr>
          <w:i/>
          <w:iCs/>
        </w:rPr>
        <w:t xml:space="preserve"> </w:t>
      </w:r>
      <w:r w:rsidRPr="009F173A">
        <w:t xml:space="preserve">1(8476): 307-310. </w:t>
      </w:r>
    </w:p>
    <w:p w14:paraId="72694759" w14:textId="77777777" w:rsidR="00E24760" w:rsidRPr="009F173A" w:rsidRDefault="00E24760" w:rsidP="00E24760">
      <w:pPr>
        <w:pStyle w:val="ListParagraph"/>
        <w:numPr>
          <w:ilvl w:val="0"/>
          <w:numId w:val="6"/>
        </w:numPr>
        <w:ind w:left="284" w:hanging="284"/>
      </w:pPr>
      <w:r w:rsidRPr="009F173A">
        <w:t xml:space="preserve">Mentiplay BF, Parraton LG, Bower KJ, et al. Assessment of lower limb muscle strength and power using hand-held and fixed dynamometry: A reliability and validity study. </w:t>
      </w:r>
      <w:r w:rsidRPr="009F173A">
        <w:rPr>
          <w:i/>
        </w:rPr>
        <w:t>PLoS ONE</w:t>
      </w:r>
      <w:r w:rsidRPr="009F173A">
        <w:t>. 2015; 10(10).</w:t>
      </w:r>
    </w:p>
    <w:p w14:paraId="4BE30BA8" w14:textId="77777777" w:rsidR="00E24760" w:rsidRPr="009F173A" w:rsidRDefault="00E24760" w:rsidP="00E24760">
      <w:pPr>
        <w:pStyle w:val="ListParagraph"/>
        <w:numPr>
          <w:ilvl w:val="0"/>
          <w:numId w:val="6"/>
        </w:numPr>
        <w:ind w:left="284" w:hanging="284"/>
      </w:pPr>
      <w:r w:rsidRPr="009F173A">
        <w:t xml:space="preserve">Heyward V &amp; Wagner D. </w:t>
      </w:r>
      <w:r w:rsidRPr="009F173A">
        <w:rPr>
          <w:i/>
          <w:iCs/>
        </w:rPr>
        <w:t>Applied body composition assessment</w:t>
      </w:r>
      <w:r w:rsidRPr="009F173A">
        <w:t xml:space="preserve"> (2nd edn.). Champaign, IL: Human Kinetic; 2004</w:t>
      </w:r>
    </w:p>
    <w:p w14:paraId="6042FC47" w14:textId="77777777" w:rsidR="00E24760" w:rsidRPr="009F173A" w:rsidRDefault="00E24760" w:rsidP="00E24760">
      <w:pPr>
        <w:pStyle w:val="ListParagraph"/>
        <w:numPr>
          <w:ilvl w:val="0"/>
          <w:numId w:val="6"/>
        </w:numPr>
        <w:ind w:left="284" w:hanging="284"/>
      </w:pPr>
      <w:r w:rsidRPr="009F173A">
        <w:t xml:space="preserve">Ulijaszek SJ &amp; Kerr DA. Anthropometric measurement error and the assessment of nutritional status. </w:t>
      </w:r>
      <w:r w:rsidRPr="009F173A">
        <w:rPr>
          <w:i/>
          <w:iCs/>
        </w:rPr>
        <w:t>Br J Nutr.</w:t>
      </w:r>
      <w:r w:rsidRPr="009F173A">
        <w:rPr>
          <w:iCs/>
        </w:rPr>
        <w:t xml:space="preserve"> 1999;</w:t>
      </w:r>
      <w:r w:rsidRPr="009F173A">
        <w:rPr>
          <w:i/>
          <w:iCs/>
        </w:rPr>
        <w:t xml:space="preserve"> </w:t>
      </w:r>
      <w:r w:rsidRPr="009F173A">
        <w:t>82(3): 165-177.</w:t>
      </w:r>
    </w:p>
    <w:p w14:paraId="04D51E3E" w14:textId="77777777" w:rsidR="00E24760" w:rsidRPr="009F173A" w:rsidRDefault="00E24760" w:rsidP="00E24760">
      <w:pPr>
        <w:pStyle w:val="ListParagraph"/>
        <w:numPr>
          <w:ilvl w:val="0"/>
          <w:numId w:val="6"/>
        </w:numPr>
        <w:ind w:left="284" w:hanging="284"/>
      </w:pPr>
      <w:r w:rsidRPr="009F173A">
        <w:t xml:space="preserve">Shrout PE &amp; Fleiss JL.  Intraclass correlations: Uses in assessing rater reliability. </w:t>
      </w:r>
      <w:r w:rsidRPr="009F173A">
        <w:rPr>
          <w:i/>
          <w:iCs/>
        </w:rPr>
        <w:t>Psychol Bull.</w:t>
      </w:r>
      <w:r w:rsidRPr="009F173A">
        <w:rPr>
          <w:iCs/>
        </w:rPr>
        <w:t xml:space="preserve"> 1979;</w:t>
      </w:r>
      <w:r w:rsidRPr="009F173A">
        <w:rPr>
          <w:i/>
          <w:iCs/>
        </w:rPr>
        <w:t xml:space="preserve"> </w:t>
      </w:r>
      <w:r w:rsidRPr="009F173A">
        <w:t>86(2): 420-428.</w:t>
      </w:r>
    </w:p>
    <w:p w14:paraId="7EF5D9F5" w14:textId="77777777" w:rsidR="00E24760" w:rsidRPr="009F173A" w:rsidRDefault="00E24760" w:rsidP="00E24760">
      <w:pPr>
        <w:pStyle w:val="ListParagraph"/>
        <w:numPr>
          <w:ilvl w:val="0"/>
          <w:numId w:val="6"/>
        </w:numPr>
        <w:ind w:left="284" w:hanging="284"/>
        <w:rPr>
          <w:bCs/>
        </w:rPr>
      </w:pPr>
      <w:r w:rsidRPr="009F173A">
        <w:rPr>
          <w:bCs/>
        </w:rPr>
        <w:t xml:space="preserve">Thajer A, Skacel G, Truschner K, et al. Comparison of Bioelectrical Impedance-Based Methods on Body Composition in Young Patients with Obesity.  </w:t>
      </w:r>
      <w:r w:rsidRPr="009F173A">
        <w:rPr>
          <w:bCs/>
          <w:i/>
        </w:rPr>
        <w:t xml:space="preserve">MDPI Children.  </w:t>
      </w:r>
      <w:r w:rsidRPr="009F173A">
        <w:rPr>
          <w:bCs/>
        </w:rPr>
        <w:t>2021; 8: 295-307</w:t>
      </w:r>
    </w:p>
    <w:p w14:paraId="38B77701" w14:textId="77777777" w:rsidR="00E24760" w:rsidRPr="009F173A" w:rsidRDefault="00E24760" w:rsidP="00E24760">
      <w:pPr>
        <w:pStyle w:val="ListParagraph"/>
        <w:numPr>
          <w:ilvl w:val="0"/>
          <w:numId w:val="6"/>
        </w:numPr>
        <w:ind w:left="284" w:hanging="284"/>
        <w:rPr>
          <w:bCs/>
        </w:rPr>
      </w:pPr>
      <w:r w:rsidRPr="009F173A">
        <w:rPr>
          <w:bCs/>
        </w:rPr>
        <w:t xml:space="preserve">Brodie DA. Techniques of measurement of body composition: Part 1. </w:t>
      </w:r>
      <w:r w:rsidRPr="009F173A">
        <w:rPr>
          <w:bCs/>
          <w:i/>
        </w:rPr>
        <w:t xml:space="preserve">Sports Med. </w:t>
      </w:r>
      <w:r w:rsidRPr="009F173A">
        <w:rPr>
          <w:bCs/>
        </w:rPr>
        <w:t>1988; 5: 11-40</w:t>
      </w:r>
    </w:p>
    <w:p w14:paraId="715D2386" w14:textId="77777777" w:rsidR="00E24760" w:rsidRPr="009F173A" w:rsidRDefault="00E24760" w:rsidP="00E24760">
      <w:pPr>
        <w:pStyle w:val="ListParagraph"/>
        <w:numPr>
          <w:ilvl w:val="0"/>
          <w:numId w:val="6"/>
        </w:numPr>
        <w:ind w:left="284" w:hanging="284"/>
        <w:rPr>
          <w:bCs/>
        </w:rPr>
      </w:pPr>
      <w:r w:rsidRPr="009F173A">
        <w:rPr>
          <w:bCs/>
        </w:rPr>
        <w:t>Martinez EE, Smallwood CD, Quinn NL, et al. Body Composition in Children with Chronic Illness: Accuracy of Bedside Assessment Techniques.  J Pediatr. 2017; 190: 56-62</w:t>
      </w:r>
    </w:p>
    <w:p w14:paraId="1D28B46F" w14:textId="77777777" w:rsidR="00E24760" w:rsidRPr="009F173A" w:rsidRDefault="00E24760" w:rsidP="00E24760">
      <w:pPr>
        <w:pStyle w:val="ListParagraph"/>
        <w:numPr>
          <w:ilvl w:val="0"/>
          <w:numId w:val="6"/>
        </w:numPr>
        <w:ind w:left="284" w:hanging="284"/>
        <w:rPr>
          <w:bCs/>
        </w:rPr>
      </w:pPr>
      <w:r w:rsidRPr="009F173A">
        <w:rPr>
          <w:bCs/>
        </w:rPr>
        <w:t xml:space="preserve">Radley D, Cooke CB, Fuller NJ, et al.  Validity of foot-to-foot bio-electrical impedance analysis body composition estimates in overweight and obese children. </w:t>
      </w:r>
      <w:r w:rsidRPr="009F173A">
        <w:rPr>
          <w:bCs/>
          <w:i/>
        </w:rPr>
        <w:t>Int J Body Compos Res</w:t>
      </w:r>
      <w:r w:rsidRPr="009F173A">
        <w:rPr>
          <w:bCs/>
        </w:rPr>
        <w:t>. 2009; 7(1): 15-20</w:t>
      </w:r>
    </w:p>
    <w:p w14:paraId="3D9EB767" w14:textId="77777777" w:rsidR="00E24760" w:rsidRPr="009F173A" w:rsidRDefault="00E24760" w:rsidP="00E24760">
      <w:pPr>
        <w:pStyle w:val="ListParagraph"/>
        <w:numPr>
          <w:ilvl w:val="0"/>
          <w:numId w:val="6"/>
        </w:numPr>
        <w:ind w:left="284" w:hanging="284"/>
        <w:rPr>
          <w:bCs/>
        </w:rPr>
      </w:pPr>
      <w:r w:rsidRPr="009F173A">
        <w:rPr>
          <w:bCs/>
        </w:rPr>
        <w:t>Akern. BIA manual.</w:t>
      </w:r>
      <w:r w:rsidRPr="009F173A">
        <w:t xml:space="preserve"> </w:t>
      </w:r>
      <w:r w:rsidRPr="009F173A">
        <w:rPr>
          <w:bCs/>
        </w:rPr>
        <w:t xml:space="preserve">Sri, Florence. </w:t>
      </w:r>
      <w:hyperlink r:id="rId12" w:history="1">
        <w:r w:rsidRPr="009F173A">
          <w:rPr>
            <w:rStyle w:val="Hyperlink"/>
            <w:bCs/>
            <w:color w:val="auto"/>
          </w:rPr>
          <w:t>https://www.akern.com/en/</w:t>
        </w:r>
      </w:hyperlink>
      <w:r w:rsidRPr="009F173A">
        <w:rPr>
          <w:bCs/>
        </w:rPr>
        <w:t>.  Published 2010.  Accessed 12</w:t>
      </w:r>
      <w:r w:rsidRPr="009F173A">
        <w:rPr>
          <w:bCs/>
          <w:vertAlign w:val="superscript"/>
        </w:rPr>
        <w:t>th</w:t>
      </w:r>
      <w:r w:rsidRPr="009F173A">
        <w:rPr>
          <w:bCs/>
        </w:rPr>
        <w:t xml:space="preserve"> November 2019.</w:t>
      </w:r>
    </w:p>
    <w:p w14:paraId="0CEEC349" w14:textId="77777777" w:rsidR="00E24760" w:rsidRPr="009F173A" w:rsidRDefault="00E24760" w:rsidP="00E24760">
      <w:pPr>
        <w:pStyle w:val="ListParagraph"/>
        <w:numPr>
          <w:ilvl w:val="0"/>
          <w:numId w:val="6"/>
        </w:numPr>
        <w:ind w:left="284" w:hanging="284"/>
        <w:rPr>
          <w:bCs/>
        </w:rPr>
      </w:pPr>
      <w:r w:rsidRPr="009F173A">
        <w:rPr>
          <w:bCs/>
        </w:rPr>
        <w:t xml:space="preserve">Houtkooper LB, Lohman TG, Going SB, Howell WH.  Why bioelectrical impedance analysis should be used for estimating adiposity. </w:t>
      </w:r>
      <w:r w:rsidRPr="009F173A">
        <w:rPr>
          <w:bCs/>
          <w:i/>
        </w:rPr>
        <w:t>Am J Clin Nutr.</w:t>
      </w:r>
      <w:r w:rsidRPr="009F173A">
        <w:rPr>
          <w:bCs/>
        </w:rPr>
        <w:t xml:space="preserve">  1996; 64: 436S-48S</w:t>
      </w:r>
    </w:p>
    <w:p w14:paraId="3EC68B54" w14:textId="77777777" w:rsidR="00E24760" w:rsidRPr="009F173A" w:rsidRDefault="00E24760" w:rsidP="00E24760">
      <w:pPr>
        <w:pStyle w:val="ListParagraph"/>
        <w:numPr>
          <w:ilvl w:val="0"/>
          <w:numId w:val="6"/>
        </w:numPr>
        <w:ind w:left="284" w:hanging="284"/>
      </w:pPr>
      <w:r w:rsidRPr="009F173A">
        <w:t xml:space="preserve">Fields DA, Goran MI, McCrory MA. Body-composition assessment via air-displacement plethysmography in adults and children: A review. </w:t>
      </w:r>
      <w:r w:rsidRPr="009F173A">
        <w:rPr>
          <w:i/>
          <w:iCs/>
        </w:rPr>
        <w:t>Am J Clin Nutr.</w:t>
      </w:r>
      <w:r w:rsidRPr="009F173A">
        <w:rPr>
          <w:iCs/>
        </w:rPr>
        <w:t xml:space="preserve"> 2002;</w:t>
      </w:r>
      <w:r w:rsidRPr="009F173A">
        <w:rPr>
          <w:i/>
          <w:iCs/>
        </w:rPr>
        <w:t xml:space="preserve"> </w:t>
      </w:r>
      <w:r w:rsidRPr="009F173A">
        <w:t>75(3): 453-467.</w:t>
      </w:r>
    </w:p>
    <w:p w14:paraId="61DBFE1D" w14:textId="77777777" w:rsidR="00E24760" w:rsidRPr="009F173A" w:rsidRDefault="00E24760" w:rsidP="00E24760">
      <w:pPr>
        <w:pStyle w:val="ListParagraph"/>
        <w:numPr>
          <w:ilvl w:val="0"/>
          <w:numId w:val="6"/>
        </w:numPr>
        <w:ind w:left="284" w:hanging="284"/>
        <w:rPr>
          <w:bCs/>
        </w:rPr>
      </w:pPr>
      <w:r w:rsidRPr="009F173A">
        <w:rPr>
          <w:bCs/>
        </w:rPr>
        <w:t xml:space="preserve">Wells JCK, Haroun D, Williams JE, et al. Evaluation of lean tissue density for use in air displacement plethysmography in obese children and adolescents. </w:t>
      </w:r>
      <w:r w:rsidRPr="009F173A">
        <w:rPr>
          <w:bCs/>
          <w:i/>
        </w:rPr>
        <w:t>Eur J Clin Nutr.</w:t>
      </w:r>
      <w:r w:rsidRPr="009F173A">
        <w:rPr>
          <w:bCs/>
        </w:rPr>
        <w:t xml:space="preserve">  2011; 65: 1094-1101</w:t>
      </w:r>
    </w:p>
    <w:p w14:paraId="4FB08E41" w14:textId="77777777" w:rsidR="00E24760" w:rsidRPr="009F173A" w:rsidRDefault="00E24760" w:rsidP="00E24760">
      <w:pPr>
        <w:pStyle w:val="ListParagraph"/>
        <w:numPr>
          <w:ilvl w:val="0"/>
          <w:numId w:val="6"/>
        </w:numPr>
        <w:ind w:left="284" w:hanging="284"/>
        <w:rPr>
          <w:bCs/>
        </w:rPr>
      </w:pPr>
      <w:r w:rsidRPr="009F173A">
        <w:rPr>
          <w:bCs/>
        </w:rPr>
        <w:t xml:space="preserve">Fields DA &amp; Alison DB. Air-displacement plethysmography pediatric option in 2–6 years old using the 4-compartment model as a criterion method. </w:t>
      </w:r>
      <w:r w:rsidRPr="009F173A">
        <w:rPr>
          <w:bCs/>
          <w:i/>
        </w:rPr>
        <w:t>Obesity (Silver Spring).</w:t>
      </w:r>
      <w:r w:rsidRPr="009F173A">
        <w:rPr>
          <w:bCs/>
        </w:rPr>
        <w:t xml:space="preserve"> 2012; 20(8): 1732-1737</w:t>
      </w:r>
    </w:p>
    <w:p w14:paraId="434E26C9" w14:textId="77777777" w:rsidR="00E24760" w:rsidRPr="009F173A" w:rsidRDefault="00E24760" w:rsidP="00E24760">
      <w:pPr>
        <w:pStyle w:val="ListParagraph"/>
        <w:numPr>
          <w:ilvl w:val="0"/>
          <w:numId w:val="6"/>
        </w:numPr>
        <w:ind w:left="284" w:hanging="284"/>
        <w:rPr>
          <w:bCs/>
        </w:rPr>
      </w:pPr>
      <w:r w:rsidRPr="009F173A">
        <w:rPr>
          <w:bCs/>
        </w:rPr>
        <w:t>Brantov S, Ward LC, Jodal L, Rittig S, Lange A.</w:t>
      </w:r>
      <w:r w:rsidRPr="009F173A">
        <w:t xml:space="preserve"> </w:t>
      </w:r>
      <w:r w:rsidRPr="009F173A">
        <w:rPr>
          <w:bCs/>
        </w:rPr>
        <w:t xml:space="preserve">Critical factors and their impact on bioelectrical impedance analysis in children: a review. </w:t>
      </w:r>
      <w:r w:rsidRPr="009F173A">
        <w:rPr>
          <w:bCs/>
          <w:i/>
        </w:rPr>
        <w:t>J Med Eng Technol.</w:t>
      </w:r>
      <w:r w:rsidRPr="009F173A">
        <w:rPr>
          <w:bCs/>
        </w:rPr>
        <w:t xml:space="preserve"> 2017; 41(1): 22-35</w:t>
      </w:r>
    </w:p>
    <w:p w14:paraId="3643691F" w14:textId="635247C1" w:rsidR="006C54DD" w:rsidRPr="009F173A" w:rsidRDefault="006C54DD" w:rsidP="0079797A">
      <w:pPr>
        <w:spacing w:line="276" w:lineRule="auto"/>
      </w:pPr>
    </w:p>
    <w:p w14:paraId="6697B06C" w14:textId="6457FBFE" w:rsidR="00451791" w:rsidRPr="009F173A" w:rsidRDefault="00451791" w:rsidP="0079797A">
      <w:pPr>
        <w:spacing w:line="276" w:lineRule="auto"/>
      </w:pPr>
    </w:p>
    <w:p w14:paraId="1E6B3A88" w14:textId="12B14588" w:rsidR="00451791" w:rsidRPr="009F173A" w:rsidRDefault="00451791" w:rsidP="0079797A">
      <w:pPr>
        <w:spacing w:line="276" w:lineRule="auto"/>
      </w:pPr>
    </w:p>
    <w:p w14:paraId="35C528E1" w14:textId="67BE1B99" w:rsidR="00451791" w:rsidRPr="009F173A" w:rsidRDefault="00451791" w:rsidP="0079797A">
      <w:pPr>
        <w:spacing w:line="276" w:lineRule="auto"/>
      </w:pPr>
    </w:p>
    <w:p w14:paraId="0335B0F3" w14:textId="1BA10A1B" w:rsidR="00451791" w:rsidRPr="009F173A" w:rsidRDefault="00451791" w:rsidP="0079797A">
      <w:pPr>
        <w:spacing w:line="276" w:lineRule="auto"/>
      </w:pPr>
    </w:p>
    <w:p w14:paraId="0C0D627D" w14:textId="7887FD1E" w:rsidR="00B6139C" w:rsidRPr="009F173A" w:rsidRDefault="00B6139C" w:rsidP="0079797A">
      <w:pPr>
        <w:spacing w:line="276" w:lineRule="auto"/>
      </w:pPr>
    </w:p>
    <w:p w14:paraId="14067272" w14:textId="56612D58" w:rsidR="00B6139C" w:rsidRPr="009F173A" w:rsidRDefault="00B6139C" w:rsidP="0079797A">
      <w:pPr>
        <w:spacing w:line="276" w:lineRule="auto"/>
      </w:pPr>
    </w:p>
    <w:p w14:paraId="69157011" w14:textId="767939FA" w:rsidR="00B6139C" w:rsidRPr="009F173A" w:rsidRDefault="00B6139C" w:rsidP="0079797A">
      <w:pPr>
        <w:spacing w:line="276" w:lineRule="auto"/>
      </w:pPr>
    </w:p>
    <w:p w14:paraId="23B22B0D" w14:textId="77777777" w:rsidR="00B6139C" w:rsidRPr="009F173A" w:rsidRDefault="00B6139C" w:rsidP="0079797A">
      <w:pPr>
        <w:spacing w:line="276" w:lineRule="auto"/>
      </w:pPr>
    </w:p>
    <w:p w14:paraId="3EE7D0F8" w14:textId="5E488A7E" w:rsidR="00451791" w:rsidRPr="009F173A" w:rsidRDefault="00451791" w:rsidP="0079797A">
      <w:pPr>
        <w:spacing w:line="276" w:lineRule="auto"/>
      </w:pPr>
    </w:p>
    <w:p w14:paraId="1FF5D9CB" w14:textId="7E0DB973" w:rsidR="00451791" w:rsidRPr="009F173A" w:rsidRDefault="00451791" w:rsidP="0079797A">
      <w:pPr>
        <w:spacing w:line="276" w:lineRule="auto"/>
        <w:rPr>
          <w:b/>
        </w:rPr>
      </w:pPr>
      <w:r w:rsidRPr="009F173A">
        <w:rPr>
          <w:b/>
        </w:rPr>
        <w:t>Tables</w:t>
      </w:r>
    </w:p>
    <w:p w14:paraId="6F9068BC" w14:textId="120EED29" w:rsidR="00451791" w:rsidRPr="009F173A" w:rsidRDefault="00451791" w:rsidP="0079797A">
      <w:pPr>
        <w:spacing w:line="276" w:lineRule="auto"/>
        <w:rPr>
          <w:b/>
        </w:rPr>
      </w:pPr>
    </w:p>
    <w:p w14:paraId="42A35BF6" w14:textId="77777777" w:rsidR="00451791" w:rsidRPr="009F173A" w:rsidRDefault="00451791" w:rsidP="00451791">
      <w:pPr>
        <w:spacing w:after="0"/>
        <w:rPr>
          <w:bCs/>
        </w:rPr>
      </w:pPr>
      <w:r w:rsidRPr="009F173A">
        <w:t>Table 1.</w:t>
      </w:r>
      <w:r w:rsidRPr="009F173A">
        <w:rPr>
          <w:bCs/>
        </w:rPr>
        <w:t xml:space="preserve"> Equations used in ADP and BIA procedures </w:t>
      </w:r>
    </w:p>
    <w:p w14:paraId="100BB81F" w14:textId="77777777" w:rsidR="00451791" w:rsidRPr="009F173A" w:rsidRDefault="00451791" w:rsidP="00451791">
      <w:pPr>
        <w:spacing w:after="0"/>
        <w:rPr>
          <w:bCs/>
        </w:rPr>
      </w:pPr>
    </w:p>
    <w:tbl>
      <w:tblPr>
        <w:tblStyle w:val="TableGrid"/>
        <w:tblW w:w="73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268"/>
      </w:tblGrid>
      <w:tr w:rsidR="009F173A" w:rsidRPr="009F173A" w14:paraId="46E59C84" w14:textId="77777777" w:rsidTr="00CC70E5">
        <w:tc>
          <w:tcPr>
            <w:tcW w:w="5103" w:type="dxa"/>
            <w:tcBorders>
              <w:top w:val="single" w:sz="4" w:space="0" w:color="auto"/>
              <w:bottom w:val="single" w:sz="4" w:space="0" w:color="auto"/>
            </w:tcBorders>
          </w:tcPr>
          <w:p w14:paraId="2CA3493E" w14:textId="77777777" w:rsidR="00451791" w:rsidRPr="009F173A" w:rsidRDefault="00451791" w:rsidP="00CC70E5">
            <w:pPr>
              <w:spacing w:line="360" w:lineRule="auto"/>
              <w:rPr>
                <w:b/>
              </w:rPr>
            </w:pPr>
            <w:r w:rsidRPr="009F173A">
              <w:rPr>
                <w:b/>
              </w:rPr>
              <w:t>Equations</w:t>
            </w:r>
          </w:p>
        </w:tc>
        <w:tc>
          <w:tcPr>
            <w:tcW w:w="2268" w:type="dxa"/>
            <w:tcBorders>
              <w:top w:val="single" w:sz="4" w:space="0" w:color="auto"/>
              <w:bottom w:val="single" w:sz="4" w:space="0" w:color="auto"/>
            </w:tcBorders>
          </w:tcPr>
          <w:p w14:paraId="0F3D8A0C" w14:textId="77777777" w:rsidR="00451791" w:rsidRPr="009F173A" w:rsidRDefault="00451791" w:rsidP="00CC70E5">
            <w:pPr>
              <w:spacing w:line="360" w:lineRule="auto"/>
              <w:rPr>
                <w:b/>
              </w:rPr>
            </w:pPr>
            <w:r w:rsidRPr="009F173A">
              <w:rPr>
                <w:b/>
              </w:rPr>
              <w:t>Reference</w:t>
            </w:r>
          </w:p>
        </w:tc>
      </w:tr>
      <w:tr w:rsidR="009F173A" w:rsidRPr="009F173A" w14:paraId="5FBE3DA9" w14:textId="77777777" w:rsidTr="00CC70E5">
        <w:tc>
          <w:tcPr>
            <w:tcW w:w="7371" w:type="dxa"/>
            <w:gridSpan w:val="2"/>
            <w:tcBorders>
              <w:top w:val="single" w:sz="4" w:space="0" w:color="auto"/>
            </w:tcBorders>
          </w:tcPr>
          <w:p w14:paraId="71B24998" w14:textId="77777777" w:rsidR="00451791" w:rsidRPr="009F173A" w:rsidRDefault="00451791" w:rsidP="00CC70E5">
            <w:pPr>
              <w:spacing w:line="480" w:lineRule="auto"/>
              <w:rPr>
                <w:b/>
              </w:rPr>
            </w:pPr>
            <w:r w:rsidRPr="009F173A">
              <w:rPr>
                <w:b/>
              </w:rPr>
              <w:t>Used in ADP procedure</w:t>
            </w:r>
          </w:p>
        </w:tc>
      </w:tr>
      <w:tr w:rsidR="009F173A" w:rsidRPr="009F173A" w14:paraId="4070358C" w14:textId="77777777" w:rsidTr="00CC70E5">
        <w:tc>
          <w:tcPr>
            <w:tcW w:w="5103" w:type="dxa"/>
          </w:tcPr>
          <w:p w14:paraId="20505689" w14:textId="77777777" w:rsidR="00451791" w:rsidRPr="009F173A" w:rsidRDefault="009F173A" w:rsidP="00CC70E5">
            <w:pPr>
              <w:spacing w:line="480" w:lineRule="auto"/>
              <w:rPr>
                <w:bCs/>
              </w:rPr>
            </w:pPr>
            <m:oMathPara>
              <m:oMathParaPr>
                <m:jc m:val="left"/>
              </m:oMathParaPr>
              <m:oMath>
                <m:sSup>
                  <m:sSupPr>
                    <m:ctrlPr>
                      <w:rPr>
                        <w:rFonts w:ascii="Cambria Math" w:hAnsi="Cambria Math"/>
                        <w:bCs/>
                        <w:i/>
                      </w:rPr>
                    </m:ctrlPr>
                  </m:sSupPr>
                  <m:e>
                    <m:r>
                      <w:rPr>
                        <w:rFonts w:ascii="Cambria Math" w:hAnsi="Cambria Math"/>
                      </w:rPr>
                      <m:t>TGV= 0.00056Ht</m:t>
                    </m:r>
                  </m:e>
                  <m:sup>
                    <m:r>
                      <w:rPr>
                        <w:rFonts w:ascii="Cambria Math" w:hAnsi="Cambria Math"/>
                      </w:rPr>
                      <m:t>2</m:t>
                    </m:r>
                  </m:sup>
                </m:sSup>
                <m:r>
                  <w:rPr>
                    <w:rFonts w:ascii="Cambria Math" w:hAnsi="Cambria Math"/>
                  </w:rPr>
                  <m:t>-0.02442Ht+8.15194</m:t>
                </m:r>
              </m:oMath>
            </m:oMathPara>
          </w:p>
        </w:tc>
        <w:tc>
          <w:tcPr>
            <w:tcW w:w="2268" w:type="dxa"/>
          </w:tcPr>
          <w:p w14:paraId="45148CF4" w14:textId="7A767758" w:rsidR="00451791" w:rsidRPr="009F173A" w:rsidRDefault="00451791" w:rsidP="00CC70E5">
            <w:pPr>
              <w:spacing w:line="480" w:lineRule="auto"/>
              <w:rPr>
                <w:rFonts w:ascii="Calibri" w:eastAsia="Calibri" w:hAnsi="Calibri" w:cs="Arial"/>
                <w:bCs/>
              </w:rPr>
            </w:pPr>
            <w:bookmarkStart w:id="30" w:name="_Hlk103338347"/>
            <w:r w:rsidRPr="009F173A">
              <w:rPr>
                <w:bCs/>
              </w:rPr>
              <w:t>Fields et al</w:t>
            </w:r>
            <w:bookmarkEnd w:id="30"/>
            <w:r w:rsidRPr="009F173A">
              <w:rPr>
                <w:bCs/>
                <w:vertAlign w:val="superscript"/>
              </w:rPr>
              <w:t>3</w:t>
            </w:r>
            <w:r w:rsidR="00457FA4" w:rsidRPr="009F173A">
              <w:rPr>
                <w:bCs/>
                <w:vertAlign w:val="superscript"/>
              </w:rPr>
              <w:t>1</w:t>
            </w:r>
          </w:p>
        </w:tc>
      </w:tr>
      <w:tr w:rsidR="009F173A" w:rsidRPr="009F173A" w14:paraId="4170E62D" w14:textId="77777777" w:rsidTr="00CC70E5">
        <w:tc>
          <w:tcPr>
            <w:tcW w:w="5103" w:type="dxa"/>
          </w:tcPr>
          <w:p w14:paraId="2BC30B96" w14:textId="77777777" w:rsidR="00451791" w:rsidRPr="009F173A" w:rsidRDefault="00451791" w:rsidP="00CC70E5">
            <w:pPr>
              <w:spacing w:line="480" w:lineRule="auto"/>
              <w:rPr>
                <w:bCs/>
              </w:rPr>
            </w:pPr>
            <m:oMathPara>
              <m:oMathParaPr>
                <m:jc m:val="left"/>
              </m:oMathParaPr>
              <m:oMath>
                <m:r>
                  <w:rPr>
                    <w:rFonts w:ascii="Cambria Math" w:hAnsi="Cambria Math"/>
                  </w:rPr>
                  <m:t xml:space="preserve">SSA= </m:t>
                </m:r>
                <m:d>
                  <m:dPr>
                    <m:ctrlPr>
                      <w:rPr>
                        <w:rFonts w:ascii="Cambria Math" w:hAnsi="Cambria Math"/>
                        <w:bCs/>
                        <w:i/>
                      </w:rPr>
                    </m:ctrlPr>
                  </m:dPr>
                  <m:e>
                    <m:sSup>
                      <m:sSupPr>
                        <m:ctrlPr>
                          <w:rPr>
                            <w:rFonts w:ascii="Cambria Math" w:hAnsi="Cambria Math"/>
                            <w:bCs/>
                            <w:i/>
                          </w:rPr>
                        </m:ctrlPr>
                      </m:sSupPr>
                      <m:e>
                        <m:r>
                          <w:rPr>
                            <w:rFonts w:ascii="Cambria Math" w:hAnsi="Cambria Math"/>
                          </w:rPr>
                          <m:t>0.024265Wt</m:t>
                        </m:r>
                      </m:e>
                      <m:sup>
                        <m:r>
                          <w:rPr>
                            <w:rFonts w:ascii="Cambria Math" w:hAnsi="Cambria Math"/>
                          </w:rPr>
                          <m:t>0.5378</m:t>
                        </m:r>
                      </m:sup>
                    </m:sSup>
                  </m:e>
                </m:d>
                <m:d>
                  <m:dPr>
                    <m:ctrlPr>
                      <w:rPr>
                        <w:rFonts w:ascii="Cambria Math" w:hAnsi="Cambria Math"/>
                        <w:bCs/>
                        <w:i/>
                      </w:rPr>
                    </m:ctrlPr>
                  </m:dPr>
                  <m:e>
                    <m:sSup>
                      <m:sSupPr>
                        <m:ctrlPr>
                          <w:rPr>
                            <w:rFonts w:ascii="Cambria Math" w:hAnsi="Cambria Math"/>
                            <w:bCs/>
                            <w:i/>
                          </w:rPr>
                        </m:ctrlPr>
                      </m:sSupPr>
                      <m:e>
                        <m:r>
                          <w:rPr>
                            <w:rFonts w:ascii="Cambria Math" w:hAnsi="Cambria Math"/>
                          </w:rPr>
                          <m:t>Ht</m:t>
                        </m:r>
                      </m:e>
                      <m:sup>
                        <m:r>
                          <w:rPr>
                            <w:rFonts w:ascii="Cambria Math" w:hAnsi="Cambria Math"/>
                          </w:rPr>
                          <m:t>0.3964</m:t>
                        </m:r>
                      </m:sup>
                    </m:sSup>
                  </m:e>
                </m:d>
                <m:r>
                  <w:rPr>
                    <w:rFonts w:ascii="Cambria Math" w:hAnsi="Cambria Math"/>
                  </w:rPr>
                  <m:t>100</m:t>
                </m:r>
              </m:oMath>
            </m:oMathPara>
          </w:p>
        </w:tc>
        <w:tc>
          <w:tcPr>
            <w:tcW w:w="2268" w:type="dxa"/>
          </w:tcPr>
          <w:p w14:paraId="74A03728" w14:textId="3CEE64CC" w:rsidR="00451791" w:rsidRPr="009F173A" w:rsidRDefault="00451791" w:rsidP="00CC70E5">
            <w:pPr>
              <w:spacing w:line="480" w:lineRule="auto"/>
              <w:rPr>
                <w:rFonts w:ascii="Calibri" w:eastAsia="Calibri" w:hAnsi="Calibri" w:cs="Arial"/>
                <w:bCs/>
              </w:rPr>
            </w:pPr>
            <w:bookmarkStart w:id="31" w:name="_Hlk103338352"/>
            <w:r w:rsidRPr="009F173A">
              <w:rPr>
                <w:bCs/>
              </w:rPr>
              <w:t>Haycock et al</w:t>
            </w:r>
            <w:bookmarkEnd w:id="31"/>
            <w:r w:rsidRPr="009F173A">
              <w:rPr>
                <w:bCs/>
                <w:vertAlign w:val="superscript"/>
              </w:rPr>
              <w:t>3</w:t>
            </w:r>
            <w:r w:rsidR="00457FA4" w:rsidRPr="009F173A">
              <w:rPr>
                <w:bCs/>
                <w:vertAlign w:val="superscript"/>
              </w:rPr>
              <w:t>2</w:t>
            </w:r>
          </w:p>
        </w:tc>
      </w:tr>
      <w:tr w:rsidR="009F173A" w:rsidRPr="009F173A" w14:paraId="06300B23" w14:textId="77777777" w:rsidTr="00CC70E5">
        <w:tc>
          <w:tcPr>
            <w:tcW w:w="5103" w:type="dxa"/>
            <w:tcBorders>
              <w:bottom w:val="single" w:sz="4" w:space="0" w:color="auto"/>
            </w:tcBorders>
          </w:tcPr>
          <w:p w14:paraId="233B34E0" w14:textId="77777777" w:rsidR="00451791" w:rsidRPr="009F173A" w:rsidRDefault="00451791" w:rsidP="00CC70E5">
            <w:pPr>
              <w:spacing w:line="480" w:lineRule="auto"/>
              <w:rPr>
                <w:bCs/>
              </w:rPr>
            </w:pPr>
            <m:oMathPara>
              <m:oMathParaPr>
                <m:jc m:val="left"/>
              </m:oMathParaPr>
              <m:oMath>
                <m:r>
                  <w:rPr>
                    <w:rFonts w:ascii="Cambria Math" w:hAnsi="Cambria Math"/>
                  </w:rPr>
                  <m:t>%FM= 100[</m:t>
                </m:r>
                <m:d>
                  <m:dPr>
                    <m:ctrlPr>
                      <w:rPr>
                        <w:rFonts w:ascii="Cambria Math" w:hAnsi="Cambria Math"/>
                        <w:bCs/>
                        <w:i/>
                      </w:rPr>
                    </m:ctrlPr>
                  </m:dPr>
                  <m:e>
                    <m:f>
                      <m:fPr>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1</m:t>
                            </m:r>
                          </m:sub>
                        </m:sSub>
                      </m:num>
                      <m:den>
                        <m:sSub>
                          <m:sSubPr>
                            <m:ctrlPr>
                              <w:rPr>
                                <w:rFonts w:ascii="Cambria Math" w:hAnsi="Cambria Math"/>
                                <w:bCs/>
                                <w:i/>
                              </w:rPr>
                            </m:ctrlPr>
                          </m:sSubPr>
                          <m:e>
                            <m:r>
                              <w:rPr>
                                <w:rFonts w:ascii="Cambria Math" w:hAnsi="Cambria Math"/>
                              </w:rPr>
                              <m:t>D</m:t>
                            </m:r>
                          </m:e>
                          <m:sub>
                            <m:r>
                              <w:rPr>
                                <w:rFonts w:ascii="Cambria Math" w:hAnsi="Cambria Math"/>
                              </w:rPr>
                              <m:t>b</m:t>
                            </m:r>
                          </m:sub>
                        </m:sSub>
                      </m:den>
                    </m:f>
                  </m:e>
                </m:d>
                <m:r>
                  <w:rPr>
                    <w:rFonts w:ascii="Cambria Math" w:hAnsi="Cambria Math"/>
                  </w:rPr>
                  <m:t>-</m:t>
                </m:r>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m:t>
                </m:r>
              </m:oMath>
            </m:oMathPara>
          </w:p>
        </w:tc>
        <w:tc>
          <w:tcPr>
            <w:tcW w:w="2268" w:type="dxa"/>
            <w:tcBorders>
              <w:bottom w:val="single" w:sz="4" w:space="0" w:color="auto"/>
            </w:tcBorders>
          </w:tcPr>
          <w:p w14:paraId="316837C3" w14:textId="74C84593" w:rsidR="00451791" w:rsidRPr="009F173A" w:rsidRDefault="00451791" w:rsidP="00CC70E5">
            <w:pPr>
              <w:spacing w:line="480" w:lineRule="auto"/>
              <w:rPr>
                <w:rFonts w:ascii="Calibri" w:eastAsia="Calibri" w:hAnsi="Calibri" w:cs="Arial"/>
                <w:bCs/>
              </w:rPr>
            </w:pPr>
            <w:r w:rsidRPr="009F173A">
              <w:rPr>
                <w:bCs/>
              </w:rPr>
              <w:t>Lohman</w:t>
            </w:r>
            <w:r w:rsidR="00457FA4" w:rsidRPr="009F173A">
              <w:rPr>
                <w:bCs/>
                <w:vertAlign w:val="superscript"/>
              </w:rPr>
              <w:t>25</w:t>
            </w:r>
          </w:p>
        </w:tc>
      </w:tr>
      <w:tr w:rsidR="009F173A" w:rsidRPr="009F173A" w14:paraId="2120B036" w14:textId="77777777" w:rsidTr="00CC70E5">
        <w:tc>
          <w:tcPr>
            <w:tcW w:w="7371" w:type="dxa"/>
            <w:gridSpan w:val="2"/>
            <w:tcBorders>
              <w:top w:val="single" w:sz="4" w:space="0" w:color="auto"/>
              <w:bottom w:val="nil"/>
            </w:tcBorders>
          </w:tcPr>
          <w:p w14:paraId="7C27E247" w14:textId="77777777" w:rsidR="00451791" w:rsidRPr="009F173A" w:rsidRDefault="00451791" w:rsidP="00CC70E5">
            <w:pPr>
              <w:spacing w:line="360" w:lineRule="auto"/>
              <w:rPr>
                <w:b/>
              </w:rPr>
            </w:pPr>
            <w:r w:rsidRPr="009F173A">
              <w:rPr>
                <w:rFonts w:ascii="Calibri" w:eastAsia="Calibri" w:hAnsi="Calibri" w:cs="Arial"/>
                <w:b/>
              </w:rPr>
              <w:t>Used in BIA procedure</w:t>
            </w:r>
          </w:p>
        </w:tc>
      </w:tr>
      <w:tr w:rsidR="009F173A" w:rsidRPr="009F173A" w14:paraId="2CD9EE50" w14:textId="77777777" w:rsidTr="00CC70E5">
        <w:tc>
          <w:tcPr>
            <w:tcW w:w="5103" w:type="dxa"/>
            <w:tcBorders>
              <w:top w:val="nil"/>
            </w:tcBorders>
          </w:tcPr>
          <w:p w14:paraId="7E14C92D" w14:textId="6182F1CF" w:rsidR="00451791" w:rsidRPr="009F173A" w:rsidRDefault="00451791" w:rsidP="00CC70E5">
            <w:pPr>
              <w:spacing w:line="480" w:lineRule="auto"/>
              <w:rPr>
                <w:rFonts w:ascii="Calibri" w:eastAsia="Calibri" w:hAnsi="Calibri" w:cs="Arial"/>
                <w:bCs/>
              </w:rPr>
            </w:pPr>
            <m:oMathPara>
              <m:oMathParaPr>
                <m:jc m:val="left"/>
              </m:oMathParaPr>
              <m:oMath>
                <m:r>
                  <w:rPr>
                    <w:rFonts w:ascii="Cambria Math" w:hAnsi="Cambria Math"/>
                  </w:rPr>
                  <m:t xml:space="preserve">FFM= </m:t>
                </m:r>
                <m:f>
                  <m:fPr>
                    <m:ctrlPr>
                      <w:rPr>
                        <w:rFonts w:ascii="Cambria Math" w:hAnsi="Cambria Math"/>
                        <w:i/>
                      </w:rPr>
                    </m:ctrlPr>
                  </m:fPr>
                  <m:num>
                    <m:r>
                      <w:rPr>
                        <w:rFonts w:ascii="Cambria Math" w:hAnsi="Cambria Math"/>
                      </w:rPr>
                      <m:t xml:space="preserve">(3.474+0.459 </m:t>
                    </m:r>
                    <m:f>
                      <m:fPr>
                        <m:ctrlPr>
                          <w:rPr>
                            <w:rFonts w:ascii="Cambria Math" w:hAnsi="Cambria Math"/>
                            <w:i/>
                          </w:rPr>
                        </m:ctrlPr>
                      </m:fPr>
                      <m:num>
                        <m:sSup>
                          <m:sSupPr>
                            <m:ctrlPr>
                              <w:rPr>
                                <w:rFonts w:ascii="Cambria Math" w:hAnsi="Cambria Math"/>
                                <w:i/>
                              </w:rPr>
                            </m:ctrlPr>
                          </m:sSupPr>
                          <m:e>
                            <m:r>
                              <w:rPr>
                                <w:rFonts w:ascii="Cambria Math" w:hAnsi="Cambria Math"/>
                              </w:rPr>
                              <m:t>Ht</m:t>
                            </m:r>
                          </m:e>
                          <m:sup>
                            <m:r>
                              <w:rPr>
                                <w:rFonts w:ascii="Cambria Math" w:hAnsi="Cambria Math"/>
                              </w:rPr>
                              <m:t>2</m:t>
                            </m:r>
                          </m:sup>
                        </m:sSup>
                      </m:num>
                      <m:den>
                        <m:r>
                          <w:rPr>
                            <w:rFonts w:ascii="Cambria Math" w:hAnsi="Cambria Math"/>
                          </w:rPr>
                          <m:t>R</m:t>
                        </m:r>
                      </m:den>
                    </m:f>
                    <m:r>
                      <w:rPr>
                        <w:rFonts w:ascii="Cambria Math" w:hAnsi="Cambria Math"/>
                      </w:rPr>
                      <m:t>+0.064Wt)</m:t>
                    </m:r>
                  </m:num>
                  <m:den>
                    <m:r>
                      <w:rPr>
                        <w:rFonts w:ascii="Cambria Math" w:hAnsi="Cambria Math"/>
                      </w:rPr>
                      <m:t>(0.769-0.009A-0.016S</m:t>
                    </m:r>
                  </m:den>
                </m:f>
              </m:oMath>
            </m:oMathPara>
          </w:p>
        </w:tc>
        <w:tc>
          <w:tcPr>
            <w:tcW w:w="2268" w:type="dxa"/>
            <w:tcBorders>
              <w:top w:val="nil"/>
            </w:tcBorders>
          </w:tcPr>
          <w:p w14:paraId="7E76C113" w14:textId="2EEBFD17" w:rsidR="00451791" w:rsidRPr="009F173A" w:rsidRDefault="00451791" w:rsidP="00CC70E5">
            <w:pPr>
              <w:spacing w:line="480" w:lineRule="auto"/>
              <w:rPr>
                <w:rFonts w:ascii="Calibri" w:eastAsia="Calibri" w:hAnsi="Calibri" w:cs="Arial"/>
              </w:rPr>
            </w:pPr>
            <w:bookmarkStart w:id="32" w:name="_Hlk103338359"/>
            <w:r w:rsidRPr="009F173A">
              <w:rPr>
                <w:bCs/>
              </w:rPr>
              <w:t>Horlick et al</w:t>
            </w:r>
            <w:bookmarkEnd w:id="32"/>
            <w:r w:rsidRPr="009F173A">
              <w:rPr>
                <w:bCs/>
                <w:vertAlign w:val="superscript"/>
              </w:rPr>
              <w:t>3</w:t>
            </w:r>
            <w:r w:rsidR="00457FA4" w:rsidRPr="009F173A">
              <w:rPr>
                <w:bCs/>
                <w:vertAlign w:val="superscript"/>
              </w:rPr>
              <w:t>3</w:t>
            </w:r>
          </w:p>
        </w:tc>
      </w:tr>
      <w:tr w:rsidR="009F173A" w:rsidRPr="009F173A" w14:paraId="323AF6EE" w14:textId="77777777" w:rsidTr="00CC70E5">
        <w:tc>
          <w:tcPr>
            <w:tcW w:w="5103" w:type="dxa"/>
          </w:tcPr>
          <w:p w14:paraId="3F984901" w14:textId="77777777" w:rsidR="00451791" w:rsidRPr="009F173A" w:rsidRDefault="00451791" w:rsidP="00CC70E5">
            <w:pPr>
              <w:spacing w:line="480" w:lineRule="auto"/>
            </w:pPr>
            <m:oMathPara>
              <m:oMathParaPr>
                <m:jc m:val="left"/>
              </m:oMathParaPr>
              <m:oMath>
                <m:r>
                  <w:rPr>
                    <w:rFonts w:ascii="Cambria Math" w:hAnsi="Cambria Math"/>
                  </w:rPr>
                  <m:t xml:space="preserve">%FM  </m:t>
                </m:r>
                <m:f>
                  <m:fPr>
                    <m:ctrlPr>
                      <w:rPr>
                        <w:rFonts w:ascii="Cambria Math" w:hAnsi="Cambria Math"/>
                        <w:i/>
                      </w:rPr>
                    </m:ctrlPr>
                  </m:fPr>
                  <m:num>
                    <m:r>
                      <w:rPr>
                        <w:rFonts w:ascii="Cambria Math" w:hAnsi="Cambria Math"/>
                      </w:rPr>
                      <m:t>Wt-FFM</m:t>
                    </m:r>
                  </m:num>
                  <m:den>
                    <m:r>
                      <w:rPr>
                        <w:rFonts w:ascii="Cambria Math" w:hAnsi="Cambria Math"/>
                      </w:rPr>
                      <m:t>Wt</m:t>
                    </m:r>
                  </m:den>
                </m:f>
                <m:r>
                  <w:rPr>
                    <w:rFonts w:ascii="Cambria Math" w:hAnsi="Cambria Math"/>
                  </w:rPr>
                  <m:t xml:space="preserve"> 100</m:t>
                </m:r>
              </m:oMath>
            </m:oMathPara>
          </w:p>
        </w:tc>
        <w:tc>
          <w:tcPr>
            <w:tcW w:w="2268" w:type="dxa"/>
          </w:tcPr>
          <w:p w14:paraId="50359250" w14:textId="77777777" w:rsidR="00451791" w:rsidRPr="009F173A" w:rsidRDefault="00451791" w:rsidP="00CC70E5">
            <w:pPr>
              <w:spacing w:line="480" w:lineRule="auto"/>
              <w:rPr>
                <w:rFonts w:ascii="Calibri" w:eastAsia="Calibri" w:hAnsi="Calibri" w:cs="Arial"/>
              </w:rPr>
            </w:pPr>
          </w:p>
        </w:tc>
      </w:tr>
    </w:tbl>
    <w:p w14:paraId="1B1FE992" w14:textId="06221943" w:rsidR="00451791" w:rsidRPr="009F173A" w:rsidRDefault="00892FEE" w:rsidP="00451791">
      <w:pPr>
        <w:spacing w:after="0"/>
        <w:rPr>
          <w:bCs/>
          <w:sz w:val="18"/>
          <w:szCs w:val="18"/>
        </w:rPr>
      </w:pPr>
      <w:r w:rsidRPr="009F173A">
        <w:rPr>
          <w:bCs/>
          <w:i/>
          <w:iCs/>
          <w:sz w:val="18"/>
          <w:szCs w:val="18"/>
        </w:rPr>
        <w:t>TGV</w:t>
      </w:r>
      <w:r w:rsidRPr="009F173A">
        <w:rPr>
          <w:bCs/>
          <w:sz w:val="18"/>
          <w:szCs w:val="18"/>
        </w:rPr>
        <w:t xml:space="preserve">, thoracic gas volume; </w:t>
      </w:r>
      <w:r w:rsidRPr="009F173A">
        <w:rPr>
          <w:bCs/>
          <w:i/>
          <w:iCs/>
          <w:sz w:val="18"/>
          <w:szCs w:val="18"/>
        </w:rPr>
        <w:t>Ht</w:t>
      </w:r>
      <w:r w:rsidRPr="009F173A">
        <w:rPr>
          <w:bCs/>
          <w:sz w:val="18"/>
          <w:szCs w:val="18"/>
        </w:rPr>
        <w:t>, height in cm</w:t>
      </w:r>
      <w:r w:rsidR="00C019D6" w:rsidRPr="009F173A">
        <w:rPr>
          <w:bCs/>
          <w:sz w:val="18"/>
          <w:szCs w:val="18"/>
        </w:rPr>
        <w:t xml:space="preserve"> (derived by height in m x 100)</w:t>
      </w:r>
      <w:r w:rsidRPr="009F173A">
        <w:rPr>
          <w:bCs/>
          <w:sz w:val="18"/>
          <w:szCs w:val="18"/>
        </w:rPr>
        <w:t xml:space="preserve">; </w:t>
      </w:r>
      <w:r w:rsidRPr="009F173A">
        <w:rPr>
          <w:bCs/>
          <w:i/>
          <w:iCs/>
          <w:sz w:val="18"/>
          <w:szCs w:val="18"/>
        </w:rPr>
        <w:t>SSA</w:t>
      </w:r>
      <w:r w:rsidRPr="009F173A">
        <w:rPr>
          <w:bCs/>
          <w:sz w:val="18"/>
          <w:szCs w:val="18"/>
        </w:rPr>
        <w:t xml:space="preserve">, skin surface area; </w:t>
      </w:r>
      <w:r w:rsidRPr="009F173A">
        <w:rPr>
          <w:bCs/>
          <w:i/>
          <w:iCs/>
          <w:sz w:val="18"/>
          <w:szCs w:val="18"/>
        </w:rPr>
        <w:t>Wt</w:t>
      </w:r>
      <w:r w:rsidRPr="009F173A">
        <w:rPr>
          <w:bCs/>
          <w:sz w:val="18"/>
          <w:szCs w:val="18"/>
        </w:rPr>
        <w:t xml:space="preserve">, body mass in kg; </w:t>
      </w:r>
      <w:r w:rsidRPr="009F173A">
        <w:rPr>
          <w:bCs/>
          <w:i/>
          <w:iCs/>
          <w:sz w:val="18"/>
          <w:szCs w:val="18"/>
        </w:rPr>
        <w:t>%FM</w:t>
      </w:r>
      <w:r w:rsidRPr="009F173A">
        <w:rPr>
          <w:bCs/>
          <w:sz w:val="18"/>
          <w:szCs w:val="18"/>
        </w:rPr>
        <w:t xml:space="preserve">, percent fat mass; </w:t>
      </w:r>
      <w:r w:rsidRPr="009F173A">
        <w:rPr>
          <w:bCs/>
          <w:i/>
          <w:iCs/>
          <w:sz w:val="18"/>
          <w:szCs w:val="18"/>
        </w:rPr>
        <w:t>k</w:t>
      </w:r>
      <w:r w:rsidRPr="009F173A">
        <w:rPr>
          <w:bCs/>
          <w:sz w:val="18"/>
          <w:szCs w:val="18"/>
          <w:vertAlign w:val="subscript"/>
        </w:rPr>
        <w:t xml:space="preserve">1 </w:t>
      </w:r>
      <w:r w:rsidRPr="009F173A">
        <w:rPr>
          <w:bCs/>
          <w:sz w:val="18"/>
          <w:szCs w:val="18"/>
        </w:rPr>
        <w:t xml:space="preserve">and </w:t>
      </w:r>
      <w:r w:rsidRPr="009F173A">
        <w:rPr>
          <w:bCs/>
          <w:i/>
          <w:iCs/>
          <w:sz w:val="18"/>
          <w:szCs w:val="18"/>
        </w:rPr>
        <w:t>k</w:t>
      </w:r>
      <w:r w:rsidRPr="009F173A">
        <w:rPr>
          <w:bCs/>
          <w:sz w:val="18"/>
          <w:szCs w:val="18"/>
          <w:vertAlign w:val="subscript"/>
        </w:rPr>
        <w:t>2</w:t>
      </w:r>
      <w:r w:rsidRPr="009F173A">
        <w:rPr>
          <w:bCs/>
          <w:sz w:val="18"/>
          <w:szCs w:val="18"/>
        </w:rPr>
        <w:t xml:space="preserve">, gender and age specific constants; </w:t>
      </w:r>
      <w:r w:rsidRPr="009F173A">
        <w:rPr>
          <w:bCs/>
          <w:i/>
          <w:iCs/>
          <w:sz w:val="18"/>
          <w:szCs w:val="18"/>
        </w:rPr>
        <w:t xml:space="preserve">Db, body density; FFM, fat free mass; </w:t>
      </w:r>
      <w:r w:rsidR="0097799F" w:rsidRPr="009F173A">
        <w:rPr>
          <w:bCs/>
          <w:sz w:val="18"/>
          <w:szCs w:val="18"/>
        </w:rPr>
        <w:t>R</w:t>
      </w:r>
      <w:r w:rsidRPr="009F173A">
        <w:rPr>
          <w:bCs/>
          <w:sz w:val="18"/>
          <w:szCs w:val="18"/>
        </w:rPr>
        <w:t>, resistance;</w:t>
      </w:r>
      <w:r w:rsidRPr="009F173A">
        <w:rPr>
          <w:bCs/>
          <w:i/>
          <w:iCs/>
          <w:sz w:val="18"/>
          <w:szCs w:val="18"/>
        </w:rPr>
        <w:t xml:space="preserve"> </w:t>
      </w:r>
      <w:r w:rsidR="00451791" w:rsidRPr="009F173A">
        <w:rPr>
          <w:bCs/>
          <w:i/>
          <w:iCs/>
          <w:sz w:val="18"/>
          <w:szCs w:val="18"/>
        </w:rPr>
        <w:t>A</w:t>
      </w:r>
      <w:r w:rsidRPr="009F173A">
        <w:rPr>
          <w:bCs/>
          <w:i/>
          <w:iCs/>
          <w:sz w:val="18"/>
          <w:szCs w:val="18"/>
        </w:rPr>
        <w:t>,</w:t>
      </w:r>
      <w:r w:rsidR="00451791" w:rsidRPr="009F173A">
        <w:rPr>
          <w:bCs/>
          <w:i/>
          <w:iCs/>
          <w:sz w:val="18"/>
          <w:szCs w:val="18"/>
        </w:rPr>
        <w:t xml:space="preserve"> age in years; S</w:t>
      </w:r>
      <w:r w:rsidRPr="009F173A">
        <w:rPr>
          <w:bCs/>
          <w:sz w:val="18"/>
          <w:szCs w:val="18"/>
        </w:rPr>
        <w:t>,</w:t>
      </w:r>
      <w:r w:rsidR="00451791" w:rsidRPr="009F173A">
        <w:rPr>
          <w:bCs/>
          <w:sz w:val="18"/>
          <w:szCs w:val="18"/>
        </w:rPr>
        <w:t xml:space="preserve"> gender specific constants</w:t>
      </w:r>
      <w:r w:rsidRPr="009F173A">
        <w:rPr>
          <w:bCs/>
          <w:sz w:val="18"/>
          <w:szCs w:val="18"/>
        </w:rPr>
        <w:t xml:space="preserve">. </w:t>
      </w:r>
    </w:p>
    <w:p w14:paraId="61ACF0EB" w14:textId="40219EB8" w:rsidR="00451791" w:rsidRPr="009F173A" w:rsidRDefault="00451791" w:rsidP="0079797A">
      <w:pPr>
        <w:spacing w:line="276" w:lineRule="auto"/>
        <w:rPr>
          <w:b/>
        </w:rPr>
      </w:pPr>
    </w:p>
    <w:p w14:paraId="71A75908" w14:textId="3C0F72D4" w:rsidR="00451791" w:rsidRPr="009F173A" w:rsidRDefault="00451791" w:rsidP="0079797A">
      <w:pPr>
        <w:spacing w:line="276" w:lineRule="auto"/>
        <w:rPr>
          <w:b/>
        </w:rPr>
      </w:pPr>
    </w:p>
    <w:p w14:paraId="37B510A6" w14:textId="384C7DC8" w:rsidR="00451791" w:rsidRPr="009F173A" w:rsidRDefault="00451791" w:rsidP="0079797A">
      <w:pPr>
        <w:spacing w:line="276" w:lineRule="auto"/>
        <w:rPr>
          <w:b/>
        </w:rPr>
      </w:pPr>
    </w:p>
    <w:p w14:paraId="69823473" w14:textId="432314F7" w:rsidR="00451791" w:rsidRPr="009F173A" w:rsidRDefault="00451791" w:rsidP="0079797A">
      <w:pPr>
        <w:spacing w:line="276" w:lineRule="auto"/>
        <w:rPr>
          <w:b/>
        </w:rPr>
      </w:pPr>
    </w:p>
    <w:p w14:paraId="33E824DE" w14:textId="6BDB2A05" w:rsidR="00451791" w:rsidRPr="009F173A" w:rsidRDefault="00451791" w:rsidP="0079797A">
      <w:pPr>
        <w:spacing w:line="276" w:lineRule="auto"/>
        <w:rPr>
          <w:b/>
        </w:rPr>
      </w:pPr>
    </w:p>
    <w:p w14:paraId="51E7E5B2" w14:textId="4863BC73" w:rsidR="00451791" w:rsidRPr="009F173A" w:rsidRDefault="00451791" w:rsidP="0079797A">
      <w:pPr>
        <w:spacing w:line="276" w:lineRule="auto"/>
        <w:rPr>
          <w:b/>
        </w:rPr>
      </w:pPr>
    </w:p>
    <w:p w14:paraId="35415900" w14:textId="27002AF2" w:rsidR="00451791" w:rsidRPr="009F173A" w:rsidRDefault="00451791" w:rsidP="0079797A">
      <w:pPr>
        <w:spacing w:line="276" w:lineRule="auto"/>
        <w:rPr>
          <w:b/>
        </w:rPr>
      </w:pPr>
    </w:p>
    <w:p w14:paraId="4C7C4680" w14:textId="56A98C5E" w:rsidR="00451791" w:rsidRPr="009F173A" w:rsidRDefault="00451791" w:rsidP="0079797A">
      <w:pPr>
        <w:spacing w:line="276" w:lineRule="auto"/>
        <w:rPr>
          <w:b/>
        </w:rPr>
      </w:pPr>
    </w:p>
    <w:p w14:paraId="417AD341" w14:textId="20074E0A" w:rsidR="00451791" w:rsidRPr="009F173A" w:rsidRDefault="00451791" w:rsidP="0079797A">
      <w:pPr>
        <w:spacing w:line="276" w:lineRule="auto"/>
        <w:rPr>
          <w:b/>
        </w:rPr>
      </w:pPr>
    </w:p>
    <w:p w14:paraId="53499EE9" w14:textId="4A624336" w:rsidR="00451791" w:rsidRPr="009F173A" w:rsidRDefault="00451791" w:rsidP="0079797A">
      <w:pPr>
        <w:spacing w:line="276" w:lineRule="auto"/>
        <w:rPr>
          <w:b/>
        </w:rPr>
      </w:pPr>
    </w:p>
    <w:p w14:paraId="36B93E0B" w14:textId="7B8DF426" w:rsidR="00451791" w:rsidRPr="009F173A" w:rsidRDefault="00451791" w:rsidP="0079797A">
      <w:pPr>
        <w:spacing w:line="276" w:lineRule="auto"/>
        <w:rPr>
          <w:b/>
        </w:rPr>
      </w:pPr>
    </w:p>
    <w:p w14:paraId="0FDC52F0" w14:textId="126681DB" w:rsidR="00451791" w:rsidRPr="009F173A" w:rsidRDefault="00451791" w:rsidP="0079797A">
      <w:pPr>
        <w:spacing w:line="276" w:lineRule="auto"/>
        <w:rPr>
          <w:b/>
        </w:rPr>
      </w:pPr>
    </w:p>
    <w:p w14:paraId="019058AC" w14:textId="19A6751C" w:rsidR="00451791" w:rsidRPr="009F173A" w:rsidRDefault="00451791" w:rsidP="0079797A">
      <w:pPr>
        <w:spacing w:line="276" w:lineRule="auto"/>
        <w:rPr>
          <w:b/>
        </w:rPr>
      </w:pPr>
    </w:p>
    <w:p w14:paraId="21E7769C" w14:textId="47BE0FEE" w:rsidR="00451791" w:rsidRPr="009F173A" w:rsidRDefault="00451791" w:rsidP="0079797A">
      <w:pPr>
        <w:spacing w:line="276" w:lineRule="auto"/>
        <w:rPr>
          <w:b/>
        </w:rPr>
      </w:pPr>
    </w:p>
    <w:p w14:paraId="0473564E" w14:textId="77777777" w:rsidR="00451791" w:rsidRPr="009F173A" w:rsidRDefault="00451791" w:rsidP="00451791">
      <w:pPr>
        <w:spacing w:after="0"/>
        <w:rPr>
          <w:bCs/>
        </w:rPr>
      </w:pPr>
      <w:r w:rsidRPr="009F173A">
        <w:rPr>
          <w:bCs/>
        </w:rPr>
        <w:t>Table 2. Equations used to assess reliability of data</w:t>
      </w:r>
    </w:p>
    <w:p w14:paraId="57C29D3D" w14:textId="77777777" w:rsidR="00451791" w:rsidRPr="009F173A" w:rsidRDefault="00451791" w:rsidP="00451791">
      <w:pPr>
        <w:spacing w:after="0"/>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3685"/>
      </w:tblGrid>
      <w:tr w:rsidR="009F173A" w:rsidRPr="009F173A" w14:paraId="70A5C84B" w14:textId="77777777" w:rsidTr="00CC70E5">
        <w:tc>
          <w:tcPr>
            <w:tcW w:w="3050" w:type="dxa"/>
            <w:tcBorders>
              <w:top w:val="single" w:sz="4" w:space="0" w:color="auto"/>
              <w:bottom w:val="single" w:sz="4" w:space="0" w:color="auto"/>
            </w:tcBorders>
          </w:tcPr>
          <w:p w14:paraId="6017221F" w14:textId="77777777" w:rsidR="00451791" w:rsidRPr="009F173A" w:rsidRDefault="00451791" w:rsidP="00CC70E5">
            <w:pPr>
              <w:rPr>
                <w:b/>
                <w:bCs/>
              </w:rPr>
            </w:pPr>
            <w:r w:rsidRPr="009F173A">
              <w:rPr>
                <w:b/>
                <w:bCs/>
              </w:rPr>
              <w:t>Equation</w:t>
            </w:r>
          </w:p>
        </w:tc>
        <w:tc>
          <w:tcPr>
            <w:tcW w:w="3685" w:type="dxa"/>
            <w:tcBorders>
              <w:top w:val="single" w:sz="4" w:space="0" w:color="auto"/>
              <w:bottom w:val="single" w:sz="4" w:space="0" w:color="auto"/>
            </w:tcBorders>
          </w:tcPr>
          <w:p w14:paraId="7284EDDA" w14:textId="77777777" w:rsidR="00451791" w:rsidRPr="009F173A" w:rsidRDefault="00451791" w:rsidP="00CC70E5">
            <w:pPr>
              <w:rPr>
                <w:b/>
                <w:bCs/>
              </w:rPr>
            </w:pPr>
            <w:r w:rsidRPr="009F173A">
              <w:rPr>
                <w:b/>
                <w:bCs/>
              </w:rPr>
              <w:t>Reference</w:t>
            </w:r>
          </w:p>
        </w:tc>
      </w:tr>
      <w:tr w:rsidR="009F173A" w:rsidRPr="009F173A" w14:paraId="4CB555E6" w14:textId="77777777" w:rsidTr="00CC70E5">
        <w:tc>
          <w:tcPr>
            <w:tcW w:w="3050" w:type="dxa"/>
            <w:tcBorders>
              <w:top w:val="single" w:sz="4" w:space="0" w:color="auto"/>
            </w:tcBorders>
          </w:tcPr>
          <w:p w14:paraId="2301C814" w14:textId="77777777" w:rsidR="00451791" w:rsidRPr="009F173A" w:rsidRDefault="00451791" w:rsidP="00CC70E5">
            <w:pPr>
              <w:spacing w:line="480" w:lineRule="auto"/>
              <w:rPr>
                <w:bCs/>
              </w:rPr>
            </w:pPr>
            <m:oMathPara>
              <m:oMathParaPr>
                <m:jc m:val="left"/>
              </m:oMathParaPr>
              <m:oMath>
                <m:r>
                  <w:rPr>
                    <w:rFonts w:ascii="Cambria Math" w:hAnsi="Cambria Math"/>
                  </w:rPr>
                  <m:t xml:space="preserve">TEM= </m:t>
                </m:r>
                <m:rad>
                  <m:radPr>
                    <m:degHide m:val="1"/>
                    <m:ctrlPr>
                      <w:rPr>
                        <w:rFonts w:ascii="Cambria Math" w:hAnsi="Cambria Math"/>
                        <w:bCs/>
                        <w:i/>
                      </w:rPr>
                    </m:ctrlPr>
                  </m:radPr>
                  <m:deg/>
                  <m:e>
                    <m:f>
                      <m:fPr>
                        <m:ctrlPr>
                          <w:rPr>
                            <w:rFonts w:ascii="Cambria Math" w:hAnsi="Cambria Math"/>
                            <w:bCs/>
                            <w:i/>
                          </w:rPr>
                        </m:ctrlPr>
                      </m:fPr>
                      <m:num>
                        <m:d>
                          <m:dPr>
                            <m:ctrlPr>
                              <w:rPr>
                                <w:rFonts w:ascii="Cambria Math" w:hAnsi="Cambria Math"/>
                                <w:bCs/>
                                <w:i/>
                              </w:rPr>
                            </m:ctrlPr>
                          </m:dPr>
                          <m:e>
                            <m:nary>
                              <m:naryPr>
                                <m:chr m:val="∑"/>
                                <m:limLoc m:val="undOvr"/>
                                <m:subHide m:val="1"/>
                                <m:supHide m:val="1"/>
                                <m:ctrlPr>
                                  <w:rPr>
                                    <w:rFonts w:ascii="Cambria Math" w:hAnsi="Cambria Math"/>
                                    <w:bCs/>
                                    <w:i/>
                                  </w:rPr>
                                </m:ctrlPr>
                              </m:naryPr>
                              <m:sub/>
                              <m:sup/>
                              <m:e>
                                <m:sSup>
                                  <m:sSupPr>
                                    <m:ctrlPr>
                                      <w:rPr>
                                        <w:rFonts w:ascii="Cambria Math" w:hAnsi="Cambria Math"/>
                                        <w:bCs/>
                                        <w:i/>
                                      </w:rPr>
                                    </m:ctrlPr>
                                  </m:sSupPr>
                                  <m:e>
                                    <m:r>
                                      <w:rPr>
                                        <w:rFonts w:ascii="Cambria Math" w:hAnsi="Cambria Math"/>
                                      </w:rPr>
                                      <m:t>d</m:t>
                                    </m:r>
                                  </m:e>
                                  <m:sup>
                                    <m:r>
                                      <w:rPr>
                                        <w:rFonts w:ascii="Cambria Math" w:hAnsi="Cambria Math"/>
                                      </w:rPr>
                                      <m:t>2</m:t>
                                    </m:r>
                                  </m:sup>
                                </m:sSup>
                              </m:e>
                            </m:nary>
                          </m:e>
                        </m:d>
                      </m:num>
                      <m:den>
                        <m:r>
                          <w:rPr>
                            <w:rFonts w:ascii="Cambria Math" w:hAnsi="Cambria Math"/>
                          </w:rPr>
                          <m:t>2n</m:t>
                        </m:r>
                      </m:den>
                    </m:f>
                  </m:e>
                </m:rad>
              </m:oMath>
            </m:oMathPara>
          </w:p>
        </w:tc>
        <w:tc>
          <w:tcPr>
            <w:tcW w:w="3685" w:type="dxa"/>
            <w:tcBorders>
              <w:top w:val="single" w:sz="4" w:space="0" w:color="auto"/>
            </w:tcBorders>
          </w:tcPr>
          <w:p w14:paraId="16657139" w14:textId="77777777" w:rsidR="00451791" w:rsidRPr="009F173A" w:rsidRDefault="00451791" w:rsidP="00CC70E5">
            <w:pPr>
              <w:spacing w:line="480" w:lineRule="auto"/>
              <w:rPr>
                <w:bCs/>
              </w:rPr>
            </w:pPr>
          </w:p>
        </w:tc>
      </w:tr>
      <w:tr w:rsidR="009F173A" w:rsidRPr="009F173A" w14:paraId="7BD23883" w14:textId="77777777" w:rsidTr="00CC70E5">
        <w:tc>
          <w:tcPr>
            <w:tcW w:w="3050" w:type="dxa"/>
          </w:tcPr>
          <w:p w14:paraId="63AD2940" w14:textId="77777777" w:rsidR="00451791" w:rsidRPr="009F173A" w:rsidRDefault="00451791" w:rsidP="00CC70E5">
            <w:pPr>
              <w:spacing w:line="480" w:lineRule="auto"/>
              <w:rPr>
                <w:bCs/>
              </w:rPr>
            </w:pPr>
            <m:oMathPara>
              <m:oMathParaPr>
                <m:jc m:val="left"/>
              </m:oMathParaPr>
              <m:oMath>
                <m:r>
                  <w:rPr>
                    <w:rFonts w:ascii="Cambria Math" w:hAnsi="Cambria Math"/>
                  </w:rPr>
                  <m:t xml:space="preserve">%TEM= </m:t>
                </m:r>
                <m:d>
                  <m:dPr>
                    <m:ctrlPr>
                      <w:rPr>
                        <w:rFonts w:ascii="Cambria Math" w:hAnsi="Cambria Math"/>
                        <w:bCs/>
                        <w:i/>
                      </w:rPr>
                    </m:ctrlPr>
                  </m:dPr>
                  <m:e>
                    <m:f>
                      <m:fPr>
                        <m:ctrlPr>
                          <w:rPr>
                            <w:rFonts w:ascii="Cambria Math" w:hAnsi="Cambria Math"/>
                            <w:bCs/>
                            <w:i/>
                          </w:rPr>
                        </m:ctrlPr>
                      </m:fPr>
                      <m:num>
                        <m:r>
                          <w:rPr>
                            <w:rFonts w:ascii="Cambria Math" w:hAnsi="Cambria Math"/>
                          </w:rPr>
                          <m:t>TEM</m:t>
                        </m:r>
                      </m:num>
                      <m:den>
                        <m:r>
                          <w:rPr>
                            <w:rFonts w:ascii="Cambria Math" w:hAnsi="Cambria Math"/>
                          </w:rPr>
                          <m:t>x</m:t>
                        </m:r>
                      </m:den>
                    </m:f>
                  </m:e>
                </m:d>
                <m:r>
                  <w:rPr>
                    <w:rFonts w:ascii="Cambria Math" w:hAnsi="Cambria Math"/>
                  </w:rPr>
                  <m:t>100</m:t>
                </m:r>
              </m:oMath>
            </m:oMathPara>
          </w:p>
        </w:tc>
        <w:tc>
          <w:tcPr>
            <w:tcW w:w="3685" w:type="dxa"/>
          </w:tcPr>
          <w:p w14:paraId="05146E25" w14:textId="77777777" w:rsidR="00451791" w:rsidRPr="009F173A" w:rsidRDefault="00451791" w:rsidP="00CC70E5">
            <w:pPr>
              <w:spacing w:line="480" w:lineRule="auto"/>
              <w:rPr>
                <w:bCs/>
              </w:rPr>
            </w:pPr>
          </w:p>
        </w:tc>
      </w:tr>
      <w:tr w:rsidR="009F173A" w:rsidRPr="009F173A" w14:paraId="3AA5A5AA" w14:textId="77777777" w:rsidTr="00CC70E5">
        <w:tc>
          <w:tcPr>
            <w:tcW w:w="3050" w:type="dxa"/>
          </w:tcPr>
          <w:p w14:paraId="4ACEE6D6" w14:textId="09868910" w:rsidR="00451791" w:rsidRPr="009F173A" w:rsidRDefault="009F173A" w:rsidP="00CC70E5">
            <w:pPr>
              <w:spacing w:line="480" w:lineRule="auto"/>
              <w:rPr>
                <w:bCs/>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xx</m:t>
                    </m:r>
                  </m:sub>
                </m:sSub>
                <m:r>
                  <w:rPr>
                    <w:rFonts w:ascii="Cambria Math" w:hAnsi="Cambria Math"/>
                  </w:rPr>
                  <m:t xml:space="preserve">=1- </m:t>
                </m:r>
                <m:d>
                  <m:dPr>
                    <m:ctrlPr>
                      <w:rPr>
                        <w:rFonts w:ascii="Cambria Math" w:hAnsi="Cambria Math"/>
                        <w:bCs/>
                        <w:i/>
                      </w:rPr>
                    </m:ctrlPr>
                  </m:dPr>
                  <m:e>
                    <m:f>
                      <m:fPr>
                        <m:ctrlPr>
                          <w:rPr>
                            <w:rFonts w:ascii="Cambria Math" w:hAnsi="Cambria Math"/>
                            <w:bCs/>
                            <w:i/>
                          </w:rPr>
                        </m:ctrlPr>
                      </m:fPr>
                      <m:num>
                        <m:sSup>
                          <m:sSupPr>
                            <m:ctrlPr>
                              <w:rPr>
                                <w:rFonts w:ascii="Cambria Math" w:hAnsi="Cambria Math"/>
                                <w:bCs/>
                                <w:i/>
                              </w:rPr>
                            </m:ctrlPr>
                          </m:sSupPr>
                          <m:e>
                            <m:r>
                              <w:rPr>
                                <w:rFonts w:ascii="Cambria Math" w:hAnsi="Cambria Math"/>
                              </w:rPr>
                              <m:t xml:space="preserve"> TEM</m:t>
                            </m:r>
                          </m:e>
                          <m:sup>
                            <m:r>
                              <w:rPr>
                                <w:rFonts w:ascii="Cambria Math" w:hAnsi="Cambria Math"/>
                              </w:rPr>
                              <m:t>2</m:t>
                            </m:r>
                          </m:sup>
                        </m:sSup>
                      </m:num>
                      <m:den>
                        <m:sSup>
                          <m:sSupPr>
                            <m:ctrlPr>
                              <w:rPr>
                                <w:rFonts w:ascii="Cambria Math" w:hAnsi="Cambria Math"/>
                                <w:bCs/>
                                <w:i/>
                              </w:rPr>
                            </m:ctrlPr>
                          </m:sSupPr>
                          <m:e>
                            <m:r>
                              <w:rPr>
                                <w:rFonts w:ascii="Cambria Math" w:hAnsi="Cambria Math"/>
                              </w:rPr>
                              <m:t>SD</m:t>
                            </m:r>
                          </m:e>
                          <m:sup>
                            <m:r>
                              <w:rPr>
                                <w:rFonts w:ascii="Cambria Math" w:hAnsi="Cambria Math"/>
                              </w:rPr>
                              <m:t>2</m:t>
                            </m:r>
                          </m:sup>
                        </m:sSup>
                      </m:den>
                    </m:f>
                  </m:e>
                </m:d>
              </m:oMath>
            </m:oMathPara>
          </w:p>
        </w:tc>
        <w:tc>
          <w:tcPr>
            <w:tcW w:w="3685" w:type="dxa"/>
          </w:tcPr>
          <w:p w14:paraId="7E7A7349" w14:textId="4A35C1DD" w:rsidR="00451791" w:rsidRPr="009F173A" w:rsidRDefault="00451791" w:rsidP="00CC70E5">
            <w:pPr>
              <w:spacing w:line="480" w:lineRule="auto"/>
              <w:rPr>
                <w:bCs/>
              </w:rPr>
            </w:pPr>
            <w:bookmarkStart w:id="33" w:name="_Hlk103338424"/>
            <w:r w:rsidRPr="009F173A">
              <w:rPr>
                <w:bCs/>
              </w:rPr>
              <w:t>Ulijaszek &amp; Kerr</w:t>
            </w:r>
            <w:bookmarkEnd w:id="33"/>
            <w:r w:rsidRPr="009F173A">
              <w:rPr>
                <w:bCs/>
                <w:vertAlign w:val="superscript"/>
              </w:rPr>
              <w:t>3</w:t>
            </w:r>
            <w:r w:rsidR="00457FA4" w:rsidRPr="009F173A">
              <w:rPr>
                <w:bCs/>
                <w:vertAlign w:val="superscript"/>
              </w:rPr>
              <w:t>8</w:t>
            </w:r>
          </w:p>
        </w:tc>
      </w:tr>
      <w:tr w:rsidR="009F173A" w:rsidRPr="009F173A" w14:paraId="4E22AD47" w14:textId="77777777" w:rsidTr="00CC70E5">
        <w:tc>
          <w:tcPr>
            <w:tcW w:w="3050" w:type="dxa"/>
            <w:tcBorders>
              <w:bottom w:val="single" w:sz="4" w:space="0" w:color="auto"/>
            </w:tcBorders>
          </w:tcPr>
          <w:p w14:paraId="7FD14531" w14:textId="77777777" w:rsidR="00451791" w:rsidRPr="009F173A" w:rsidRDefault="00451791" w:rsidP="00CC70E5">
            <w:pPr>
              <w:spacing w:line="480" w:lineRule="auto"/>
              <w:rPr>
                <w:bCs/>
              </w:rPr>
            </w:pPr>
            <m:oMathPara>
              <m:oMathParaPr>
                <m:jc m:val="left"/>
              </m:oMathParaPr>
              <m:oMath>
                <m:r>
                  <w:rPr>
                    <w:rFonts w:ascii="Cambria Math" w:hAnsi="Cambria Math" w:cstheme="minorHAnsi"/>
                  </w:rPr>
                  <m:t>ICC</m:t>
                </m:r>
                <m:d>
                  <m:dPr>
                    <m:ctrlPr>
                      <w:rPr>
                        <w:rFonts w:ascii="Cambria Math" w:hAnsi="Cambria Math" w:cstheme="minorHAnsi"/>
                        <w:bCs/>
                        <w:i/>
                      </w:rPr>
                    </m:ctrlPr>
                  </m:dPr>
                  <m:e>
                    <m:r>
                      <w:rPr>
                        <w:rFonts w:ascii="Cambria Math" w:hAnsi="Cambria Math" w:cstheme="minorHAnsi"/>
                      </w:rPr>
                      <m:t>3,k</m:t>
                    </m:r>
                  </m:e>
                </m:d>
                <m:r>
                  <w:rPr>
                    <w:rFonts w:ascii="Cambria Math" w:hAnsi="Cambria Math" w:cstheme="minorHAnsi"/>
                  </w:rPr>
                  <m:t xml:space="preserve">= </m:t>
                </m:r>
                <m:f>
                  <m:fPr>
                    <m:ctrlPr>
                      <w:rPr>
                        <w:rFonts w:ascii="Cambria Math" w:hAnsi="Cambria Math" w:cstheme="minorHAnsi"/>
                        <w:bCs/>
                        <w:i/>
                      </w:rPr>
                    </m:ctrlPr>
                  </m:fPr>
                  <m:num>
                    <m:r>
                      <w:rPr>
                        <w:rFonts w:ascii="Cambria Math" w:hAnsi="Cambria Math" w:cstheme="minorHAnsi"/>
                      </w:rPr>
                      <m:t>BMS-EMS</m:t>
                    </m:r>
                  </m:num>
                  <m:den>
                    <m:r>
                      <w:rPr>
                        <w:rFonts w:ascii="Cambria Math" w:hAnsi="Cambria Math" w:cstheme="minorHAnsi"/>
                      </w:rPr>
                      <m:t>BMS</m:t>
                    </m:r>
                  </m:den>
                </m:f>
              </m:oMath>
            </m:oMathPara>
          </w:p>
        </w:tc>
        <w:tc>
          <w:tcPr>
            <w:tcW w:w="3685" w:type="dxa"/>
            <w:tcBorders>
              <w:bottom w:val="single" w:sz="4" w:space="0" w:color="auto"/>
            </w:tcBorders>
          </w:tcPr>
          <w:p w14:paraId="1A587239" w14:textId="214AA479" w:rsidR="00451791" w:rsidRPr="009F173A" w:rsidRDefault="00451791" w:rsidP="00CC70E5">
            <w:pPr>
              <w:spacing w:line="480" w:lineRule="auto"/>
              <w:rPr>
                <w:bCs/>
              </w:rPr>
            </w:pPr>
            <w:bookmarkStart w:id="34" w:name="_Hlk103338429"/>
            <w:r w:rsidRPr="009F173A">
              <w:rPr>
                <w:rFonts w:cstheme="minorHAnsi"/>
                <w:bCs/>
              </w:rPr>
              <w:t>Shrout &amp; Fleiss</w:t>
            </w:r>
            <w:bookmarkEnd w:id="34"/>
            <w:r w:rsidR="00457FA4" w:rsidRPr="009F173A">
              <w:rPr>
                <w:rFonts w:cstheme="minorHAnsi"/>
                <w:bCs/>
                <w:vertAlign w:val="superscript"/>
              </w:rPr>
              <w:t>39</w:t>
            </w:r>
          </w:p>
        </w:tc>
      </w:tr>
    </w:tbl>
    <w:p w14:paraId="235E5BF4" w14:textId="4934C4C6" w:rsidR="00451791" w:rsidRPr="009F173A" w:rsidRDefault="00D95324" w:rsidP="00451791">
      <w:pPr>
        <w:spacing w:after="0"/>
        <w:rPr>
          <w:bCs/>
          <w:sz w:val="18"/>
          <w:szCs w:val="18"/>
        </w:rPr>
      </w:pPr>
      <w:r w:rsidRPr="009F173A">
        <w:rPr>
          <w:bCs/>
          <w:sz w:val="18"/>
          <w:szCs w:val="18"/>
        </w:rPr>
        <w:t xml:space="preserve">TEM, technical error of measurement; </w:t>
      </w:r>
      <w:r w:rsidRPr="009F173A">
        <w:rPr>
          <w:bCs/>
          <w:i/>
          <w:iCs/>
          <w:sz w:val="18"/>
          <w:szCs w:val="18"/>
        </w:rPr>
        <w:t>d,</w:t>
      </w:r>
      <w:r w:rsidRPr="009F173A">
        <w:rPr>
          <w:bCs/>
          <w:sz w:val="18"/>
          <w:szCs w:val="18"/>
        </w:rPr>
        <w:t xml:space="preserve"> difference between measurements; </w:t>
      </w:r>
      <w:r w:rsidRPr="009F173A">
        <w:rPr>
          <w:bCs/>
          <w:i/>
          <w:iCs/>
          <w:sz w:val="18"/>
          <w:szCs w:val="18"/>
        </w:rPr>
        <w:t>n</w:t>
      </w:r>
      <w:r w:rsidRPr="009F173A">
        <w:rPr>
          <w:bCs/>
          <w:sz w:val="18"/>
          <w:szCs w:val="18"/>
        </w:rPr>
        <w:t xml:space="preserve">, number of individuals measured; </w:t>
      </w:r>
      <w:r w:rsidRPr="009F173A">
        <w:rPr>
          <w:bCs/>
          <w:i/>
          <w:iCs/>
          <w:sz w:val="18"/>
          <w:szCs w:val="18"/>
        </w:rPr>
        <w:t>x</w:t>
      </w:r>
      <w:r w:rsidRPr="009F173A">
        <w:rPr>
          <w:bCs/>
          <w:sz w:val="18"/>
          <w:szCs w:val="18"/>
        </w:rPr>
        <w:t xml:space="preserve">, mean percentage fat mass (%FM); </w:t>
      </w:r>
      <w:r w:rsidR="0097799F" w:rsidRPr="009F173A">
        <w:rPr>
          <w:bCs/>
          <w:i/>
          <w:iCs/>
          <w:sz w:val="18"/>
          <w:szCs w:val="18"/>
        </w:rPr>
        <w:t>r</w:t>
      </w:r>
      <w:r w:rsidR="0097799F" w:rsidRPr="009F173A">
        <w:rPr>
          <w:bCs/>
          <w:i/>
          <w:iCs/>
          <w:sz w:val="18"/>
          <w:szCs w:val="18"/>
          <w:vertAlign w:val="subscript"/>
        </w:rPr>
        <w:t>xx</w:t>
      </w:r>
      <w:r w:rsidRPr="009F173A">
        <w:rPr>
          <w:bCs/>
          <w:i/>
          <w:iCs/>
          <w:sz w:val="18"/>
          <w:szCs w:val="18"/>
        </w:rPr>
        <w:t xml:space="preserve">, </w:t>
      </w:r>
      <w:r w:rsidRPr="009F173A">
        <w:rPr>
          <w:bCs/>
          <w:iCs/>
          <w:sz w:val="18"/>
          <w:szCs w:val="18"/>
        </w:rPr>
        <w:t>reliability coefficient</w:t>
      </w:r>
      <w:r w:rsidRPr="009F173A">
        <w:rPr>
          <w:bCs/>
          <w:i/>
          <w:iCs/>
          <w:sz w:val="18"/>
          <w:szCs w:val="18"/>
        </w:rPr>
        <w:t>; SD</w:t>
      </w:r>
      <w:r w:rsidRPr="009F173A">
        <w:rPr>
          <w:bCs/>
          <w:sz w:val="18"/>
          <w:szCs w:val="18"/>
        </w:rPr>
        <w:t xml:space="preserve">, standard deviation; </w:t>
      </w:r>
      <w:r w:rsidRPr="009F173A">
        <w:rPr>
          <w:bCs/>
          <w:i/>
          <w:iCs/>
          <w:sz w:val="18"/>
          <w:szCs w:val="18"/>
        </w:rPr>
        <w:t>ICC</w:t>
      </w:r>
      <w:r w:rsidRPr="009F173A">
        <w:rPr>
          <w:bCs/>
          <w:sz w:val="18"/>
          <w:szCs w:val="18"/>
        </w:rPr>
        <w:t>, intraclass correlation coefficient;</w:t>
      </w:r>
      <w:r w:rsidRPr="009F173A">
        <w:rPr>
          <w:bCs/>
          <w:i/>
          <w:iCs/>
          <w:sz w:val="18"/>
          <w:szCs w:val="18"/>
        </w:rPr>
        <w:t xml:space="preserve"> k, </w:t>
      </w:r>
      <w:r w:rsidRPr="009F173A">
        <w:rPr>
          <w:bCs/>
          <w:sz w:val="18"/>
          <w:szCs w:val="18"/>
        </w:rPr>
        <w:t>number of measurements;</w:t>
      </w:r>
      <w:r w:rsidRPr="009F173A">
        <w:rPr>
          <w:bCs/>
          <w:i/>
          <w:iCs/>
          <w:sz w:val="18"/>
          <w:szCs w:val="18"/>
        </w:rPr>
        <w:t xml:space="preserve"> </w:t>
      </w:r>
      <w:r w:rsidR="00451791" w:rsidRPr="009F173A">
        <w:rPr>
          <w:bCs/>
          <w:i/>
          <w:iCs/>
          <w:sz w:val="18"/>
          <w:szCs w:val="18"/>
        </w:rPr>
        <w:t>BMS</w:t>
      </w:r>
      <w:r w:rsidRPr="009F173A">
        <w:rPr>
          <w:bCs/>
          <w:i/>
          <w:iCs/>
          <w:sz w:val="18"/>
          <w:szCs w:val="18"/>
        </w:rPr>
        <w:t>,</w:t>
      </w:r>
      <w:r w:rsidR="00451791" w:rsidRPr="009F173A">
        <w:rPr>
          <w:bCs/>
          <w:sz w:val="18"/>
          <w:szCs w:val="18"/>
        </w:rPr>
        <w:t xml:space="preserve"> between subject variance; </w:t>
      </w:r>
      <w:r w:rsidR="00451791" w:rsidRPr="009F173A">
        <w:rPr>
          <w:bCs/>
          <w:i/>
          <w:iCs/>
          <w:sz w:val="18"/>
          <w:szCs w:val="18"/>
        </w:rPr>
        <w:t>EMS</w:t>
      </w:r>
      <w:r w:rsidRPr="009F173A">
        <w:rPr>
          <w:bCs/>
          <w:sz w:val="18"/>
          <w:szCs w:val="18"/>
        </w:rPr>
        <w:t>,</w:t>
      </w:r>
      <w:r w:rsidR="00451791" w:rsidRPr="009F173A">
        <w:rPr>
          <w:bCs/>
          <w:sz w:val="18"/>
          <w:szCs w:val="18"/>
        </w:rPr>
        <w:t xml:space="preserve"> error (residual) mean square variance</w:t>
      </w:r>
      <w:r w:rsidRPr="009F173A">
        <w:rPr>
          <w:bCs/>
          <w:sz w:val="18"/>
          <w:szCs w:val="18"/>
        </w:rPr>
        <w:t>.</w:t>
      </w:r>
      <w:r w:rsidR="00451791" w:rsidRPr="009F173A">
        <w:rPr>
          <w:bCs/>
          <w:sz w:val="18"/>
          <w:szCs w:val="18"/>
        </w:rPr>
        <w:t xml:space="preserve"> </w:t>
      </w:r>
    </w:p>
    <w:p w14:paraId="61760A11" w14:textId="2FE52457" w:rsidR="00451791" w:rsidRPr="009F173A" w:rsidRDefault="00451791" w:rsidP="0079797A">
      <w:pPr>
        <w:spacing w:line="276" w:lineRule="auto"/>
        <w:rPr>
          <w:b/>
        </w:rPr>
      </w:pPr>
    </w:p>
    <w:p w14:paraId="04AFE983" w14:textId="6B9DFA23" w:rsidR="00451791" w:rsidRPr="009F173A" w:rsidRDefault="00451791" w:rsidP="0079797A">
      <w:pPr>
        <w:spacing w:line="276" w:lineRule="auto"/>
        <w:rPr>
          <w:b/>
        </w:rPr>
      </w:pPr>
    </w:p>
    <w:p w14:paraId="26920FB8" w14:textId="4C71DB30" w:rsidR="00451791" w:rsidRPr="009F173A" w:rsidRDefault="00451791" w:rsidP="0079797A">
      <w:pPr>
        <w:spacing w:line="276" w:lineRule="auto"/>
        <w:rPr>
          <w:b/>
        </w:rPr>
      </w:pPr>
    </w:p>
    <w:p w14:paraId="46F29601" w14:textId="63718ED6" w:rsidR="00451791" w:rsidRPr="009F173A" w:rsidRDefault="00451791" w:rsidP="0079797A">
      <w:pPr>
        <w:spacing w:line="276" w:lineRule="auto"/>
        <w:rPr>
          <w:b/>
        </w:rPr>
      </w:pPr>
    </w:p>
    <w:p w14:paraId="168185DB" w14:textId="01F8DB6F" w:rsidR="00451791" w:rsidRPr="009F173A" w:rsidRDefault="00451791" w:rsidP="0079797A">
      <w:pPr>
        <w:spacing w:line="276" w:lineRule="auto"/>
        <w:rPr>
          <w:b/>
        </w:rPr>
      </w:pPr>
    </w:p>
    <w:p w14:paraId="4306DFA1" w14:textId="79BE0711" w:rsidR="00451791" w:rsidRPr="009F173A" w:rsidRDefault="00451791" w:rsidP="0079797A">
      <w:pPr>
        <w:spacing w:line="276" w:lineRule="auto"/>
        <w:rPr>
          <w:b/>
        </w:rPr>
      </w:pPr>
    </w:p>
    <w:p w14:paraId="0A221762" w14:textId="58E7B5FC" w:rsidR="00451791" w:rsidRPr="009F173A" w:rsidRDefault="00451791" w:rsidP="0079797A">
      <w:pPr>
        <w:spacing w:line="276" w:lineRule="auto"/>
        <w:rPr>
          <w:b/>
        </w:rPr>
      </w:pPr>
    </w:p>
    <w:p w14:paraId="4C3D64E7" w14:textId="6A54E262" w:rsidR="00451791" w:rsidRPr="009F173A" w:rsidRDefault="00451791" w:rsidP="0079797A">
      <w:pPr>
        <w:spacing w:line="276" w:lineRule="auto"/>
        <w:rPr>
          <w:b/>
        </w:rPr>
      </w:pPr>
    </w:p>
    <w:p w14:paraId="557DBC17" w14:textId="53A5AD2C" w:rsidR="00451791" w:rsidRPr="009F173A" w:rsidRDefault="00451791" w:rsidP="0079797A">
      <w:pPr>
        <w:spacing w:line="276" w:lineRule="auto"/>
        <w:rPr>
          <w:b/>
        </w:rPr>
      </w:pPr>
    </w:p>
    <w:p w14:paraId="15F163A1" w14:textId="6887C784" w:rsidR="00451791" w:rsidRPr="009F173A" w:rsidRDefault="00451791" w:rsidP="0079797A">
      <w:pPr>
        <w:spacing w:line="276" w:lineRule="auto"/>
        <w:rPr>
          <w:b/>
        </w:rPr>
      </w:pPr>
    </w:p>
    <w:p w14:paraId="3BFDFD5A" w14:textId="19ED3CD7" w:rsidR="00451791" w:rsidRPr="009F173A" w:rsidRDefault="00451791" w:rsidP="0079797A">
      <w:pPr>
        <w:spacing w:line="276" w:lineRule="auto"/>
        <w:rPr>
          <w:b/>
        </w:rPr>
      </w:pPr>
    </w:p>
    <w:p w14:paraId="3D43C119" w14:textId="6B53B060" w:rsidR="00451791" w:rsidRPr="009F173A" w:rsidRDefault="00451791" w:rsidP="0079797A">
      <w:pPr>
        <w:spacing w:line="276" w:lineRule="auto"/>
        <w:rPr>
          <w:b/>
        </w:rPr>
      </w:pPr>
    </w:p>
    <w:p w14:paraId="04A239FB" w14:textId="5E970343" w:rsidR="00451791" w:rsidRPr="009F173A" w:rsidRDefault="00451791" w:rsidP="0079797A">
      <w:pPr>
        <w:spacing w:line="276" w:lineRule="auto"/>
        <w:rPr>
          <w:b/>
        </w:rPr>
      </w:pPr>
    </w:p>
    <w:p w14:paraId="6264FA34" w14:textId="56DF8710" w:rsidR="00451791" w:rsidRPr="009F173A" w:rsidRDefault="00451791" w:rsidP="0079797A">
      <w:pPr>
        <w:spacing w:line="276" w:lineRule="auto"/>
        <w:rPr>
          <w:b/>
        </w:rPr>
      </w:pPr>
    </w:p>
    <w:p w14:paraId="584D5969" w14:textId="2A6C00DD" w:rsidR="00451791" w:rsidRPr="009F173A" w:rsidRDefault="00451791" w:rsidP="0079797A">
      <w:pPr>
        <w:spacing w:line="276" w:lineRule="auto"/>
        <w:rPr>
          <w:b/>
        </w:rPr>
      </w:pPr>
    </w:p>
    <w:p w14:paraId="0C69F176" w14:textId="7D555D9E" w:rsidR="00451791" w:rsidRPr="009F173A" w:rsidRDefault="00451791" w:rsidP="0079797A">
      <w:pPr>
        <w:spacing w:line="276" w:lineRule="auto"/>
        <w:rPr>
          <w:b/>
        </w:rPr>
      </w:pPr>
    </w:p>
    <w:p w14:paraId="4EF5812A" w14:textId="77777777" w:rsidR="00D95324" w:rsidRPr="009F173A" w:rsidRDefault="00D95324" w:rsidP="0079797A">
      <w:pPr>
        <w:spacing w:line="276" w:lineRule="auto"/>
        <w:rPr>
          <w:b/>
        </w:rPr>
      </w:pPr>
    </w:p>
    <w:p w14:paraId="3A9D2DBB" w14:textId="3AF0322E" w:rsidR="00451791" w:rsidRPr="009F173A" w:rsidRDefault="00451791" w:rsidP="0079797A">
      <w:pPr>
        <w:spacing w:line="276" w:lineRule="auto"/>
        <w:rPr>
          <w:b/>
        </w:rPr>
      </w:pPr>
    </w:p>
    <w:p w14:paraId="1A2F75A0" w14:textId="29C049E0" w:rsidR="00451791" w:rsidRPr="009F173A" w:rsidRDefault="00451791" w:rsidP="0079797A">
      <w:pPr>
        <w:spacing w:line="276" w:lineRule="auto"/>
        <w:rPr>
          <w:b/>
        </w:rPr>
      </w:pPr>
    </w:p>
    <w:p w14:paraId="3A83E499" w14:textId="77777777" w:rsidR="00451791" w:rsidRPr="009F173A" w:rsidRDefault="00451791" w:rsidP="00451791">
      <w:pPr>
        <w:spacing w:after="0"/>
        <w:rPr>
          <w:bCs/>
        </w:rPr>
      </w:pPr>
      <w:r w:rsidRPr="009F173A">
        <w:rPr>
          <w:bCs/>
        </w:rPr>
        <w:t>Table 3.  Age and anthropometric variables according to weight status</w:t>
      </w:r>
    </w:p>
    <w:p w14:paraId="70E5A010" w14:textId="77777777" w:rsidR="00451791" w:rsidRPr="009F173A" w:rsidRDefault="00451791" w:rsidP="00451791">
      <w:pPr>
        <w:spacing w:after="0"/>
        <w:rPr>
          <w:bCs/>
        </w:rPr>
      </w:pP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4"/>
        <w:gridCol w:w="1232"/>
        <w:gridCol w:w="1134"/>
        <w:gridCol w:w="1276"/>
        <w:gridCol w:w="1276"/>
        <w:gridCol w:w="1134"/>
        <w:gridCol w:w="1134"/>
      </w:tblGrid>
      <w:tr w:rsidR="009F173A" w:rsidRPr="009F173A" w14:paraId="183C5C31" w14:textId="01071449" w:rsidTr="0080315C">
        <w:trPr>
          <w:trHeight w:val="535"/>
        </w:trPr>
        <w:tc>
          <w:tcPr>
            <w:tcW w:w="2454" w:type="dxa"/>
            <w:tcBorders>
              <w:top w:val="single" w:sz="4" w:space="0" w:color="auto"/>
              <w:bottom w:val="single" w:sz="4" w:space="0" w:color="auto"/>
            </w:tcBorders>
          </w:tcPr>
          <w:p w14:paraId="343A87E4" w14:textId="77777777" w:rsidR="0080315C" w:rsidRPr="009F173A" w:rsidRDefault="0080315C" w:rsidP="00CC70E5">
            <w:pPr>
              <w:rPr>
                <w:bCs/>
              </w:rPr>
            </w:pPr>
          </w:p>
        </w:tc>
        <w:tc>
          <w:tcPr>
            <w:tcW w:w="2366" w:type="dxa"/>
            <w:gridSpan w:val="2"/>
            <w:tcBorders>
              <w:top w:val="single" w:sz="4" w:space="0" w:color="auto"/>
              <w:bottom w:val="single" w:sz="4" w:space="0" w:color="auto"/>
            </w:tcBorders>
          </w:tcPr>
          <w:p w14:paraId="2FF133A9" w14:textId="77777777" w:rsidR="0080315C" w:rsidRPr="009F173A" w:rsidRDefault="0080315C" w:rsidP="0080315C">
            <w:pPr>
              <w:jc w:val="center"/>
              <w:rPr>
                <w:bCs/>
              </w:rPr>
            </w:pPr>
            <w:r w:rsidRPr="009F173A">
              <w:rPr>
                <w:b/>
                <w:bCs/>
              </w:rPr>
              <w:t>All participants</w:t>
            </w:r>
            <w:r w:rsidRPr="009F173A">
              <w:rPr>
                <w:bCs/>
              </w:rPr>
              <w:t xml:space="preserve"> (n = 71)</w:t>
            </w:r>
          </w:p>
          <w:p w14:paraId="43D990A7" w14:textId="4F2D151C" w:rsidR="0080315C" w:rsidRPr="009F173A" w:rsidRDefault="0080315C" w:rsidP="0080315C">
            <w:pPr>
              <w:jc w:val="center"/>
              <w:rPr>
                <w:bCs/>
              </w:rPr>
            </w:pPr>
            <w:r w:rsidRPr="009F173A">
              <w:rPr>
                <w:bCs/>
              </w:rPr>
              <w:t>Mean              SD</w:t>
            </w:r>
          </w:p>
        </w:tc>
        <w:tc>
          <w:tcPr>
            <w:tcW w:w="2552" w:type="dxa"/>
            <w:gridSpan w:val="2"/>
            <w:tcBorders>
              <w:top w:val="single" w:sz="4" w:space="0" w:color="auto"/>
              <w:bottom w:val="single" w:sz="4" w:space="0" w:color="auto"/>
            </w:tcBorders>
          </w:tcPr>
          <w:p w14:paraId="1CA833E8" w14:textId="77777777" w:rsidR="0080315C" w:rsidRPr="009F173A" w:rsidRDefault="0080315C" w:rsidP="0080315C">
            <w:pPr>
              <w:jc w:val="center"/>
              <w:rPr>
                <w:bCs/>
              </w:rPr>
            </w:pPr>
            <w:r w:rsidRPr="009F173A">
              <w:rPr>
                <w:b/>
                <w:bCs/>
              </w:rPr>
              <w:t>Without obesity</w:t>
            </w:r>
            <w:r w:rsidRPr="009F173A">
              <w:rPr>
                <w:bCs/>
              </w:rPr>
              <w:t xml:space="preserve"> (n = 46)</w:t>
            </w:r>
          </w:p>
          <w:p w14:paraId="1018E22C" w14:textId="06D75F37" w:rsidR="0080315C" w:rsidRPr="009F173A" w:rsidRDefault="0080315C" w:rsidP="0080315C">
            <w:pPr>
              <w:jc w:val="center"/>
              <w:rPr>
                <w:bCs/>
              </w:rPr>
            </w:pPr>
            <w:r w:rsidRPr="009F173A">
              <w:rPr>
                <w:bCs/>
              </w:rPr>
              <w:t>Mean                SD</w:t>
            </w:r>
          </w:p>
        </w:tc>
        <w:tc>
          <w:tcPr>
            <w:tcW w:w="2268" w:type="dxa"/>
            <w:gridSpan w:val="2"/>
            <w:tcBorders>
              <w:top w:val="single" w:sz="4" w:space="0" w:color="auto"/>
              <w:bottom w:val="single" w:sz="4" w:space="0" w:color="auto"/>
            </w:tcBorders>
          </w:tcPr>
          <w:p w14:paraId="6656EB71" w14:textId="77777777" w:rsidR="0080315C" w:rsidRPr="009F173A" w:rsidRDefault="0080315C" w:rsidP="0080315C">
            <w:pPr>
              <w:jc w:val="center"/>
              <w:rPr>
                <w:bCs/>
              </w:rPr>
            </w:pPr>
            <w:r w:rsidRPr="009F173A">
              <w:rPr>
                <w:b/>
                <w:bCs/>
              </w:rPr>
              <w:t xml:space="preserve">With obesity </w:t>
            </w:r>
            <w:r w:rsidRPr="009F173A">
              <w:rPr>
                <w:bCs/>
              </w:rPr>
              <w:t>(n = 25)</w:t>
            </w:r>
          </w:p>
          <w:p w14:paraId="07A1DF28" w14:textId="56545919" w:rsidR="0080315C" w:rsidRPr="009F173A" w:rsidRDefault="0080315C" w:rsidP="0080315C">
            <w:pPr>
              <w:jc w:val="center"/>
              <w:rPr>
                <w:bCs/>
              </w:rPr>
            </w:pPr>
            <w:r w:rsidRPr="009F173A">
              <w:rPr>
                <w:bCs/>
              </w:rPr>
              <w:t>Mean              SD</w:t>
            </w:r>
          </w:p>
        </w:tc>
      </w:tr>
      <w:tr w:rsidR="009F173A" w:rsidRPr="009F173A" w14:paraId="17E71C84" w14:textId="67FAC291" w:rsidTr="0080315C">
        <w:trPr>
          <w:trHeight w:val="397"/>
        </w:trPr>
        <w:tc>
          <w:tcPr>
            <w:tcW w:w="2454" w:type="dxa"/>
            <w:tcBorders>
              <w:top w:val="single" w:sz="4" w:space="0" w:color="auto"/>
            </w:tcBorders>
          </w:tcPr>
          <w:p w14:paraId="5EA97F5E" w14:textId="77777777" w:rsidR="0080315C" w:rsidRPr="009F173A" w:rsidRDefault="0080315C" w:rsidP="00CC70E5">
            <w:pPr>
              <w:spacing w:after="120"/>
              <w:rPr>
                <w:bCs/>
              </w:rPr>
            </w:pPr>
            <w:r w:rsidRPr="009F173A">
              <w:rPr>
                <w:bCs/>
              </w:rPr>
              <w:t>Age (years)</w:t>
            </w:r>
          </w:p>
        </w:tc>
        <w:tc>
          <w:tcPr>
            <w:tcW w:w="1232" w:type="dxa"/>
            <w:tcBorders>
              <w:top w:val="single" w:sz="4" w:space="0" w:color="auto"/>
            </w:tcBorders>
          </w:tcPr>
          <w:p w14:paraId="27882280" w14:textId="26ED4AD9" w:rsidR="0080315C" w:rsidRPr="009F173A" w:rsidRDefault="0080315C" w:rsidP="0080315C">
            <w:pPr>
              <w:spacing w:after="120"/>
              <w:jc w:val="center"/>
              <w:rPr>
                <w:bCs/>
              </w:rPr>
            </w:pPr>
            <w:r w:rsidRPr="009F173A">
              <w:rPr>
                <w:bCs/>
              </w:rPr>
              <w:t>10.1</w:t>
            </w:r>
          </w:p>
        </w:tc>
        <w:tc>
          <w:tcPr>
            <w:tcW w:w="1134" w:type="dxa"/>
            <w:tcBorders>
              <w:top w:val="single" w:sz="4" w:space="0" w:color="auto"/>
            </w:tcBorders>
          </w:tcPr>
          <w:p w14:paraId="6A92B06D" w14:textId="0BD344A4" w:rsidR="0080315C" w:rsidRPr="009F173A" w:rsidRDefault="00AD657A" w:rsidP="0080315C">
            <w:pPr>
              <w:spacing w:after="120"/>
              <w:jc w:val="center"/>
              <w:rPr>
                <w:bCs/>
              </w:rPr>
            </w:pPr>
            <w:r w:rsidRPr="009F173A">
              <w:rPr>
                <w:rFonts w:cstheme="minorHAnsi"/>
                <w:bCs/>
              </w:rPr>
              <w:t>1.70</w:t>
            </w:r>
          </w:p>
        </w:tc>
        <w:tc>
          <w:tcPr>
            <w:tcW w:w="1276" w:type="dxa"/>
            <w:tcBorders>
              <w:top w:val="single" w:sz="4" w:space="0" w:color="auto"/>
            </w:tcBorders>
          </w:tcPr>
          <w:p w14:paraId="2CA04AD0" w14:textId="4ED5F94F" w:rsidR="0080315C" w:rsidRPr="009F173A" w:rsidRDefault="0080315C" w:rsidP="0080315C">
            <w:pPr>
              <w:spacing w:after="120"/>
              <w:jc w:val="center"/>
              <w:rPr>
                <w:bCs/>
              </w:rPr>
            </w:pPr>
            <w:r w:rsidRPr="009F173A">
              <w:rPr>
                <w:bCs/>
              </w:rPr>
              <w:t>10.3</w:t>
            </w:r>
          </w:p>
        </w:tc>
        <w:tc>
          <w:tcPr>
            <w:tcW w:w="1276" w:type="dxa"/>
            <w:tcBorders>
              <w:top w:val="single" w:sz="4" w:space="0" w:color="auto"/>
            </w:tcBorders>
          </w:tcPr>
          <w:p w14:paraId="702D1FF3" w14:textId="5F023F84" w:rsidR="0080315C" w:rsidRPr="009F173A" w:rsidRDefault="0080315C" w:rsidP="0080315C">
            <w:pPr>
              <w:spacing w:after="120"/>
              <w:jc w:val="center"/>
              <w:rPr>
                <w:bCs/>
              </w:rPr>
            </w:pPr>
            <w:r w:rsidRPr="009F173A">
              <w:rPr>
                <w:bCs/>
              </w:rPr>
              <w:t>1.9</w:t>
            </w:r>
            <w:r w:rsidR="00AD657A" w:rsidRPr="009F173A">
              <w:rPr>
                <w:bCs/>
              </w:rPr>
              <w:t>4</w:t>
            </w:r>
          </w:p>
        </w:tc>
        <w:tc>
          <w:tcPr>
            <w:tcW w:w="1134" w:type="dxa"/>
            <w:tcBorders>
              <w:top w:val="single" w:sz="4" w:space="0" w:color="auto"/>
            </w:tcBorders>
          </w:tcPr>
          <w:p w14:paraId="1C62DDE3" w14:textId="1BDF16A4" w:rsidR="0080315C" w:rsidRPr="009F173A" w:rsidRDefault="0080315C" w:rsidP="0080315C">
            <w:pPr>
              <w:spacing w:after="120"/>
              <w:jc w:val="center"/>
              <w:rPr>
                <w:bCs/>
              </w:rPr>
            </w:pPr>
            <w:r w:rsidRPr="009F173A">
              <w:rPr>
                <w:bCs/>
              </w:rPr>
              <w:t>9.</w:t>
            </w:r>
            <w:r w:rsidR="00AD657A" w:rsidRPr="009F173A">
              <w:rPr>
                <w:bCs/>
              </w:rPr>
              <w:t>56</w:t>
            </w:r>
          </w:p>
        </w:tc>
        <w:tc>
          <w:tcPr>
            <w:tcW w:w="1134" w:type="dxa"/>
            <w:tcBorders>
              <w:top w:val="single" w:sz="4" w:space="0" w:color="auto"/>
            </w:tcBorders>
          </w:tcPr>
          <w:p w14:paraId="1A07337F" w14:textId="12B5B4F6" w:rsidR="0080315C" w:rsidRPr="009F173A" w:rsidRDefault="00AD657A" w:rsidP="0080315C">
            <w:pPr>
              <w:spacing w:after="120"/>
              <w:jc w:val="center"/>
              <w:rPr>
                <w:bCs/>
              </w:rPr>
            </w:pPr>
            <w:r w:rsidRPr="009F173A">
              <w:rPr>
                <w:rFonts w:cstheme="minorHAnsi"/>
                <w:bCs/>
              </w:rPr>
              <w:t>0.96</w:t>
            </w:r>
          </w:p>
        </w:tc>
      </w:tr>
      <w:tr w:rsidR="009F173A" w:rsidRPr="009F173A" w14:paraId="0AB6FDB1" w14:textId="214F3FD8" w:rsidTr="0080315C">
        <w:trPr>
          <w:trHeight w:val="397"/>
        </w:trPr>
        <w:tc>
          <w:tcPr>
            <w:tcW w:w="2454" w:type="dxa"/>
          </w:tcPr>
          <w:p w14:paraId="183DBFA2" w14:textId="77777777" w:rsidR="0080315C" w:rsidRPr="009F173A" w:rsidRDefault="0080315C" w:rsidP="00CC70E5">
            <w:pPr>
              <w:spacing w:after="120"/>
              <w:rPr>
                <w:bCs/>
              </w:rPr>
            </w:pPr>
            <w:r w:rsidRPr="009F173A">
              <w:rPr>
                <w:bCs/>
              </w:rPr>
              <w:t>Mass (kg)</w:t>
            </w:r>
          </w:p>
        </w:tc>
        <w:tc>
          <w:tcPr>
            <w:tcW w:w="1232" w:type="dxa"/>
          </w:tcPr>
          <w:p w14:paraId="13ED6EDD" w14:textId="312C107E" w:rsidR="0080315C" w:rsidRPr="009F173A" w:rsidRDefault="0080315C" w:rsidP="0080315C">
            <w:pPr>
              <w:spacing w:after="120"/>
              <w:jc w:val="center"/>
              <w:rPr>
                <w:bCs/>
              </w:rPr>
            </w:pPr>
            <w:r w:rsidRPr="009F173A">
              <w:rPr>
                <w:bCs/>
              </w:rPr>
              <w:t>39.4</w:t>
            </w:r>
          </w:p>
        </w:tc>
        <w:tc>
          <w:tcPr>
            <w:tcW w:w="1134" w:type="dxa"/>
          </w:tcPr>
          <w:p w14:paraId="14016F86" w14:textId="50325717" w:rsidR="0080315C" w:rsidRPr="009F173A" w:rsidRDefault="0080315C" w:rsidP="0080315C">
            <w:pPr>
              <w:spacing w:after="120"/>
              <w:jc w:val="center"/>
              <w:rPr>
                <w:bCs/>
              </w:rPr>
            </w:pPr>
            <w:r w:rsidRPr="009F173A">
              <w:rPr>
                <w:rFonts w:cstheme="minorHAnsi"/>
                <w:bCs/>
              </w:rPr>
              <w:t>11.2</w:t>
            </w:r>
          </w:p>
        </w:tc>
        <w:tc>
          <w:tcPr>
            <w:tcW w:w="1276" w:type="dxa"/>
          </w:tcPr>
          <w:p w14:paraId="16C2D2EE" w14:textId="0F8FC3DE" w:rsidR="0080315C" w:rsidRPr="009F173A" w:rsidRDefault="0080315C" w:rsidP="0080315C">
            <w:pPr>
              <w:spacing w:after="120"/>
              <w:jc w:val="center"/>
              <w:rPr>
                <w:bCs/>
              </w:rPr>
            </w:pPr>
            <w:r w:rsidRPr="009F173A">
              <w:rPr>
                <w:bCs/>
              </w:rPr>
              <w:t>37.1</w:t>
            </w:r>
          </w:p>
        </w:tc>
        <w:tc>
          <w:tcPr>
            <w:tcW w:w="1276" w:type="dxa"/>
          </w:tcPr>
          <w:p w14:paraId="528D028E" w14:textId="475E809D" w:rsidR="0080315C" w:rsidRPr="009F173A" w:rsidRDefault="0080315C" w:rsidP="0080315C">
            <w:pPr>
              <w:spacing w:after="120"/>
              <w:jc w:val="center"/>
              <w:rPr>
                <w:bCs/>
              </w:rPr>
            </w:pPr>
            <w:r w:rsidRPr="009F173A">
              <w:rPr>
                <w:bCs/>
              </w:rPr>
              <w:t>11.0</w:t>
            </w:r>
          </w:p>
        </w:tc>
        <w:tc>
          <w:tcPr>
            <w:tcW w:w="1134" w:type="dxa"/>
          </w:tcPr>
          <w:p w14:paraId="4B22A23E" w14:textId="4D21241F" w:rsidR="0080315C" w:rsidRPr="009F173A" w:rsidRDefault="0080315C" w:rsidP="0080315C">
            <w:pPr>
              <w:spacing w:after="120"/>
              <w:jc w:val="center"/>
              <w:rPr>
                <w:bCs/>
              </w:rPr>
            </w:pPr>
            <w:r w:rsidRPr="009F173A">
              <w:rPr>
                <w:bCs/>
              </w:rPr>
              <w:t>43.5</w:t>
            </w:r>
          </w:p>
        </w:tc>
        <w:tc>
          <w:tcPr>
            <w:tcW w:w="1134" w:type="dxa"/>
          </w:tcPr>
          <w:p w14:paraId="7850F77D" w14:textId="142D365F" w:rsidR="0080315C" w:rsidRPr="009F173A" w:rsidRDefault="0080315C" w:rsidP="0080315C">
            <w:pPr>
              <w:spacing w:after="120"/>
              <w:jc w:val="center"/>
              <w:rPr>
                <w:bCs/>
              </w:rPr>
            </w:pPr>
            <w:r w:rsidRPr="009F173A">
              <w:rPr>
                <w:rFonts w:cstheme="minorHAnsi"/>
                <w:bCs/>
              </w:rPr>
              <w:t>10.6*</w:t>
            </w:r>
          </w:p>
        </w:tc>
      </w:tr>
      <w:tr w:rsidR="009F173A" w:rsidRPr="009F173A" w14:paraId="202F62F2" w14:textId="55337530" w:rsidTr="0080315C">
        <w:trPr>
          <w:trHeight w:val="397"/>
        </w:trPr>
        <w:tc>
          <w:tcPr>
            <w:tcW w:w="2454" w:type="dxa"/>
          </w:tcPr>
          <w:p w14:paraId="292F289F" w14:textId="2B81A51D" w:rsidR="0080315C" w:rsidRPr="009F173A" w:rsidRDefault="0080315C" w:rsidP="00CC70E5">
            <w:pPr>
              <w:spacing w:after="120"/>
              <w:rPr>
                <w:bCs/>
              </w:rPr>
            </w:pPr>
            <w:r w:rsidRPr="009F173A">
              <w:rPr>
                <w:bCs/>
              </w:rPr>
              <w:t>Height (m)</w:t>
            </w:r>
          </w:p>
        </w:tc>
        <w:tc>
          <w:tcPr>
            <w:tcW w:w="1232" w:type="dxa"/>
          </w:tcPr>
          <w:p w14:paraId="113633E1" w14:textId="11F0FCF9" w:rsidR="0080315C" w:rsidRPr="009F173A" w:rsidRDefault="0080315C" w:rsidP="0080315C">
            <w:pPr>
              <w:spacing w:after="120"/>
              <w:jc w:val="center"/>
              <w:rPr>
                <w:bCs/>
              </w:rPr>
            </w:pPr>
            <w:r w:rsidRPr="009F173A">
              <w:rPr>
                <w:bCs/>
              </w:rPr>
              <w:t>1</w:t>
            </w:r>
            <w:r w:rsidR="00C019D6" w:rsidRPr="009F173A">
              <w:rPr>
                <w:bCs/>
              </w:rPr>
              <w:t>.</w:t>
            </w:r>
            <w:r w:rsidR="0097799F" w:rsidRPr="009F173A">
              <w:rPr>
                <w:bCs/>
              </w:rPr>
              <w:t>4</w:t>
            </w:r>
            <w:r w:rsidR="00C019D6" w:rsidRPr="009F173A">
              <w:rPr>
                <w:bCs/>
              </w:rPr>
              <w:t>3</w:t>
            </w:r>
          </w:p>
        </w:tc>
        <w:tc>
          <w:tcPr>
            <w:tcW w:w="1134" w:type="dxa"/>
          </w:tcPr>
          <w:p w14:paraId="6B95DE7B" w14:textId="094A05BF" w:rsidR="0080315C" w:rsidRPr="009F173A" w:rsidRDefault="00C019D6" w:rsidP="0080315C">
            <w:pPr>
              <w:spacing w:after="120"/>
              <w:jc w:val="center"/>
              <w:rPr>
                <w:bCs/>
              </w:rPr>
            </w:pPr>
            <w:r w:rsidRPr="009F173A">
              <w:rPr>
                <w:rFonts w:cstheme="minorHAnsi"/>
                <w:bCs/>
              </w:rPr>
              <w:t>0.</w:t>
            </w:r>
            <w:r w:rsidR="0080315C" w:rsidRPr="009F173A">
              <w:rPr>
                <w:rFonts w:cstheme="minorHAnsi"/>
                <w:bCs/>
              </w:rPr>
              <w:t>1</w:t>
            </w:r>
            <w:r w:rsidRPr="009F173A">
              <w:rPr>
                <w:rFonts w:cstheme="minorHAnsi"/>
                <w:bCs/>
              </w:rPr>
              <w:t>1</w:t>
            </w:r>
          </w:p>
        </w:tc>
        <w:tc>
          <w:tcPr>
            <w:tcW w:w="1276" w:type="dxa"/>
          </w:tcPr>
          <w:p w14:paraId="67710997" w14:textId="1BDEB80D" w:rsidR="0080315C" w:rsidRPr="009F173A" w:rsidRDefault="0080315C" w:rsidP="0080315C">
            <w:pPr>
              <w:spacing w:after="120"/>
              <w:jc w:val="center"/>
              <w:rPr>
                <w:bCs/>
              </w:rPr>
            </w:pPr>
            <w:r w:rsidRPr="009F173A">
              <w:rPr>
                <w:bCs/>
              </w:rPr>
              <w:t>1</w:t>
            </w:r>
            <w:r w:rsidR="00C019D6" w:rsidRPr="009F173A">
              <w:rPr>
                <w:bCs/>
              </w:rPr>
              <w:t>.</w:t>
            </w:r>
            <w:r w:rsidRPr="009F173A">
              <w:rPr>
                <w:bCs/>
              </w:rPr>
              <w:t>4</w:t>
            </w:r>
            <w:r w:rsidR="0097799F" w:rsidRPr="009F173A">
              <w:rPr>
                <w:bCs/>
              </w:rPr>
              <w:t>2</w:t>
            </w:r>
          </w:p>
        </w:tc>
        <w:tc>
          <w:tcPr>
            <w:tcW w:w="1276" w:type="dxa"/>
          </w:tcPr>
          <w:p w14:paraId="727F8069" w14:textId="357CBC17" w:rsidR="0080315C" w:rsidRPr="009F173A" w:rsidRDefault="00C019D6" w:rsidP="0080315C">
            <w:pPr>
              <w:spacing w:after="120"/>
              <w:jc w:val="center"/>
              <w:rPr>
                <w:bCs/>
              </w:rPr>
            </w:pPr>
            <w:r w:rsidRPr="009F173A">
              <w:rPr>
                <w:rFonts w:cstheme="minorHAnsi"/>
                <w:bCs/>
              </w:rPr>
              <w:t>0.</w:t>
            </w:r>
            <w:r w:rsidR="0080315C" w:rsidRPr="009F173A">
              <w:rPr>
                <w:rFonts w:cstheme="minorHAnsi"/>
                <w:bCs/>
              </w:rPr>
              <w:t>1</w:t>
            </w:r>
            <w:r w:rsidR="0097799F" w:rsidRPr="009F173A">
              <w:rPr>
                <w:rFonts w:cstheme="minorHAnsi"/>
                <w:bCs/>
              </w:rPr>
              <w:t>2</w:t>
            </w:r>
          </w:p>
        </w:tc>
        <w:tc>
          <w:tcPr>
            <w:tcW w:w="1134" w:type="dxa"/>
          </w:tcPr>
          <w:p w14:paraId="7689D14D" w14:textId="03053D1F" w:rsidR="0080315C" w:rsidRPr="009F173A" w:rsidRDefault="0080315C" w:rsidP="0080315C">
            <w:pPr>
              <w:spacing w:after="120"/>
              <w:jc w:val="center"/>
              <w:rPr>
                <w:bCs/>
              </w:rPr>
            </w:pPr>
            <w:r w:rsidRPr="009F173A">
              <w:rPr>
                <w:bCs/>
              </w:rPr>
              <w:t>1</w:t>
            </w:r>
            <w:r w:rsidR="00C019D6" w:rsidRPr="009F173A">
              <w:rPr>
                <w:bCs/>
              </w:rPr>
              <w:t>.</w:t>
            </w:r>
            <w:r w:rsidRPr="009F173A">
              <w:rPr>
                <w:bCs/>
              </w:rPr>
              <w:t>4</w:t>
            </w:r>
            <w:r w:rsidR="0097799F" w:rsidRPr="009F173A">
              <w:rPr>
                <w:bCs/>
              </w:rPr>
              <w:t>3</w:t>
            </w:r>
          </w:p>
        </w:tc>
        <w:tc>
          <w:tcPr>
            <w:tcW w:w="1134" w:type="dxa"/>
          </w:tcPr>
          <w:p w14:paraId="3223992A" w14:textId="7C066985" w:rsidR="0080315C" w:rsidRPr="009F173A" w:rsidRDefault="00C019D6" w:rsidP="0080315C">
            <w:pPr>
              <w:spacing w:after="120"/>
              <w:jc w:val="center"/>
              <w:rPr>
                <w:bCs/>
              </w:rPr>
            </w:pPr>
            <w:r w:rsidRPr="009F173A">
              <w:rPr>
                <w:rFonts w:cstheme="minorHAnsi"/>
                <w:bCs/>
              </w:rPr>
              <w:t>0.0</w:t>
            </w:r>
            <w:r w:rsidR="0097799F" w:rsidRPr="009F173A">
              <w:rPr>
                <w:rFonts w:cstheme="minorHAnsi"/>
                <w:bCs/>
              </w:rPr>
              <w:t>7</w:t>
            </w:r>
          </w:p>
        </w:tc>
      </w:tr>
      <w:tr w:rsidR="009F173A" w:rsidRPr="009F173A" w14:paraId="1D2E9C4C" w14:textId="1AB7BB39" w:rsidTr="0080315C">
        <w:trPr>
          <w:trHeight w:val="397"/>
        </w:trPr>
        <w:tc>
          <w:tcPr>
            <w:tcW w:w="2454" w:type="dxa"/>
          </w:tcPr>
          <w:p w14:paraId="54F3AE03" w14:textId="77777777" w:rsidR="0080315C" w:rsidRPr="009F173A" w:rsidRDefault="0080315C" w:rsidP="00CC70E5">
            <w:pPr>
              <w:spacing w:after="120"/>
              <w:rPr>
                <w:bCs/>
              </w:rPr>
            </w:pPr>
            <w:r w:rsidRPr="009F173A">
              <w:rPr>
                <w:bCs/>
              </w:rPr>
              <w:t>Body mass index (kg/m</w:t>
            </w:r>
            <w:r w:rsidRPr="009F173A">
              <w:rPr>
                <w:bCs/>
                <w:vertAlign w:val="superscript"/>
              </w:rPr>
              <w:t>2</w:t>
            </w:r>
            <w:r w:rsidRPr="009F173A">
              <w:rPr>
                <w:bCs/>
              </w:rPr>
              <w:t>)</w:t>
            </w:r>
          </w:p>
        </w:tc>
        <w:tc>
          <w:tcPr>
            <w:tcW w:w="1232" w:type="dxa"/>
          </w:tcPr>
          <w:p w14:paraId="23678999" w14:textId="1FBC03FD" w:rsidR="0080315C" w:rsidRPr="009F173A" w:rsidRDefault="0080315C" w:rsidP="0080315C">
            <w:pPr>
              <w:spacing w:after="120"/>
              <w:jc w:val="center"/>
              <w:rPr>
                <w:bCs/>
              </w:rPr>
            </w:pPr>
            <w:r w:rsidRPr="009F173A">
              <w:rPr>
                <w:bCs/>
              </w:rPr>
              <w:t>18.7</w:t>
            </w:r>
          </w:p>
        </w:tc>
        <w:tc>
          <w:tcPr>
            <w:tcW w:w="1134" w:type="dxa"/>
          </w:tcPr>
          <w:p w14:paraId="5E6846D4" w14:textId="090A808C" w:rsidR="0080315C" w:rsidRPr="009F173A" w:rsidRDefault="0080315C" w:rsidP="0080315C">
            <w:pPr>
              <w:spacing w:after="120"/>
              <w:jc w:val="center"/>
              <w:rPr>
                <w:bCs/>
              </w:rPr>
            </w:pPr>
            <w:r w:rsidRPr="009F173A">
              <w:rPr>
                <w:rFonts w:cstheme="minorHAnsi"/>
                <w:bCs/>
              </w:rPr>
              <w:t>3.7</w:t>
            </w:r>
            <w:r w:rsidR="00AD657A" w:rsidRPr="009F173A">
              <w:rPr>
                <w:rFonts w:cstheme="minorHAnsi"/>
                <w:bCs/>
              </w:rPr>
              <w:t>0</w:t>
            </w:r>
          </w:p>
        </w:tc>
        <w:tc>
          <w:tcPr>
            <w:tcW w:w="1276" w:type="dxa"/>
          </w:tcPr>
          <w:p w14:paraId="56168A9F" w14:textId="5421F28B" w:rsidR="0080315C" w:rsidRPr="009F173A" w:rsidRDefault="0080315C" w:rsidP="0080315C">
            <w:pPr>
              <w:spacing w:after="120"/>
              <w:jc w:val="center"/>
              <w:rPr>
                <w:bCs/>
              </w:rPr>
            </w:pPr>
            <w:r w:rsidRPr="009F173A">
              <w:rPr>
                <w:bCs/>
              </w:rPr>
              <w:t>17.3</w:t>
            </w:r>
          </w:p>
        </w:tc>
        <w:tc>
          <w:tcPr>
            <w:tcW w:w="1276" w:type="dxa"/>
          </w:tcPr>
          <w:p w14:paraId="3F199F26" w14:textId="4DC68044" w:rsidR="0080315C" w:rsidRPr="009F173A" w:rsidRDefault="0080315C" w:rsidP="0080315C">
            <w:pPr>
              <w:spacing w:after="120"/>
              <w:jc w:val="center"/>
              <w:rPr>
                <w:bCs/>
              </w:rPr>
            </w:pPr>
            <w:r w:rsidRPr="009F173A">
              <w:rPr>
                <w:rFonts w:cstheme="minorHAnsi"/>
                <w:bCs/>
              </w:rPr>
              <w:t>2.</w:t>
            </w:r>
            <w:r w:rsidR="00AD657A" w:rsidRPr="009F173A">
              <w:rPr>
                <w:rFonts w:cstheme="minorHAnsi"/>
                <w:bCs/>
              </w:rPr>
              <w:t>76</w:t>
            </w:r>
          </w:p>
        </w:tc>
        <w:tc>
          <w:tcPr>
            <w:tcW w:w="1134" w:type="dxa"/>
          </w:tcPr>
          <w:p w14:paraId="39D0E003" w14:textId="473FD9EE" w:rsidR="0080315C" w:rsidRPr="009F173A" w:rsidRDefault="0080315C" w:rsidP="0080315C">
            <w:pPr>
              <w:spacing w:after="120"/>
              <w:jc w:val="center"/>
              <w:rPr>
                <w:bCs/>
              </w:rPr>
            </w:pPr>
            <w:r w:rsidRPr="009F173A">
              <w:rPr>
                <w:bCs/>
              </w:rPr>
              <w:t>21.2</w:t>
            </w:r>
          </w:p>
        </w:tc>
        <w:tc>
          <w:tcPr>
            <w:tcW w:w="1134" w:type="dxa"/>
          </w:tcPr>
          <w:p w14:paraId="159640D1" w14:textId="3347BA43" w:rsidR="0080315C" w:rsidRPr="009F173A" w:rsidRDefault="0080315C" w:rsidP="0080315C">
            <w:pPr>
              <w:spacing w:after="120"/>
              <w:jc w:val="center"/>
              <w:rPr>
                <w:bCs/>
              </w:rPr>
            </w:pPr>
            <w:r w:rsidRPr="009F173A">
              <w:rPr>
                <w:rFonts w:cstheme="minorHAnsi"/>
                <w:bCs/>
              </w:rPr>
              <w:t>3.</w:t>
            </w:r>
            <w:r w:rsidR="00AD657A" w:rsidRPr="009F173A">
              <w:rPr>
                <w:rFonts w:cstheme="minorHAnsi"/>
                <w:bCs/>
              </w:rPr>
              <w:t>83</w:t>
            </w:r>
            <w:r w:rsidRPr="009F173A">
              <w:rPr>
                <w:rFonts w:cstheme="minorHAnsi"/>
                <w:bCs/>
              </w:rPr>
              <w:t>*</w:t>
            </w:r>
          </w:p>
        </w:tc>
      </w:tr>
      <w:tr w:rsidR="009F173A" w:rsidRPr="009F173A" w14:paraId="57A6D01C" w14:textId="404153DD" w:rsidTr="0080315C">
        <w:trPr>
          <w:trHeight w:val="397"/>
        </w:trPr>
        <w:tc>
          <w:tcPr>
            <w:tcW w:w="2454" w:type="dxa"/>
          </w:tcPr>
          <w:p w14:paraId="202ED4D8" w14:textId="77777777" w:rsidR="0080315C" w:rsidRPr="009F173A" w:rsidRDefault="0080315C" w:rsidP="00CC70E5">
            <w:pPr>
              <w:spacing w:after="120"/>
              <w:rPr>
                <w:bCs/>
              </w:rPr>
            </w:pPr>
            <w:r w:rsidRPr="009F173A">
              <w:rPr>
                <w:bCs/>
              </w:rPr>
              <w:t>Raw body volume (m</w:t>
            </w:r>
            <w:r w:rsidRPr="009F173A">
              <w:rPr>
                <w:bCs/>
                <w:vertAlign w:val="superscript"/>
              </w:rPr>
              <w:t>3</w:t>
            </w:r>
            <w:r w:rsidRPr="009F173A">
              <w:rPr>
                <w:bCs/>
              </w:rPr>
              <w:t>)</w:t>
            </w:r>
          </w:p>
        </w:tc>
        <w:tc>
          <w:tcPr>
            <w:tcW w:w="1232" w:type="dxa"/>
          </w:tcPr>
          <w:p w14:paraId="3FA83604" w14:textId="41F51EC0" w:rsidR="0080315C" w:rsidRPr="009F173A" w:rsidRDefault="0080315C" w:rsidP="0080315C">
            <w:pPr>
              <w:spacing w:after="120"/>
              <w:jc w:val="center"/>
              <w:rPr>
                <w:bCs/>
              </w:rPr>
            </w:pPr>
            <w:r w:rsidRPr="009F173A">
              <w:rPr>
                <w:bCs/>
              </w:rPr>
              <w:t>36.6</w:t>
            </w:r>
          </w:p>
        </w:tc>
        <w:tc>
          <w:tcPr>
            <w:tcW w:w="1134" w:type="dxa"/>
          </w:tcPr>
          <w:p w14:paraId="73D64C04" w14:textId="13CE6D29" w:rsidR="0080315C" w:rsidRPr="009F173A" w:rsidRDefault="0080315C" w:rsidP="0080315C">
            <w:pPr>
              <w:spacing w:after="120"/>
              <w:jc w:val="center"/>
              <w:rPr>
                <w:bCs/>
              </w:rPr>
            </w:pPr>
            <w:r w:rsidRPr="009F173A">
              <w:rPr>
                <w:rFonts w:cstheme="minorHAnsi"/>
                <w:bCs/>
              </w:rPr>
              <w:t>10.9</w:t>
            </w:r>
          </w:p>
        </w:tc>
        <w:tc>
          <w:tcPr>
            <w:tcW w:w="1276" w:type="dxa"/>
          </w:tcPr>
          <w:p w14:paraId="332CFF3C" w14:textId="45847EDD" w:rsidR="0080315C" w:rsidRPr="009F173A" w:rsidRDefault="0080315C" w:rsidP="0080315C">
            <w:pPr>
              <w:spacing w:after="120"/>
              <w:jc w:val="center"/>
              <w:rPr>
                <w:bCs/>
              </w:rPr>
            </w:pPr>
            <w:r w:rsidRPr="009F173A">
              <w:rPr>
                <w:bCs/>
              </w:rPr>
              <w:t>34.0</w:t>
            </w:r>
          </w:p>
        </w:tc>
        <w:tc>
          <w:tcPr>
            <w:tcW w:w="1276" w:type="dxa"/>
          </w:tcPr>
          <w:p w14:paraId="450B23E2" w14:textId="4464DBB2" w:rsidR="0080315C" w:rsidRPr="009F173A" w:rsidRDefault="0080315C" w:rsidP="0080315C">
            <w:pPr>
              <w:spacing w:after="120"/>
              <w:jc w:val="center"/>
              <w:rPr>
                <w:bCs/>
              </w:rPr>
            </w:pPr>
            <w:r w:rsidRPr="009F173A">
              <w:rPr>
                <w:rFonts w:cstheme="minorHAnsi"/>
                <w:bCs/>
              </w:rPr>
              <w:t>10.2</w:t>
            </w:r>
          </w:p>
        </w:tc>
        <w:tc>
          <w:tcPr>
            <w:tcW w:w="1134" w:type="dxa"/>
          </w:tcPr>
          <w:p w14:paraId="60487B15" w14:textId="7EB7206E" w:rsidR="0080315C" w:rsidRPr="009F173A" w:rsidRDefault="0080315C" w:rsidP="0080315C">
            <w:pPr>
              <w:spacing w:after="120"/>
              <w:jc w:val="center"/>
              <w:rPr>
                <w:bCs/>
              </w:rPr>
            </w:pPr>
            <w:r w:rsidRPr="009F173A">
              <w:rPr>
                <w:bCs/>
              </w:rPr>
              <w:t>41.5</w:t>
            </w:r>
          </w:p>
        </w:tc>
        <w:tc>
          <w:tcPr>
            <w:tcW w:w="1134" w:type="dxa"/>
          </w:tcPr>
          <w:p w14:paraId="253B1922" w14:textId="51BFA61D" w:rsidR="0080315C" w:rsidRPr="009F173A" w:rsidRDefault="0080315C" w:rsidP="0080315C">
            <w:pPr>
              <w:spacing w:after="120"/>
              <w:jc w:val="center"/>
              <w:rPr>
                <w:bCs/>
              </w:rPr>
            </w:pPr>
            <w:r w:rsidRPr="009F173A">
              <w:rPr>
                <w:rFonts w:cstheme="minorHAnsi"/>
                <w:bCs/>
              </w:rPr>
              <w:t>10.7*</w:t>
            </w:r>
          </w:p>
        </w:tc>
      </w:tr>
      <w:tr w:rsidR="009F173A" w:rsidRPr="009F173A" w14:paraId="73B6F316" w14:textId="673FEAA4" w:rsidTr="0080315C">
        <w:trPr>
          <w:trHeight w:val="397"/>
        </w:trPr>
        <w:tc>
          <w:tcPr>
            <w:tcW w:w="2454" w:type="dxa"/>
          </w:tcPr>
          <w:p w14:paraId="358AA933" w14:textId="77777777" w:rsidR="0080315C" w:rsidRPr="009F173A" w:rsidRDefault="0080315C" w:rsidP="00CC70E5">
            <w:pPr>
              <w:spacing w:after="120"/>
              <w:rPr>
                <w:bCs/>
              </w:rPr>
            </w:pPr>
            <w:r w:rsidRPr="009F173A">
              <w:rPr>
                <w:bCs/>
              </w:rPr>
              <w:t>Resistance (Ω)</w:t>
            </w:r>
          </w:p>
        </w:tc>
        <w:tc>
          <w:tcPr>
            <w:tcW w:w="1232" w:type="dxa"/>
          </w:tcPr>
          <w:p w14:paraId="2389DA01" w14:textId="5585534F" w:rsidR="0080315C" w:rsidRPr="009F173A" w:rsidRDefault="0080315C" w:rsidP="0080315C">
            <w:pPr>
              <w:spacing w:after="120"/>
              <w:jc w:val="center"/>
              <w:rPr>
                <w:bCs/>
              </w:rPr>
            </w:pPr>
            <w:r w:rsidRPr="009F173A">
              <w:rPr>
                <w:bCs/>
              </w:rPr>
              <w:t>674</w:t>
            </w:r>
          </w:p>
        </w:tc>
        <w:tc>
          <w:tcPr>
            <w:tcW w:w="1134" w:type="dxa"/>
          </w:tcPr>
          <w:p w14:paraId="4DFFA43F" w14:textId="2F2229E8" w:rsidR="0080315C" w:rsidRPr="009F173A" w:rsidRDefault="0080315C" w:rsidP="0080315C">
            <w:pPr>
              <w:spacing w:after="120"/>
              <w:jc w:val="center"/>
              <w:rPr>
                <w:bCs/>
              </w:rPr>
            </w:pPr>
            <w:r w:rsidRPr="009F173A">
              <w:rPr>
                <w:rFonts w:cstheme="minorHAnsi"/>
                <w:bCs/>
              </w:rPr>
              <w:t>96.2</w:t>
            </w:r>
          </w:p>
        </w:tc>
        <w:tc>
          <w:tcPr>
            <w:tcW w:w="1276" w:type="dxa"/>
          </w:tcPr>
          <w:p w14:paraId="7A7D0EFC" w14:textId="546C5949" w:rsidR="0080315C" w:rsidRPr="009F173A" w:rsidRDefault="0080315C" w:rsidP="0080315C">
            <w:pPr>
              <w:spacing w:after="120"/>
              <w:jc w:val="center"/>
              <w:rPr>
                <w:bCs/>
              </w:rPr>
            </w:pPr>
            <w:r w:rsidRPr="009F173A">
              <w:rPr>
                <w:bCs/>
              </w:rPr>
              <w:t>677</w:t>
            </w:r>
          </w:p>
        </w:tc>
        <w:tc>
          <w:tcPr>
            <w:tcW w:w="1276" w:type="dxa"/>
          </w:tcPr>
          <w:p w14:paraId="7886A716" w14:textId="29708311" w:rsidR="0080315C" w:rsidRPr="009F173A" w:rsidRDefault="0080315C" w:rsidP="0080315C">
            <w:pPr>
              <w:spacing w:after="120"/>
              <w:jc w:val="center"/>
              <w:rPr>
                <w:bCs/>
              </w:rPr>
            </w:pPr>
            <w:r w:rsidRPr="009F173A">
              <w:rPr>
                <w:rFonts w:cstheme="minorHAnsi"/>
                <w:bCs/>
              </w:rPr>
              <w:t>101</w:t>
            </w:r>
          </w:p>
        </w:tc>
        <w:tc>
          <w:tcPr>
            <w:tcW w:w="1134" w:type="dxa"/>
          </w:tcPr>
          <w:p w14:paraId="2AB4C359" w14:textId="2B7E7F71" w:rsidR="0080315C" w:rsidRPr="009F173A" w:rsidRDefault="0080315C" w:rsidP="0080315C">
            <w:pPr>
              <w:spacing w:after="120"/>
              <w:jc w:val="center"/>
              <w:rPr>
                <w:bCs/>
              </w:rPr>
            </w:pPr>
            <w:r w:rsidRPr="009F173A">
              <w:rPr>
                <w:bCs/>
              </w:rPr>
              <w:t>669</w:t>
            </w:r>
          </w:p>
        </w:tc>
        <w:tc>
          <w:tcPr>
            <w:tcW w:w="1134" w:type="dxa"/>
          </w:tcPr>
          <w:p w14:paraId="1A1985C0" w14:textId="24654814" w:rsidR="0080315C" w:rsidRPr="009F173A" w:rsidRDefault="0080315C" w:rsidP="0080315C">
            <w:pPr>
              <w:spacing w:after="120"/>
              <w:jc w:val="center"/>
              <w:rPr>
                <w:bCs/>
              </w:rPr>
            </w:pPr>
            <w:r w:rsidRPr="009F173A">
              <w:rPr>
                <w:rFonts w:cstheme="minorHAnsi"/>
                <w:bCs/>
              </w:rPr>
              <w:t>89.5</w:t>
            </w:r>
          </w:p>
        </w:tc>
      </w:tr>
      <w:tr w:rsidR="009F173A" w:rsidRPr="009F173A" w14:paraId="2E847E38" w14:textId="602CC701" w:rsidTr="0080315C">
        <w:trPr>
          <w:trHeight w:val="382"/>
        </w:trPr>
        <w:tc>
          <w:tcPr>
            <w:tcW w:w="2454" w:type="dxa"/>
          </w:tcPr>
          <w:p w14:paraId="4C989751" w14:textId="77777777" w:rsidR="0080315C" w:rsidRPr="009F173A" w:rsidRDefault="0080315C" w:rsidP="00CC70E5">
            <w:pPr>
              <w:spacing w:after="120"/>
              <w:rPr>
                <w:bCs/>
              </w:rPr>
            </w:pPr>
            <w:r w:rsidRPr="009F173A">
              <w:rPr>
                <w:bCs/>
              </w:rPr>
              <w:t>%FM</w:t>
            </w:r>
            <w:r w:rsidRPr="009F173A">
              <w:rPr>
                <w:bCs/>
                <w:vertAlign w:val="subscript"/>
              </w:rPr>
              <w:t>ADP</w:t>
            </w:r>
          </w:p>
        </w:tc>
        <w:tc>
          <w:tcPr>
            <w:tcW w:w="1232" w:type="dxa"/>
          </w:tcPr>
          <w:p w14:paraId="14F1CFE0" w14:textId="4A5192D4" w:rsidR="0080315C" w:rsidRPr="009F173A" w:rsidRDefault="0080315C" w:rsidP="0080315C">
            <w:pPr>
              <w:spacing w:after="120"/>
              <w:jc w:val="center"/>
              <w:rPr>
                <w:bCs/>
              </w:rPr>
            </w:pPr>
            <w:r w:rsidRPr="009F173A">
              <w:rPr>
                <w:bCs/>
              </w:rPr>
              <w:t>21.6</w:t>
            </w:r>
          </w:p>
        </w:tc>
        <w:tc>
          <w:tcPr>
            <w:tcW w:w="1134" w:type="dxa"/>
          </w:tcPr>
          <w:p w14:paraId="19B57877" w14:textId="189E6AB1" w:rsidR="0080315C" w:rsidRPr="009F173A" w:rsidRDefault="0080315C" w:rsidP="0080315C">
            <w:pPr>
              <w:spacing w:after="120"/>
              <w:jc w:val="center"/>
              <w:rPr>
                <w:bCs/>
              </w:rPr>
            </w:pPr>
            <w:r w:rsidRPr="009F173A">
              <w:rPr>
                <w:rFonts w:cstheme="minorHAnsi"/>
                <w:bCs/>
              </w:rPr>
              <w:t>9.0</w:t>
            </w:r>
            <w:r w:rsidR="00AD657A" w:rsidRPr="009F173A">
              <w:rPr>
                <w:rFonts w:cstheme="minorHAnsi"/>
                <w:bCs/>
              </w:rPr>
              <w:t>0</w:t>
            </w:r>
            <w:r w:rsidRPr="009F173A">
              <w:rPr>
                <w:rFonts w:ascii="Roboto" w:hAnsi="Roboto"/>
                <w:sz w:val="21"/>
                <w:szCs w:val="21"/>
                <w:shd w:val="clear" w:color="auto" w:fill="FFFFFF"/>
                <w:vertAlign w:val="superscript"/>
              </w:rPr>
              <w:t>†</w:t>
            </w:r>
          </w:p>
        </w:tc>
        <w:tc>
          <w:tcPr>
            <w:tcW w:w="1276" w:type="dxa"/>
          </w:tcPr>
          <w:p w14:paraId="1BC088DD" w14:textId="381CCD8F" w:rsidR="0080315C" w:rsidRPr="009F173A" w:rsidRDefault="0080315C" w:rsidP="0080315C">
            <w:pPr>
              <w:spacing w:after="120"/>
              <w:jc w:val="center"/>
              <w:rPr>
                <w:bCs/>
              </w:rPr>
            </w:pPr>
            <w:r w:rsidRPr="009F173A">
              <w:rPr>
                <w:bCs/>
              </w:rPr>
              <w:t>16.1</w:t>
            </w:r>
          </w:p>
        </w:tc>
        <w:tc>
          <w:tcPr>
            <w:tcW w:w="1276" w:type="dxa"/>
          </w:tcPr>
          <w:p w14:paraId="7F0FADB3" w14:textId="106FBD47" w:rsidR="0080315C" w:rsidRPr="009F173A" w:rsidRDefault="0080315C" w:rsidP="0080315C">
            <w:pPr>
              <w:spacing w:after="120"/>
              <w:jc w:val="center"/>
              <w:rPr>
                <w:bCs/>
              </w:rPr>
            </w:pPr>
            <w:r w:rsidRPr="009F173A">
              <w:rPr>
                <w:rFonts w:cstheme="minorHAnsi"/>
                <w:bCs/>
              </w:rPr>
              <w:t>4.0</w:t>
            </w:r>
            <w:r w:rsidR="00AD657A" w:rsidRPr="009F173A">
              <w:rPr>
                <w:rFonts w:cstheme="minorHAnsi"/>
                <w:bCs/>
              </w:rPr>
              <w:t>3</w:t>
            </w:r>
            <w:r w:rsidRPr="009F173A">
              <w:rPr>
                <w:rFonts w:ascii="Roboto" w:hAnsi="Roboto"/>
                <w:sz w:val="21"/>
                <w:szCs w:val="21"/>
                <w:shd w:val="clear" w:color="auto" w:fill="FFFFFF"/>
                <w:vertAlign w:val="superscript"/>
              </w:rPr>
              <w:t>†</w:t>
            </w:r>
          </w:p>
        </w:tc>
        <w:tc>
          <w:tcPr>
            <w:tcW w:w="1134" w:type="dxa"/>
          </w:tcPr>
          <w:p w14:paraId="444F3A83" w14:textId="4F79352B" w:rsidR="0080315C" w:rsidRPr="009F173A" w:rsidRDefault="0080315C" w:rsidP="0080315C">
            <w:pPr>
              <w:spacing w:after="120"/>
              <w:jc w:val="center"/>
              <w:rPr>
                <w:bCs/>
              </w:rPr>
            </w:pPr>
            <w:r w:rsidRPr="009F173A">
              <w:rPr>
                <w:bCs/>
              </w:rPr>
              <w:t>32.2</w:t>
            </w:r>
          </w:p>
        </w:tc>
        <w:tc>
          <w:tcPr>
            <w:tcW w:w="1134" w:type="dxa"/>
          </w:tcPr>
          <w:p w14:paraId="30DB4A4E" w14:textId="4E0AA28B" w:rsidR="0080315C" w:rsidRPr="009F173A" w:rsidRDefault="0080315C" w:rsidP="0080315C">
            <w:pPr>
              <w:spacing w:after="120"/>
              <w:jc w:val="center"/>
              <w:rPr>
                <w:bCs/>
              </w:rPr>
            </w:pPr>
            <w:r w:rsidRPr="009F173A">
              <w:rPr>
                <w:rFonts w:cstheme="minorHAnsi"/>
                <w:bCs/>
              </w:rPr>
              <w:t>5.</w:t>
            </w:r>
            <w:r w:rsidR="00AD657A" w:rsidRPr="009F173A">
              <w:rPr>
                <w:rFonts w:cstheme="minorHAnsi"/>
                <w:bCs/>
              </w:rPr>
              <w:t>49</w:t>
            </w:r>
            <w:r w:rsidRPr="009F173A">
              <w:rPr>
                <w:rFonts w:cstheme="minorHAnsi"/>
                <w:bCs/>
              </w:rPr>
              <w:t>*</w:t>
            </w:r>
            <w:r w:rsidRPr="009F173A">
              <w:rPr>
                <w:rFonts w:ascii="Roboto" w:hAnsi="Roboto"/>
                <w:sz w:val="21"/>
                <w:szCs w:val="21"/>
                <w:shd w:val="clear" w:color="auto" w:fill="FFFFFF"/>
                <w:vertAlign w:val="superscript"/>
              </w:rPr>
              <w:t>†</w:t>
            </w:r>
          </w:p>
        </w:tc>
      </w:tr>
      <w:tr w:rsidR="009F173A" w:rsidRPr="009F173A" w14:paraId="6B9F7DB4" w14:textId="67BE5D1D" w:rsidTr="0080315C">
        <w:trPr>
          <w:trHeight w:val="397"/>
        </w:trPr>
        <w:tc>
          <w:tcPr>
            <w:tcW w:w="2454" w:type="dxa"/>
            <w:tcBorders>
              <w:bottom w:val="single" w:sz="4" w:space="0" w:color="auto"/>
            </w:tcBorders>
          </w:tcPr>
          <w:p w14:paraId="2BEB00E3" w14:textId="77777777" w:rsidR="0080315C" w:rsidRPr="009F173A" w:rsidRDefault="0080315C" w:rsidP="00CC70E5">
            <w:pPr>
              <w:spacing w:after="120"/>
              <w:rPr>
                <w:bCs/>
              </w:rPr>
            </w:pPr>
            <w:r w:rsidRPr="009F173A">
              <w:rPr>
                <w:bCs/>
              </w:rPr>
              <w:t>%FM</w:t>
            </w:r>
            <w:r w:rsidRPr="009F173A">
              <w:rPr>
                <w:bCs/>
                <w:vertAlign w:val="subscript"/>
              </w:rPr>
              <w:t>BIA</w:t>
            </w:r>
            <w:r w:rsidRPr="009F173A">
              <w:rPr>
                <w:bCs/>
              </w:rPr>
              <w:t xml:space="preserve"> </w:t>
            </w:r>
          </w:p>
        </w:tc>
        <w:tc>
          <w:tcPr>
            <w:tcW w:w="1232" w:type="dxa"/>
            <w:tcBorders>
              <w:bottom w:val="single" w:sz="4" w:space="0" w:color="auto"/>
            </w:tcBorders>
          </w:tcPr>
          <w:p w14:paraId="718DD66F" w14:textId="42E8AD90" w:rsidR="0080315C" w:rsidRPr="009F173A" w:rsidRDefault="0080315C" w:rsidP="0080315C">
            <w:pPr>
              <w:spacing w:after="120"/>
              <w:jc w:val="center"/>
              <w:rPr>
                <w:bCs/>
              </w:rPr>
            </w:pPr>
            <w:r w:rsidRPr="009F173A">
              <w:rPr>
                <w:bCs/>
              </w:rPr>
              <w:t>18.2</w:t>
            </w:r>
          </w:p>
        </w:tc>
        <w:tc>
          <w:tcPr>
            <w:tcW w:w="1134" w:type="dxa"/>
            <w:tcBorders>
              <w:bottom w:val="single" w:sz="4" w:space="0" w:color="auto"/>
            </w:tcBorders>
          </w:tcPr>
          <w:p w14:paraId="30EF757E" w14:textId="42FD0F6F" w:rsidR="0080315C" w:rsidRPr="009F173A" w:rsidRDefault="0080315C" w:rsidP="0080315C">
            <w:pPr>
              <w:spacing w:after="120"/>
              <w:jc w:val="center"/>
              <w:rPr>
                <w:bCs/>
              </w:rPr>
            </w:pPr>
            <w:r w:rsidRPr="009F173A">
              <w:rPr>
                <w:rFonts w:cstheme="minorHAnsi"/>
                <w:bCs/>
              </w:rPr>
              <w:t>8.8</w:t>
            </w:r>
            <w:r w:rsidR="00AD657A" w:rsidRPr="009F173A">
              <w:rPr>
                <w:rFonts w:cstheme="minorHAnsi"/>
                <w:bCs/>
              </w:rPr>
              <w:t>7</w:t>
            </w:r>
          </w:p>
        </w:tc>
        <w:tc>
          <w:tcPr>
            <w:tcW w:w="1276" w:type="dxa"/>
            <w:tcBorders>
              <w:bottom w:val="single" w:sz="4" w:space="0" w:color="auto"/>
            </w:tcBorders>
          </w:tcPr>
          <w:p w14:paraId="69685596" w14:textId="33A5239D" w:rsidR="0080315C" w:rsidRPr="009F173A" w:rsidRDefault="0080315C" w:rsidP="0080315C">
            <w:pPr>
              <w:spacing w:after="120"/>
              <w:jc w:val="center"/>
              <w:rPr>
                <w:bCs/>
              </w:rPr>
            </w:pPr>
            <w:r w:rsidRPr="009F173A">
              <w:rPr>
                <w:bCs/>
              </w:rPr>
              <w:t>13.7</w:t>
            </w:r>
          </w:p>
        </w:tc>
        <w:tc>
          <w:tcPr>
            <w:tcW w:w="1276" w:type="dxa"/>
            <w:tcBorders>
              <w:bottom w:val="single" w:sz="4" w:space="0" w:color="auto"/>
            </w:tcBorders>
          </w:tcPr>
          <w:p w14:paraId="48A55F40" w14:textId="74118320" w:rsidR="0080315C" w:rsidRPr="009F173A" w:rsidRDefault="0080315C" w:rsidP="0080315C">
            <w:pPr>
              <w:spacing w:after="120"/>
              <w:jc w:val="center"/>
              <w:rPr>
                <w:bCs/>
              </w:rPr>
            </w:pPr>
            <w:r w:rsidRPr="009F173A">
              <w:rPr>
                <w:rFonts w:cstheme="minorHAnsi"/>
                <w:bCs/>
              </w:rPr>
              <w:t>6.1</w:t>
            </w:r>
            <w:r w:rsidR="00AD657A" w:rsidRPr="009F173A">
              <w:rPr>
                <w:rFonts w:cstheme="minorHAnsi"/>
                <w:bCs/>
              </w:rPr>
              <w:t>4</w:t>
            </w:r>
          </w:p>
        </w:tc>
        <w:tc>
          <w:tcPr>
            <w:tcW w:w="1134" w:type="dxa"/>
            <w:tcBorders>
              <w:bottom w:val="single" w:sz="4" w:space="0" w:color="auto"/>
            </w:tcBorders>
          </w:tcPr>
          <w:p w14:paraId="62A83FAB" w14:textId="326C35F4" w:rsidR="0080315C" w:rsidRPr="009F173A" w:rsidRDefault="0080315C" w:rsidP="0080315C">
            <w:pPr>
              <w:spacing w:after="120"/>
              <w:jc w:val="center"/>
              <w:rPr>
                <w:bCs/>
              </w:rPr>
            </w:pPr>
            <w:r w:rsidRPr="009F173A">
              <w:rPr>
                <w:bCs/>
              </w:rPr>
              <w:t>27.0</w:t>
            </w:r>
          </w:p>
        </w:tc>
        <w:tc>
          <w:tcPr>
            <w:tcW w:w="1134" w:type="dxa"/>
            <w:tcBorders>
              <w:bottom w:val="single" w:sz="4" w:space="0" w:color="auto"/>
            </w:tcBorders>
          </w:tcPr>
          <w:p w14:paraId="0D070604" w14:textId="5C4C3036" w:rsidR="0080315C" w:rsidRPr="009F173A" w:rsidRDefault="0080315C" w:rsidP="0080315C">
            <w:pPr>
              <w:spacing w:after="120"/>
              <w:jc w:val="center"/>
              <w:rPr>
                <w:bCs/>
              </w:rPr>
            </w:pPr>
            <w:r w:rsidRPr="009F173A">
              <w:rPr>
                <w:rFonts w:cstheme="minorHAnsi"/>
                <w:bCs/>
              </w:rPr>
              <w:t>6.</w:t>
            </w:r>
            <w:r w:rsidR="00AD657A" w:rsidRPr="009F173A">
              <w:rPr>
                <w:rFonts w:cstheme="minorHAnsi"/>
                <w:bCs/>
              </w:rPr>
              <w:t>59</w:t>
            </w:r>
            <w:r w:rsidRPr="009F173A">
              <w:rPr>
                <w:rFonts w:cstheme="minorHAnsi"/>
                <w:bCs/>
              </w:rPr>
              <w:t>*</w:t>
            </w:r>
          </w:p>
        </w:tc>
      </w:tr>
    </w:tbl>
    <w:p w14:paraId="59A3B5A6" w14:textId="7BE51E85" w:rsidR="00D95324" w:rsidRPr="009F173A" w:rsidRDefault="00D95324" w:rsidP="00D95324">
      <w:pPr>
        <w:spacing w:after="0" w:line="276" w:lineRule="auto"/>
        <w:rPr>
          <w:rFonts w:ascii="Calibri" w:eastAsia="Calibri" w:hAnsi="Calibri" w:cs="Times New Roman"/>
          <w:sz w:val="18"/>
          <w:szCs w:val="18"/>
        </w:rPr>
      </w:pPr>
      <w:r w:rsidRPr="009F173A">
        <w:rPr>
          <w:rFonts w:ascii="Calibri" w:eastAsia="Calibri" w:hAnsi="Calibri" w:cs="Times New Roman"/>
          <w:sz w:val="18"/>
          <w:szCs w:val="18"/>
        </w:rPr>
        <w:t>%FM</w:t>
      </w:r>
      <w:r w:rsidRPr="009F173A">
        <w:rPr>
          <w:rFonts w:ascii="Calibri" w:eastAsia="Calibri" w:hAnsi="Calibri" w:cs="Times New Roman"/>
          <w:sz w:val="18"/>
          <w:szCs w:val="18"/>
          <w:vertAlign w:val="subscript"/>
        </w:rPr>
        <w:t>BIA</w:t>
      </w:r>
      <w:r w:rsidRPr="009F173A">
        <w:rPr>
          <w:rFonts w:ascii="Calibri" w:eastAsia="Calibri" w:hAnsi="Calibri" w:cs="Times New Roman"/>
          <w:sz w:val="18"/>
          <w:szCs w:val="18"/>
        </w:rPr>
        <w:t>, percentage body fat measured by bioelectrical impedance analysis; %FM</w:t>
      </w:r>
      <w:r w:rsidRPr="009F173A">
        <w:rPr>
          <w:rFonts w:ascii="Calibri" w:eastAsia="Calibri" w:hAnsi="Calibri" w:cs="Times New Roman"/>
          <w:sz w:val="18"/>
          <w:szCs w:val="18"/>
          <w:vertAlign w:val="subscript"/>
        </w:rPr>
        <w:t>ADP</w:t>
      </w:r>
      <w:r w:rsidRPr="009F173A">
        <w:rPr>
          <w:rFonts w:ascii="Calibri" w:eastAsia="Calibri" w:hAnsi="Calibri" w:cs="Times New Roman"/>
          <w:sz w:val="18"/>
          <w:szCs w:val="18"/>
        </w:rPr>
        <w:t xml:space="preserve">, percentage body fat measured by air displacement plethysmography </w:t>
      </w:r>
    </w:p>
    <w:p w14:paraId="6552EA51" w14:textId="42DDFF9B" w:rsidR="00451791" w:rsidRPr="009F173A" w:rsidRDefault="00451791" w:rsidP="00D95324">
      <w:pPr>
        <w:spacing w:after="0" w:line="276" w:lineRule="auto"/>
        <w:rPr>
          <w:bCs/>
          <w:sz w:val="18"/>
          <w:szCs w:val="18"/>
        </w:rPr>
      </w:pPr>
      <w:r w:rsidRPr="009F173A">
        <w:rPr>
          <w:bCs/>
          <w:sz w:val="18"/>
          <w:szCs w:val="18"/>
        </w:rPr>
        <w:t xml:space="preserve">* denotes significant difference between non-obese and obese groups at 0.05 level </w:t>
      </w:r>
    </w:p>
    <w:p w14:paraId="38F404E3" w14:textId="77777777" w:rsidR="00451791" w:rsidRPr="009F173A" w:rsidRDefault="00451791" w:rsidP="00D95324">
      <w:pPr>
        <w:spacing w:after="0" w:line="276" w:lineRule="auto"/>
        <w:rPr>
          <w:rFonts w:cstheme="minorHAnsi"/>
          <w:bCs/>
          <w:sz w:val="18"/>
          <w:szCs w:val="18"/>
        </w:rPr>
      </w:pPr>
      <w:r w:rsidRPr="009F173A">
        <w:rPr>
          <w:rFonts w:cstheme="minorHAnsi"/>
          <w:sz w:val="18"/>
          <w:szCs w:val="18"/>
          <w:shd w:val="clear" w:color="auto" w:fill="FFFFFF"/>
          <w:vertAlign w:val="superscript"/>
        </w:rPr>
        <w:t>†</w:t>
      </w:r>
      <w:r w:rsidRPr="009F173A">
        <w:rPr>
          <w:rFonts w:cstheme="minorHAnsi"/>
          <w:sz w:val="18"/>
          <w:szCs w:val="18"/>
          <w:shd w:val="clear" w:color="auto" w:fill="FFFFFF"/>
        </w:rPr>
        <w:t xml:space="preserve"> denotes significant difference within group between ADP and BIA methods at 0.05 level</w:t>
      </w:r>
    </w:p>
    <w:p w14:paraId="50DEEC8B" w14:textId="046C3BAE" w:rsidR="00451791" w:rsidRPr="009F173A" w:rsidRDefault="00451791" w:rsidP="0079797A">
      <w:pPr>
        <w:spacing w:line="276" w:lineRule="auto"/>
        <w:rPr>
          <w:b/>
        </w:rPr>
      </w:pPr>
    </w:p>
    <w:p w14:paraId="473A3310" w14:textId="1EC5D723" w:rsidR="00451791" w:rsidRPr="009F173A" w:rsidRDefault="00451791" w:rsidP="0079797A">
      <w:pPr>
        <w:spacing w:line="276" w:lineRule="auto"/>
        <w:rPr>
          <w:b/>
        </w:rPr>
      </w:pPr>
    </w:p>
    <w:p w14:paraId="26DB29E4" w14:textId="40E2D0F1" w:rsidR="00451791" w:rsidRPr="009F173A" w:rsidRDefault="00451791" w:rsidP="0079797A">
      <w:pPr>
        <w:spacing w:line="276" w:lineRule="auto"/>
        <w:rPr>
          <w:b/>
        </w:rPr>
      </w:pPr>
    </w:p>
    <w:p w14:paraId="58768178" w14:textId="5551C337" w:rsidR="00451791" w:rsidRPr="009F173A" w:rsidRDefault="00451791" w:rsidP="0079797A">
      <w:pPr>
        <w:spacing w:line="276" w:lineRule="auto"/>
        <w:rPr>
          <w:b/>
        </w:rPr>
      </w:pPr>
    </w:p>
    <w:p w14:paraId="3CBB0107" w14:textId="6D234088" w:rsidR="00451791" w:rsidRPr="009F173A" w:rsidRDefault="00451791" w:rsidP="0079797A">
      <w:pPr>
        <w:spacing w:line="276" w:lineRule="auto"/>
        <w:rPr>
          <w:b/>
        </w:rPr>
      </w:pPr>
    </w:p>
    <w:p w14:paraId="7C6F9D2F" w14:textId="60EE16F9" w:rsidR="00451791" w:rsidRPr="009F173A" w:rsidRDefault="00451791" w:rsidP="0079797A">
      <w:pPr>
        <w:spacing w:line="276" w:lineRule="auto"/>
        <w:rPr>
          <w:b/>
        </w:rPr>
      </w:pPr>
    </w:p>
    <w:p w14:paraId="28F434E3" w14:textId="3B9DA78E" w:rsidR="00451791" w:rsidRPr="009F173A" w:rsidRDefault="00451791" w:rsidP="0079797A">
      <w:pPr>
        <w:spacing w:line="276" w:lineRule="auto"/>
        <w:rPr>
          <w:b/>
        </w:rPr>
      </w:pPr>
    </w:p>
    <w:p w14:paraId="2A31CA2E" w14:textId="53260726" w:rsidR="00451791" w:rsidRPr="009F173A" w:rsidRDefault="00451791" w:rsidP="0079797A">
      <w:pPr>
        <w:spacing w:line="276" w:lineRule="auto"/>
        <w:rPr>
          <w:b/>
        </w:rPr>
      </w:pPr>
    </w:p>
    <w:p w14:paraId="74ED1EBC" w14:textId="47C0FBA5" w:rsidR="00451791" w:rsidRPr="009F173A" w:rsidRDefault="00451791" w:rsidP="0079797A">
      <w:pPr>
        <w:spacing w:line="276" w:lineRule="auto"/>
        <w:rPr>
          <w:b/>
        </w:rPr>
      </w:pPr>
    </w:p>
    <w:p w14:paraId="5182D1C4" w14:textId="22B62A77" w:rsidR="00451791" w:rsidRPr="009F173A" w:rsidRDefault="00451791" w:rsidP="0079797A">
      <w:pPr>
        <w:spacing w:line="276" w:lineRule="auto"/>
        <w:rPr>
          <w:b/>
        </w:rPr>
      </w:pPr>
    </w:p>
    <w:p w14:paraId="4187DE0A" w14:textId="145DF210" w:rsidR="00451791" w:rsidRPr="009F173A" w:rsidRDefault="00451791" w:rsidP="0079797A">
      <w:pPr>
        <w:spacing w:line="276" w:lineRule="auto"/>
        <w:rPr>
          <w:b/>
        </w:rPr>
      </w:pPr>
    </w:p>
    <w:p w14:paraId="731C0DC7" w14:textId="16496D74" w:rsidR="00451791" w:rsidRPr="009F173A" w:rsidRDefault="00451791" w:rsidP="0079797A">
      <w:pPr>
        <w:spacing w:line="276" w:lineRule="auto"/>
        <w:rPr>
          <w:b/>
        </w:rPr>
      </w:pPr>
    </w:p>
    <w:p w14:paraId="19F8ACD2" w14:textId="740AB82C" w:rsidR="00451791" w:rsidRPr="009F173A" w:rsidRDefault="00451791" w:rsidP="0079797A">
      <w:pPr>
        <w:spacing w:line="276" w:lineRule="auto"/>
        <w:rPr>
          <w:b/>
        </w:rPr>
      </w:pPr>
    </w:p>
    <w:p w14:paraId="5A485F8D" w14:textId="25868FE6" w:rsidR="00451791" w:rsidRPr="009F173A" w:rsidRDefault="00451791" w:rsidP="0079797A">
      <w:pPr>
        <w:spacing w:line="276" w:lineRule="auto"/>
        <w:rPr>
          <w:b/>
        </w:rPr>
      </w:pPr>
    </w:p>
    <w:p w14:paraId="364B1EB5" w14:textId="7AE5C969" w:rsidR="00451791" w:rsidRPr="009F173A" w:rsidRDefault="00451791" w:rsidP="0079797A">
      <w:pPr>
        <w:spacing w:line="276" w:lineRule="auto"/>
        <w:rPr>
          <w:b/>
        </w:rPr>
      </w:pPr>
    </w:p>
    <w:p w14:paraId="5C6CC22B" w14:textId="5361E3BB" w:rsidR="00451791" w:rsidRPr="009F173A" w:rsidRDefault="00451791" w:rsidP="0079797A">
      <w:pPr>
        <w:spacing w:line="276" w:lineRule="auto"/>
        <w:rPr>
          <w:b/>
        </w:rPr>
      </w:pPr>
    </w:p>
    <w:p w14:paraId="6D6A5D4A" w14:textId="2489D05A" w:rsidR="00451791" w:rsidRPr="009F173A" w:rsidRDefault="00451791" w:rsidP="0079797A">
      <w:pPr>
        <w:spacing w:line="276" w:lineRule="auto"/>
        <w:rPr>
          <w:b/>
        </w:rPr>
      </w:pPr>
    </w:p>
    <w:p w14:paraId="79456641" w14:textId="7670D6C1" w:rsidR="00451791" w:rsidRPr="009F173A" w:rsidRDefault="00451791" w:rsidP="0079797A">
      <w:pPr>
        <w:spacing w:line="276" w:lineRule="auto"/>
        <w:rPr>
          <w:b/>
        </w:rPr>
      </w:pPr>
    </w:p>
    <w:p w14:paraId="70348BDA" w14:textId="77777777" w:rsidR="00451791" w:rsidRPr="009F173A" w:rsidRDefault="00451791" w:rsidP="00451791">
      <w:pPr>
        <w:spacing w:after="0"/>
        <w:rPr>
          <w:bCs/>
        </w:rPr>
      </w:pPr>
      <w:r w:rsidRPr="009F173A">
        <w:rPr>
          <w:bCs/>
        </w:rPr>
        <w:t>Table 4.  Differences in %FM measured by ADP and BIA (%FM</w:t>
      </w:r>
      <w:r w:rsidRPr="009F173A">
        <w:rPr>
          <w:bCs/>
          <w:vertAlign w:val="subscript"/>
        </w:rPr>
        <w:t xml:space="preserve">BIA </w:t>
      </w:r>
      <w:r w:rsidRPr="009F173A">
        <w:rPr>
          <w:bCs/>
        </w:rPr>
        <w:t>- %FM</w:t>
      </w:r>
      <w:r w:rsidRPr="009F173A">
        <w:rPr>
          <w:bCs/>
          <w:vertAlign w:val="subscript"/>
        </w:rPr>
        <w:t>ADP</w:t>
      </w:r>
      <w:r w:rsidRPr="009F173A">
        <w:rPr>
          <w:bCs/>
        </w:rPr>
        <w:t>)</w:t>
      </w:r>
    </w:p>
    <w:p w14:paraId="2AE63005" w14:textId="77777777" w:rsidR="00451791" w:rsidRPr="009F173A" w:rsidRDefault="00451791" w:rsidP="00451791">
      <w:pPr>
        <w:spacing w:after="0"/>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87"/>
        <w:gridCol w:w="2487"/>
        <w:gridCol w:w="2487"/>
      </w:tblGrid>
      <w:tr w:rsidR="009F173A" w:rsidRPr="009F173A" w14:paraId="161F6629" w14:textId="77777777" w:rsidTr="00CC70E5">
        <w:tc>
          <w:tcPr>
            <w:tcW w:w="1555" w:type="dxa"/>
            <w:tcBorders>
              <w:top w:val="single" w:sz="4" w:space="0" w:color="auto"/>
              <w:bottom w:val="single" w:sz="4" w:space="0" w:color="auto"/>
            </w:tcBorders>
          </w:tcPr>
          <w:p w14:paraId="5BCCF32D" w14:textId="77777777" w:rsidR="00451791" w:rsidRPr="009F173A" w:rsidRDefault="00451791" w:rsidP="00CC70E5">
            <w:pPr>
              <w:spacing w:line="360" w:lineRule="auto"/>
              <w:rPr>
                <w:bCs/>
              </w:rPr>
            </w:pPr>
          </w:p>
        </w:tc>
        <w:tc>
          <w:tcPr>
            <w:tcW w:w="2487" w:type="dxa"/>
            <w:tcBorders>
              <w:top w:val="single" w:sz="4" w:space="0" w:color="auto"/>
              <w:bottom w:val="single" w:sz="4" w:space="0" w:color="auto"/>
            </w:tcBorders>
          </w:tcPr>
          <w:p w14:paraId="372F3F21" w14:textId="77777777" w:rsidR="00451791" w:rsidRPr="009F173A" w:rsidRDefault="00451791" w:rsidP="0080315C">
            <w:pPr>
              <w:spacing w:line="360" w:lineRule="auto"/>
              <w:jc w:val="center"/>
              <w:rPr>
                <w:bCs/>
              </w:rPr>
            </w:pPr>
            <w:r w:rsidRPr="009F173A">
              <w:rPr>
                <w:b/>
                <w:bCs/>
              </w:rPr>
              <w:t>All participants</w:t>
            </w:r>
            <w:r w:rsidRPr="009F173A">
              <w:rPr>
                <w:bCs/>
              </w:rPr>
              <w:t xml:space="preserve"> (n = 71)</w:t>
            </w:r>
          </w:p>
          <w:p w14:paraId="6099EA80" w14:textId="38070C01" w:rsidR="00B0257B" w:rsidRPr="009F173A" w:rsidRDefault="00B0257B" w:rsidP="0080315C">
            <w:pPr>
              <w:spacing w:line="360" w:lineRule="auto"/>
              <w:jc w:val="center"/>
              <w:rPr>
                <w:bCs/>
              </w:rPr>
            </w:pPr>
            <w:r w:rsidRPr="009F173A">
              <w:rPr>
                <w:bCs/>
              </w:rPr>
              <w:t>%FM</w:t>
            </w:r>
          </w:p>
        </w:tc>
        <w:tc>
          <w:tcPr>
            <w:tcW w:w="2487" w:type="dxa"/>
            <w:tcBorders>
              <w:top w:val="single" w:sz="4" w:space="0" w:color="auto"/>
              <w:bottom w:val="single" w:sz="4" w:space="0" w:color="auto"/>
            </w:tcBorders>
          </w:tcPr>
          <w:p w14:paraId="7E77B37F" w14:textId="77777777" w:rsidR="00451791" w:rsidRPr="009F173A" w:rsidRDefault="00451791" w:rsidP="0080315C">
            <w:pPr>
              <w:spacing w:line="360" w:lineRule="auto"/>
              <w:jc w:val="center"/>
              <w:rPr>
                <w:bCs/>
              </w:rPr>
            </w:pPr>
            <w:r w:rsidRPr="009F173A">
              <w:rPr>
                <w:b/>
                <w:bCs/>
              </w:rPr>
              <w:t>Without obesity</w:t>
            </w:r>
            <w:r w:rsidRPr="009F173A">
              <w:rPr>
                <w:bCs/>
              </w:rPr>
              <w:t xml:space="preserve"> (n = 46)</w:t>
            </w:r>
          </w:p>
          <w:p w14:paraId="0BC61296" w14:textId="0E02BE9A" w:rsidR="00B0257B" w:rsidRPr="009F173A" w:rsidRDefault="00B0257B" w:rsidP="0080315C">
            <w:pPr>
              <w:spacing w:line="360" w:lineRule="auto"/>
              <w:jc w:val="center"/>
              <w:rPr>
                <w:bCs/>
              </w:rPr>
            </w:pPr>
            <w:r w:rsidRPr="009F173A">
              <w:rPr>
                <w:bCs/>
              </w:rPr>
              <w:t>%FM</w:t>
            </w:r>
          </w:p>
        </w:tc>
        <w:tc>
          <w:tcPr>
            <w:tcW w:w="2487" w:type="dxa"/>
            <w:tcBorders>
              <w:top w:val="single" w:sz="4" w:space="0" w:color="auto"/>
              <w:bottom w:val="single" w:sz="4" w:space="0" w:color="auto"/>
            </w:tcBorders>
          </w:tcPr>
          <w:p w14:paraId="10DF6538" w14:textId="77777777" w:rsidR="00451791" w:rsidRPr="009F173A" w:rsidRDefault="00451791" w:rsidP="0080315C">
            <w:pPr>
              <w:spacing w:line="360" w:lineRule="auto"/>
              <w:jc w:val="center"/>
              <w:rPr>
                <w:bCs/>
              </w:rPr>
            </w:pPr>
            <w:r w:rsidRPr="009F173A">
              <w:rPr>
                <w:b/>
                <w:bCs/>
              </w:rPr>
              <w:t>With Obesity</w:t>
            </w:r>
            <w:r w:rsidRPr="009F173A">
              <w:rPr>
                <w:bCs/>
              </w:rPr>
              <w:t xml:space="preserve"> (n = 25)</w:t>
            </w:r>
          </w:p>
          <w:p w14:paraId="48C3AF0D" w14:textId="35DF12E9" w:rsidR="00B0257B" w:rsidRPr="009F173A" w:rsidRDefault="00B0257B" w:rsidP="0080315C">
            <w:pPr>
              <w:spacing w:line="360" w:lineRule="auto"/>
              <w:jc w:val="center"/>
              <w:rPr>
                <w:bCs/>
              </w:rPr>
            </w:pPr>
            <w:r w:rsidRPr="009F173A">
              <w:rPr>
                <w:bCs/>
              </w:rPr>
              <w:t>%FM</w:t>
            </w:r>
          </w:p>
        </w:tc>
      </w:tr>
      <w:tr w:rsidR="009F173A" w:rsidRPr="009F173A" w14:paraId="499C2D29" w14:textId="77777777" w:rsidTr="00CC70E5">
        <w:tc>
          <w:tcPr>
            <w:tcW w:w="1555" w:type="dxa"/>
            <w:tcBorders>
              <w:top w:val="single" w:sz="4" w:space="0" w:color="auto"/>
            </w:tcBorders>
          </w:tcPr>
          <w:p w14:paraId="4D9EDD9A" w14:textId="77777777" w:rsidR="00451791" w:rsidRPr="009F173A" w:rsidRDefault="00451791" w:rsidP="00CC70E5">
            <w:pPr>
              <w:spacing w:line="360" w:lineRule="auto"/>
              <w:rPr>
                <w:bCs/>
              </w:rPr>
            </w:pPr>
            <w:r w:rsidRPr="009F173A">
              <w:rPr>
                <w:bCs/>
              </w:rPr>
              <w:t>Mean ± SD</w:t>
            </w:r>
          </w:p>
        </w:tc>
        <w:tc>
          <w:tcPr>
            <w:tcW w:w="2487" w:type="dxa"/>
            <w:tcBorders>
              <w:top w:val="single" w:sz="4" w:space="0" w:color="auto"/>
            </w:tcBorders>
          </w:tcPr>
          <w:p w14:paraId="62A84B50" w14:textId="202C919D" w:rsidR="00451791" w:rsidRPr="009F173A" w:rsidRDefault="00451791" w:rsidP="0080315C">
            <w:pPr>
              <w:spacing w:line="360" w:lineRule="auto"/>
              <w:jc w:val="center"/>
              <w:rPr>
                <w:bCs/>
              </w:rPr>
            </w:pPr>
            <w:r w:rsidRPr="009F173A">
              <w:rPr>
                <w:bCs/>
              </w:rPr>
              <w:t>-3.</w:t>
            </w:r>
            <w:r w:rsidR="00AD657A" w:rsidRPr="009F173A">
              <w:rPr>
                <w:bCs/>
              </w:rPr>
              <w:t>38</w:t>
            </w:r>
            <w:r w:rsidRPr="009F173A">
              <w:rPr>
                <w:bCs/>
              </w:rPr>
              <w:t xml:space="preserve"> </w:t>
            </w:r>
            <w:bookmarkStart w:id="35" w:name="_Hlk103331666"/>
            <w:r w:rsidRPr="009F173A">
              <w:rPr>
                <w:rFonts w:cstheme="minorHAnsi"/>
                <w:bCs/>
              </w:rPr>
              <w:t>± 5.6</w:t>
            </w:r>
            <w:bookmarkEnd w:id="35"/>
            <w:r w:rsidR="00AD657A" w:rsidRPr="009F173A">
              <w:rPr>
                <w:rFonts w:cstheme="minorHAnsi"/>
                <w:bCs/>
              </w:rPr>
              <w:t>0</w:t>
            </w:r>
          </w:p>
        </w:tc>
        <w:tc>
          <w:tcPr>
            <w:tcW w:w="2487" w:type="dxa"/>
            <w:tcBorders>
              <w:top w:val="single" w:sz="4" w:space="0" w:color="auto"/>
            </w:tcBorders>
          </w:tcPr>
          <w:p w14:paraId="6D5E2B41" w14:textId="00569695" w:rsidR="00451791" w:rsidRPr="009F173A" w:rsidRDefault="00451791" w:rsidP="0080315C">
            <w:pPr>
              <w:spacing w:line="360" w:lineRule="auto"/>
              <w:jc w:val="center"/>
              <w:rPr>
                <w:bCs/>
              </w:rPr>
            </w:pPr>
            <w:r w:rsidRPr="009F173A">
              <w:rPr>
                <w:bCs/>
              </w:rPr>
              <w:t>-</w:t>
            </w:r>
            <w:bookmarkStart w:id="36" w:name="_Hlk103331675"/>
            <w:r w:rsidRPr="009F173A">
              <w:rPr>
                <w:bCs/>
              </w:rPr>
              <w:t>2.4</w:t>
            </w:r>
            <w:r w:rsidR="00975251" w:rsidRPr="009F173A">
              <w:rPr>
                <w:bCs/>
              </w:rPr>
              <w:t>0</w:t>
            </w:r>
            <w:r w:rsidRPr="009F173A">
              <w:rPr>
                <w:bCs/>
              </w:rPr>
              <w:t xml:space="preserve"> </w:t>
            </w:r>
            <w:r w:rsidRPr="009F173A">
              <w:rPr>
                <w:rFonts w:cstheme="minorHAnsi"/>
                <w:bCs/>
              </w:rPr>
              <w:t>± 5.</w:t>
            </w:r>
            <w:bookmarkEnd w:id="36"/>
            <w:r w:rsidR="00975251" w:rsidRPr="009F173A">
              <w:rPr>
                <w:rFonts w:cstheme="minorHAnsi"/>
                <w:bCs/>
              </w:rPr>
              <w:t>45</w:t>
            </w:r>
          </w:p>
        </w:tc>
        <w:tc>
          <w:tcPr>
            <w:tcW w:w="2487" w:type="dxa"/>
            <w:tcBorders>
              <w:top w:val="single" w:sz="4" w:space="0" w:color="auto"/>
            </w:tcBorders>
          </w:tcPr>
          <w:p w14:paraId="50AE4BBB" w14:textId="1E43700C" w:rsidR="00451791" w:rsidRPr="009F173A" w:rsidRDefault="00451791" w:rsidP="0080315C">
            <w:pPr>
              <w:spacing w:line="360" w:lineRule="auto"/>
              <w:jc w:val="center"/>
              <w:rPr>
                <w:bCs/>
              </w:rPr>
            </w:pPr>
            <w:bookmarkStart w:id="37" w:name="_Hlk103331690"/>
            <w:r w:rsidRPr="009F173A">
              <w:rPr>
                <w:bCs/>
              </w:rPr>
              <w:t>-5.2</w:t>
            </w:r>
            <w:r w:rsidR="00975251" w:rsidRPr="009F173A">
              <w:rPr>
                <w:bCs/>
              </w:rPr>
              <w:t>0</w:t>
            </w:r>
            <w:r w:rsidRPr="009F173A">
              <w:rPr>
                <w:bCs/>
              </w:rPr>
              <w:t xml:space="preserve"> </w:t>
            </w:r>
            <w:r w:rsidRPr="009F173A">
              <w:rPr>
                <w:rFonts w:cstheme="minorHAnsi"/>
                <w:bCs/>
              </w:rPr>
              <w:t>± 5.</w:t>
            </w:r>
            <w:bookmarkEnd w:id="37"/>
            <w:r w:rsidR="00975251" w:rsidRPr="009F173A">
              <w:rPr>
                <w:rFonts w:cstheme="minorHAnsi"/>
                <w:bCs/>
              </w:rPr>
              <w:t>46</w:t>
            </w:r>
          </w:p>
        </w:tc>
      </w:tr>
      <w:tr w:rsidR="009F173A" w:rsidRPr="009F173A" w14:paraId="26C40859" w14:textId="77777777" w:rsidTr="00CC70E5">
        <w:tc>
          <w:tcPr>
            <w:tcW w:w="1555" w:type="dxa"/>
          </w:tcPr>
          <w:p w14:paraId="077D4AC6" w14:textId="77777777" w:rsidR="00451791" w:rsidRPr="009F173A" w:rsidRDefault="00451791" w:rsidP="00CC70E5">
            <w:pPr>
              <w:spacing w:line="360" w:lineRule="auto"/>
              <w:rPr>
                <w:bCs/>
              </w:rPr>
            </w:pPr>
            <w:r w:rsidRPr="009F173A">
              <w:rPr>
                <w:bCs/>
              </w:rPr>
              <w:t>95% CI</w:t>
            </w:r>
          </w:p>
        </w:tc>
        <w:tc>
          <w:tcPr>
            <w:tcW w:w="2487" w:type="dxa"/>
          </w:tcPr>
          <w:p w14:paraId="6CAA4F57" w14:textId="5B1670A1" w:rsidR="00451791" w:rsidRPr="009F173A" w:rsidRDefault="00451791" w:rsidP="0080315C">
            <w:pPr>
              <w:spacing w:line="360" w:lineRule="auto"/>
              <w:jc w:val="center"/>
              <w:rPr>
                <w:bCs/>
              </w:rPr>
            </w:pPr>
            <w:r w:rsidRPr="009F173A">
              <w:rPr>
                <w:bCs/>
              </w:rPr>
              <w:t>-4.3</w:t>
            </w:r>
            <w:r w:rsidR="00AD657A" w:rsidRPr="009F173A">
              <w:rPr>
                <w:bCs/>
              </w:rPr>
              <w:t>0</w:t>
            </w:r>
            <w:r w:rsidRPr="009F173A">
              <w:rPr>
                <w:bCs/>
              </w:rPr>
              <w:t>, -2.</w:t>
            </w:r>
            <w:r w:rsidR="00AD657A" w:rsidRPr="009F173A">
              <w:rPr>
                <w:bCs/>
              </w:rPr>
              <w:t>46</w:t>
            </w:r>
          </w:p>
        </w:tc>
        <w:tc>
          <w:tcPr>
            <w:tcW w:w="2487" w:type="dxa"/>
          </w:tcPr>
          <w:p w14:paraId="5CB2AC66" w14:textId="1136AD73" w:rsidR="00451791" w:rsidRPr="009F173A" w:rsidRDefault="00451791" w:rsidP="0080315C">
            <w:pPr>
              <w:spacing w:line="360" w:lineRule="auto"/>
              <w:jc w:val="center"/>
              <w:rPr>
                <w:bCs/>
              </w:rPr>
            </w:pPr>
            <w:r w:rsidRPr="009F173A">
              <w:rPr>
                <w:bCs/>
              </w:rPr>
              <w:t>-3.5</w:t>
            </w:r>
            <w:r w:rsidR="00975251" w:rsidRPr="009F173A">
              <w:rPr>
                <w:bCs/>
              </w:rPr>
              <w:t>1</w:t>
            </w:r>
            <w:r w:rsidRPr="009F173A">
              <w:rPr>
                <w:bCs/>
              </w:rPr>
              <w:t>, -1.</w:t>
            </w:r>
            <w:r w:rsidR="00975251" w:rsidRPr="009F173A">
              <w:rPr>
                <w:bCs/>
              </w:rPr>
              <w:t>28</w:t>
            </w:r>
          </w:p>
        </w:tc>
        <w:tc>
          <w:tcPr>
            <w:tcW w:w="2487" w:type="dxa"/>
          </w:tcPr>
          <w:p w14:paraId="4D8C9F31" w14:textId="502688F4" w:rsidR="00451791" w:rsidRPr="009F173A" w:rsidRDefault="00451791" w:rsidP="0080315C">
            <w:pPr>
              <w:spacing w:line="360" w:lineRule="auto"/>
              <w:jc w:val="center"/>
              <w:rPr>
                <w:bCs/>
              </w:rPr>
            </w:pPr>
            <w:r w:rsidRPr="009F173A">
              <w:rPr>
                <w:bCs/>
              </w:rPr>
              <w:t>-6.7</w:t>
            </w:r>
            <w:r w:rsidR="00975251" w:rsidRPr="009F173A">
              <w:rPr>
                <w:bCs/>
              </w:rPr>
              <w:t>1</w:t>
            </w:r>
            <w:r w:rsidRPr="009F173A">
              <w:rPr>
                <w:bCs/>
              </w:rPr>
              <w:t>, -3.</w:t>
            </w:r>
            <w:r w:rsidR="00975251" w:rsidRPr="009F173A">
              <w:rPr>
                <w:bCs/>
              </w:rPr>
              <w:t>68</w:t>
            </w:r>
          </w:p>
        </w:tc>
      </w:tr>
      <w:tr w:rsidR="009F173A" w:rsidRPr="009F173A" w14:paraId="74F77D18" w14:textId="77777777" w:rsidTr="00CC70E5">
        <w:tc>
          <w:tcPr>
            <w:tcW w:w="1555" w:type="dxa"/>
            <w:tcBorders>
              <w:bottom w:val="single" w:sz="4" w:space="0" w:color="auto"/>
            </w:tcBorders>
          </w:tcPr>
          <w:p w14:paraId="4981073D" w14:textId="77777777" w:rsidR="00451791" w:rsidRPr="009F173A" w:rsidRDefault="00451791" w:rsidP="00CC70E5">
            <w:pPr>
              <w:spacing w:line="360" w:lineRule="auto"/>
              <w:rPr>
                <w:bCs/>
              </w:rPr>
            </w:pPr>
            <w:r w:rsidRPr="009F173A">
              <w:rPr>
                <w:bCs/>
              </w:rPr>
              <w:t>LoA</w:t>
            </w:r>
          </w:p>
        </w:tc>
        <w:tc>
          <w:tcPr>
            <w:tcW w:w="2487" w:type="dxa"/>
            <w:tcBorders>
              <w:bottom w:val="single" w:sz="4" w:space="0" w:color="auto"/>
            </w:tcBorders>
          </w:tcPr>
          <w:p w14:paraId="75FF7EE2" w14:textId="6165F603" w:rsidR="00451791" w:rsidRPr="009F173A" w:rsidRDefault="00451791" w:rsidP="0080315C">
            <w:pPr>
              <w:spacing w:line="360" w:lineRule="auto"/>
              <w:jc w:val="center"/>
              <w:rPr>
                <w:bCs/>
              </w:rPr>
            </w:pPr>
            <w:r w:rsidRPr="009F173A">
              <w:rPr>
                <w:bCs/>
              </w:rPr>
              <w:t>-14.5, 7.</w:t>
            </w:r>
            <w:r w:rsidR="00AD657A" w:rsidRPr="009F173A">
              <w:rPr>
                <w:bCs/>
              </w:rPr>
              <w:t>78</w:t>
            </w:r>
          </w:p>
        </w:tc>
        <w:tc>
          <w:tcPr>
            <w:tcW w:w="2487" w:type="dxa"/>
            <w:tcBorders>
              <w:bottom w:val="single" w:sz="4" w:space="0" w:color="auto"/>
            </w:tcBorders>
          </w:tcPr>
          <w:p w14:paraId="65B38821" w14:textId="396868CE" w:rsidR="00451791" w:rsidRPr="009F173A" w:rsidRDefault="00451791" w:rsidP="0080315C">
            <w:pPr>
              <w:spacing w:line="360" w:lineRule="auto"/>
              <w:jc w:val="center"/>
              <w:rPr>
                <w:bCs/>
              </w:rPr>
            </w:pPr>
            <w:r w:rsidRPr="009F173A">
              <w:rPr>
                <w:bCs/>
              </w:rPr>
              <w:t>-13.3, 8.5</w:t>
            </w:r>
            <w:r w:rsidR="00975251" w:rsidRPr="009F173A">
              <w:rPr>
                <w:bCs/>
              </w:rPr>
              <w:t>0</w:t>
            </w:r>
          </w:p>
        </w:tc>
        <w:tc>
          <w:tcPr>
            <w:tcW w:w="2487" w:type="dxa"/>
            <w:tcBorders>
              <w:bottom w:val="single" w:sz="4" w:space="0" w:color="auto"/>
            </w:tcBorders>
          </w:tcPr>
          <w:p w14:paraId="337A46B6" w14:textId="7160E416" w:rsidR="00451791" w:rsidRPr="009F173A" w:rsidRDefault="00451791" w:rsidP="0080315C">
            <w:pPr>
              <w:spacing w:line="360" w:lineRule="auto"/>
              <w:jc w:val="center"/>
              <w:rPr>
                <w:bCs/>
              </w:rPr>
            </w:pPr>
            <w:r w:rsidRPr="009F173A">
              <w:rPr>
                <w:bCs/>
              </w:rPr>
              <w:t>-16.1, 5.7</w:t>
            </w:r>
            <w:r w:rsidR="00975251" w:rsidRPr="009F173A">
              <w:rPr>
                <w:bCs/>
              </w:rPr>
              <w:t>3</w:t>
            </w:r>
          </w:p>
        </w:tc>
      </w:tr>
    </w:tbl>
    <w:p w14:paraId="5586FEC6" w14:textId="2AE70FC9" w:rsidR="00451791" w:rsidRPr="009F173A" w:rsidRDefault="00D95324" w:rsidP="00451791">
      <w:pPr>
        <w:rPr>
          <w:sz w:val="18"/>
          <w:szCs w:val="18"/>
        </w:rPr>
      </w:pPr>
      <w:r w:rsidRPr="009F173A">
        <w:rPr>
          <w:sz w:val="18"/>
          <w:szCs w:val="18"/>
        </w:rPr>
        <w:t>%FM, percentage fat mass. 95% CI; 95% confidence interval; LoA, Limits of Agreement</w:t>
      </w:r>
    </w:p>
    <w:p w14:paraId="5EAE860C" w14:textId="36E8D1EA" w:rsidR="00451791" w:rsidRPr="009F173A" w:rsidRDefault="00451791" w:rsidP="0079797A">
      <w:pPr>
        <w:spacing w:line="276" w:lineRule="auto"/>
        <w:rPr>
          <w:b/>
        </w:rPr>
      </w:pPr>
    </w:p>
    <w:p w14:paraId="1CC9CBA3" w14:textId="0495E697" w:rsidR="00451791" w:rsidRPr="009F173A" w:rsidRDefault="00451791" w:rsidP="0079797A">
      <w:pPr>
        <w:spacing w:line="276" w:lineRule="auto"/>
        <w:rPr>
          <w:b/>
        </w:rPr>
      </w:pPr>
    </w:p>
    <w:p w14:paraId="05BBCF14" w14:textId="1103E9CA" w:rsidR="00451791" w:rsidRPr="009F173A" w:rsidRDefault="00451791" w:rsidP="0079797A">
      <w:pPr>
        <w:spacing w:line="276" w:lineRule="auto"/>
        <w:rPr>
          <w:b/>
        </w:rPr>
      </w:pPr>
    </w:p>
    <w:p w14:paraId="5E2CB4B6" w14:textId="741D8B25" w:rsidR="00451791" w:rsidRPr="009F173A" w:rsidRDefault="00451791" w:rsidP="0079797A">
      <w:pPr>
        <w:spacing w:line="276" w:lineRule="auto"/>
        <w:rPr>
          <w:b/>
        </w:rPr>
      </w:pPr>
    </w:p>
    <w:p w14:paraId="2C701343" w14:textId="629FBEE4" w:rsidR="00451791" w:rsidRPr="009F173A" w:rsidRDefault="00451791" w:rsidP="0079797A">
      <w:pPr>
        <w:spacing w:line="276" w:lineRule="auto"/>
        <w:rPr>
          <w:b/>
        </w:rPr>
      </w:pPr>
    </w:p>
    <w:p w14:paraId="256B0A98" w14:textId="168233ED" w:rsidR="00451791" w:rsidRPr="009F173A" w:rsidRDefault="00451791" w:rsidP="0079797A">
      <w:pPr>
        <w:spacing w:line="276" w:lineRule="auto"/>
        <w:rPr>
          <w:b/>
        </w:rPr>
      </w:pPr>
    </w:p>
    <w:p w14:paraId="1C0EC23F" w14:textId="7D3EB8BC" w:rsidR="00451791" w:rsidRPr="009F173A" w:rsidRDefault="00451791" w:rsidP="0079797A">
      <w:pPr>
        <w:spacing w:line="276" w:lineRule="auto"/>
        <w:rPr>
          <w:b/>
        </w:rPr>
      </w:pPr>
    </w:p>
    <w:p w14:paraId="6A41F9EF" w14:textId="001E2690" w:rsidR="00451791" w:rsidRPr="009F173A" w:rsidRDefault="00451791" w:rsidP="0079797A">
      <w:pPr>
        <w:spacing w:line="276" w:lineRule="auto"/>
        <w:rPr>
          <w:b/>
        </w:rPr>
      </w:pPr>
    </w:p>
    <w:p w14:paraId="1FBA0289" w14:textId="3DFFF94B" w:rsidR="00451791" w:rsidRPr="009F173A" w:rsidRDefault="00451791" w:rsidP="0079797A">
      <w:pPr>
        <w:spacing w:line="276" w:lineRule="auto"/>
        <w:rPr>
          <w:b/>
        </w:rPr>
      </w:pPr>
    </w:p>
    <w:p w14:paraId="200B8AF7" w14:textId="75DEDB9A" w:rsidR="00451791" w:rsidRPr="009F173A" w:rsidRDefault="00451791" w:rsidP="0079797A">
      <w:pPr>
        <w:spacing w:line="276" w:lineRule="auto"/>
        <w:rPr>
          <w:b/>
        </w:rPr>
      </w:pPr>
    </w:p>
    <w:p w14:paraId="019B93CB" w14:textId="48817523" w:rsidR="00451791" w:rsidRPr="009F173A" w:rsidRDefault="00451791" w:rsidP="0079797A">
      <w:pPr>
        <w:spacing w:line="276" w:lineRule="auto"/>
        <w:rPr>
          <w:b/>
        </w:rPr>
      </w:pPr>
    </w:p>
    <w:p w14:paraId="2977A7DE" w14:textId="6E6FC105" w:rsidR="00451791" w:rsidRPr="009F173A" w:rsidRDefault="00451791" w:rsidP="0079797A">
      <w:pPr>
        <w:spacing w:line="276" w:lineRule="auto"/>
        <w:rPr>
          <w:b/>
        </w:rPr>
      </w:pPr>
    </w:p>
    <w:p w14:paraId="504CC0B2" w14:textId="2B894B73" w:rsidR="00451791" w:rsidRPr="009F173A" w:rsidRDefault="00451791" w:rsidP="0079797A">
      <w:pPr>
        <w:spacing w:line="276" w:lineRule="auto"/>
        <w:rPr>
          <w:b/>
        </w:rPr>
      </w:pPr>
    </w:p>
    <w:p w14:paraId="4D204C00" w14:textId="6B1071F1" w:rsidR="00451791" w:rsidRPr="009F173A" w:rsidRDefault="00451791" w:rsidP="0079797A">
      <w:pPr>
        <w:spacing w:line="276" w:lineRule="auto"/>
        <w:rPr>
          <w:b/>
        </w:rPr>
      </w:pPr>
    </w:p>
    <w:p w14:paraId="70F01180" w14:textId="44DC4B85" w:rsidR="00451791" w:rsidRPr="009F173A" w:rsidRDefault="00451791" w:rsidP="0079797A">
      <w:pPr>
        <w:spacing w:line="276" w:lineRule="auto"/>
        <w:rPr>
          <w:b/>
        </w:rPr>
      </w:pPr>
    </w:p>
    <w:p w14:paraId="5249F612" w14:textId="7A71F8B0" w:rsidR="00451791" w:rsidRPr="009F173A" w:rsidRDefault="00451791" w:rsidP="0079797A">
      <w:pPr>
        <w:spacing w:line="276" w:lineRule="auto"/>
        <w:rPr>
          <w:b/>
        </w:rPr>
      </w:pPr>
    </w:p>
    <w:p w14:paraId="015E6437" w14:textId="1D37313A" w:rsidR="00451791" w:rsidRPr="009F173A" w:rsidRDefault="00451791" w:rsidP="0079797A">
      <w:pPr>
        <w:spacing w:line="276" w:lineRule="auto"/>
        <w:rPr>
          <w:b/>
        </w:rPr>
      </w:pPr>
    </w:p>
    <w:p w14:paraId="69684E18" w14:textId="6188D3C2" w:rsidR="00451791" w:rsidRPr="009F173A" w:rsidRDefault="00451791" w:rsidP="0079797A">
      <w:pPr>
        <w:spacing w:line="276" w:lineRule="auto"/>
        <w:rPr>
          <w:b/>
        </w:rPr>
      </w:pPr>
    </w:p>
    <w:p w14:paraId="5930A453" w14:textId="3A1CDEBE" w:rsidR="00451791" w:rsidRPr="009F173A" w:rsidRDefault="00451791" w:rsidP="0079797A">
      <w:pPr>
        <w:spacing w:line="276" w:lineRule="auto"/>
        <w:rPr>
          <w:b/>
        </w:rPr>
      </w:pPr>
    </w:p>
    <w:p w14:paraId="0099E9A8" w14:textId="2BA58236" w:rsidR="00451791" w:rsidRPr="009F173A" w:rsidRDefault="00451791" w:rsidP="0079797A">
      <w:pPr>
        <w:spacing w:line="276" w:lineRule="auto"/>
        <w:rPr>
          <w:b/>
        </w:rPr>
      </w:pPr>
    </w:p>
    <w:p w14:paraId="07812398" w14:textId="003F3243" w:rsidR="00451791" w:rsidRPr="009F173A" w:rsidRDefault="00451791" w:rsidP="0079797A">
      <w:pPr>
        <w:spacing w:line="276" w:lineRule="auto"/>
        <w:rPr>
          <w:b/>
        </w:rPr>
      </w:pPr>
    </w:p>
    <w:p w14:paraId="1377DA5E" w14:textId="780115CF" w:rsidR="00451791" w:rsidRPr="009F173A" w:rsidRDefault="00451791" w:rsidP="0079797A">
      <w:pPr>
        <w:spacing w:line="276" w:lineRule="auto"/>
        <w:rPr>
          <w:b/>
        </w:rPr>
      </w:pPr>
    </w:p>
    <w:p w14:paraId="31997CE7" w14:textId="68596FF9" w:rsidR="00451791" w:rsidRPr="009F173A" w:rsidRDefault="00451791" w:rsidP="0079797A">
      <w:pPr>
        <w:spacing w:line="276" w:lineRule="auto"/>
        <w:rPr>
          <w:b/>
        </w:rPr>
      </w:pPr>
    </w:p>
    <w:p w14:paraId="5B6FB376" w14:textId="3702F62F" w:rsidR="00451791" w:rsidRPr="009F173A" w:rsidRDefault="00451791" w:rsidP="00451791">
      <w:pPr>
        <w:rPr>
          <w:rFonts w:ascii="Calibri" w:eastAsia="Calibri" w:hAnsi="Calibri" w:cs="Times New Roman"/>
        </w:rPr>
      </w:pPr>
      <w:r w:rsidRPr="009F173A">
        <w:rPr>
          <w:rFonts w:ascii="Calibri" w:eastAsia="Calibri" w:hAnsi="Calibri" w:cs="Times New Roman"/>
        </w:rPr>
        <w:t xml:space="preserve">Table 5.   Mean, SD and within-day test re-test for </w:t>
      </w:r>
      <w:r w:rsidR="00B209FF" w:rsidRPr="009F173A">
        <w:rPr>
          <w:rFonts w:ascii="Calibri" w:eastAsia="Calibri" w:hAnsi="Calibri" w:cs="Times New Roman"/>
        </w:rPr>
        <w:t>intra-day</w:t>
      </w:r>
      <w:r w:rsidRPr="009F173A">
        <w:rPr>
          <w:rFonts w:ascii="Calibri" w:eastAsia="Calibri" w:hAnsi="Calibri" w:cs="Times New Roman"/>
        </w:rPr>
        <w:t xml:space="preserve"> reliability of %FM measures (n=10)</w:t>
      </w:r>
    </w:p>
    <w:tbl>
      <w:tblPr>
        <w:tblStyle w:val="TableGrid1"/>
        <w:tblW w:w="9781" w:type="dxa"/>
        <w:jc w:val="center"/>
        <w:tblLook w:val="04A0" w:firstRow="1" w:lastRow="0" w:firstColumn="1" w:lastColumn="0" w:noHBand="0" w:noVBand="1"/>
      </w:tblPr>
      <w:tblGrid>
        <w:gridCol w:w="2410"/>
        <w:gridCol w:w="933"/>
        <w:gridCol w:w="846"/>
        <w:gridCol w:w="910"/>
        <w:gridCol w:w="718"/>
        <w:gridCol w:w="704"/>
        <w:gridCol w:w="850"/>
        <w:gridCol w:w="709"/>
        <w:gridCol w:w="1701"/>
      </w:tblGrid>
      <w:tr w:rsidR="009F173A" w:rsidRPr="009F173A" w14:paraId="35C2786B" w14:textId="77777777" w:rsidTr="00B0257B">
        <w:trPr>
          <w:jc w:val="center"/>
        </w:trPr>
        <w:tc>
          <w:tcPr>
            <w:tcW w:w="2410" w:type="dxa"/>
            <w:tcBorders>
              <w:left w:val="nil"/>
              <w:bottom w:val="single" w:sz="4" w:space="0" w:color="auto"/>
              <w:right w:val="nil"/>
            </w:tcBorders>
          </w:tcPr>
          <w:p w14:paraId="6744AEB9" w14:textId="77777777" w:rsidR="00B0257B" w:rsidRPr="009F173A" w:rsidRDefault="00B0257B" w:rsidP="00CC70E5">
            <w:pPr>
              <w:spacing w:after="160" w:line="259" w:lineRule="auto"/>
              <w:rPr>
                <w:rFonts w:ascii="Calibri" w:eastAsia="Calibri" w:hAnsi="Calibri" w:cs="Times New Roman"/>
              </w:rPr>
            </w:pPr>
          </w:p>
        </w:tc>
        <w:tc>
          <w:tcPr>
            <w:tcW w:w="1779" w:type="dxa"/>
            <w:gridSpan w:val="2"/>
            <w:tcBorders>
              <w:top w:val="single" w:sz="4" w:space="0" w:color="auto"/>
              <w:left w:val="nil"/>
              <w:bottom w:val="single" w:sz="4" w:space="0" w:color="auto"/>
              <w:right w:val="nil"/>
            </w:tcBorders>
          </w:tcPr>
          <w:p w14:paraId="351EC550" w14:textId="77777777" w:rsidR="00B0257B" w:rsidRPr="009F173A" w:rsidRDefault="00B0257B" w:rsidP="00B0257B">
            <w:pPr>
              <w:jc w:val="center"/>
              <w:rPr>
                <w:rFonts w:ascii="Calibri" w:eastAsia="Calibri" w:hAnsi="Calibri" w:cs="Times New Roman"/>
              </w:rPr>
            </w:pPr>
            <w:r w:rsidRPr="009F173A">
              <w:rPr>
                <w:rFonts w:ascii="Calibri" w:eastAsia="Calibri" w:hAnsi="Calibri" w:cs="Times New Roman"/>
                <w:b/>
              </w:rPr>
              <w:t>Session 1</w:t>
            </w:r>
            <w:r w:rsidRPr="009F173A">
              <w:rPr>
                <w:rFonts w:ascii="Calibri" w:eastAsia="Calibri" w:hAnsi="Calibri" w:cs="Times New Roman"/>
              </w:rPr>
              <w:t xml:space="preserve"> </w:t>
            </w:r>
          </w:p>
          <w:p w14:paraId="11F09E16" w14:textId="2B660E38" w:rsidR="00B0257B" w:rsidRPr="009F173A" w:rsidRDefault="00B0257B" w:rsidP="00B0257B">
            <w:pPr>
              <w:jc w:val="center"/>
              <w:rPr>
                <w:rFonts w:ascii="Calibri" w:eastAsia="Calibri" w:hAnsi="Calibri" w:cs="Times New Roman"/>
              </w:rPr>
            </w:pPr>
            <w:r w:rsidRPr="009F173A">
              <w:rPr>
                <w:rFonts w:ascii="Calibri" w:eastAsia="Calibri" w:hAnsi="Calibri" w:cs="Times New Roman"/>
              </w:rPr>
              <w:t xml:space="preserve">Mean          </w:t>
            </w:r>
            <w:r w:rsidRPr="009F173A">
              <w:rPr>
                <w:rFonts w:cstheme="minorHAnsi"/>
                <w:bCs/>
              </w:rPr>
              <w:t>SD</w:t>
            </w:r>
          </w:p>
        </w:tc>
        <w:tc>
          <w:tcPr>
            <w:tcW w:w="1628" w:type="dxa"/>
            <w:gridSpan w:val="2"/>
            <w:tcBorders>
              <w:top w:val="single" w:sz="4" w:space="0" w:color="auto"/>
              <w:left w:val="nil"/>
              <w:bottom w:val="single" w:sz="4" w:space="0" w:color="auto"/>
              <w:right w:val="nil"/>
            </w:tcBorders>
          </w:tcPr>
          <w:p w14:paraId="11AA1629" w14:textId="4520EA60" w:rsidR="00B0257B" w:rsidRPr="009F173A" w:rsidRDefault="00B0257B" w:rsidP="00B0257B">
            <w:pPr>
              <w:jc w:val="center"/>
              <w:rPr>
                <w:rFonts w:ascii="Calibri" w:eastAsia="Calibri" w:hAnsi="Calibri" w:cs="Times New Roman"/>
              </w:rPr>
            </w:pPr>
            <w:r w:rsidRPr="009F173A">
              <w:rPr>
                <w:rFonts w:ascii="Calibri" w:eastAsia="Calibri" w:hAnsi="Calibri" w:cs="Times New Roman"/>
                <w:b/>
              </w:rPr>
              <w:t>Session 2</w:t>
            </w:r>
          </w:p>
          <w:p w14:paraId="2F91C5DA" w14:textId="25AC49E3" w:rsidR="00B0257B" w:rsidRPr="009F173A" w:rsidRDefault="00B0257B" w:rsidP="00B0257B">
            <w:pPr>
              <w:jc w:val="center"/>
              <w:rPr>
                <w:rFonts w:ascii="Calibri" w:eastAsia="Calibri" w:hAnsi="Calibri" w:cs="Times New Roman"/>
                <w:b/>
              </w:rPr>
            </w:pPr>
            <w:r w:rsidRPr="009F173A">
              <w:rPr>
                <w:rFonts w:ascii="Calibri" w:eastAsia="Calibri" w:hAnsi="Calibri" w:cs="Times New Roman"/>
              </w:rPr>
              <w:t xml:space="preserve">Mean        </w:t>
            </w:r>
            <w:r w:rsidRPr="009F173A">
              <w:rPr>
                <w:rFonts w:cstheme="minorHAnsi"/>
                <w:bCs/>
              </w:rPr>
              <w:t>SD</w:t>
            </w:r>
          </w:p>
        </w:tc>
        <w:tc>
          <w:tcPr>
            <w:tcW w:w="704" w:type="dxa"/>
            <w:tcBorders>
              <w:top w:val="single" w:sz="4" w:space="0" w:color="auto"/>
              <w:left w:val="nil"/>
              <w:bottom w:val="single" w:sz="4" w:space="0" w:color="auto"/>
              <w:right w:val="nil"/>
            </w:tcBorders>
          </w:tcPr>
          <w:p w14:paraId="2E622615" w14:textId="50498575" w:rsidR="00B0257B" w:rsidRPr="009F173A" w:rsidRDefault="00B0257B" w:rsidP="00CC70E5">
            <w:pPr>
              <w:spacing w:after="160" w:line="259" w:lineRule="auto"/>
              <w:rPr>
                <w:rFonts w:ascii="Calibri" w:eastAsia="Calibri" w:hAnsi="Calibri" w:cs="Times New Roman"/>
                <w:b/>
              </w:rPr>
            </w:pPr>
            <w:r w:rsidRPr="009F173A">
              <w:rPr>
                <w:rFonts w:ascii="Calibri" w:eastAsia="Calibri" w:hAnsi="Calibri" w:cs="Times New Roman"/>
                <w:b/>
              </w:rPr>
              <w:t>TEM</w:t>
            </w:r>
          </w:p>
        </w:tc>
        <w:tc>
          <w:tcPr>
            <w:tcW w:w="850" w:type="dxa"/>
            <w:tcBorders>
              <w:top w:val="single" w:sz="4" w:space="0" w:color="auto"/>
              <w:left w:val="nil"/>
              <w:bottom w:val="single" w:sz="4" w:space="0" w:color="auto"/>
              <w:right w:val="nil"/>
            </w:tcBorders>
          </w:tcPr>
          <w:p w14:paraId="065BBF3C" w14:textId="77777777" w:rsidR="00B0257B" w:rsidRPr="009F173A" w:rsidRDefault="00B0257B" w:rsidP="00CC70E5">
            <w:pPr>
              <w:spacing w:after="160" w:line="259" w:lineRule="auto"/>
              <w:rPr>
                <w:rFonts w:ascii="Calibri" w:eastAsia="Calibri" w:hAnsi="Calibri" w:cs="Times New Roman"/>
                <w:b/>
              </w:rPr>
            </w:pPr>
            <w:r w:rsidRPr="009F173A">
              <w:rPr>
                <w:rFonts w:ascii="Calibri" w:eastAsia="Calibri" w:hAnsi="Calibri" w:cs="Times New Roman"/>
                <w:b/>
              </w:rPr>
              <w:t>TEM%</w:t>
            </w:r>
          </w:p>
        </w:tc>
        <w:tc>
          <w:tcPr>
            <w:tcW w:w="709" w:type="dxa"/>
            <w:tcBorders>
              <w:top w:val="single" w:sz="4" w:space="0" w:color="auto"/>
              <w:left w:val="nil"/>
              <w:bottom w:val="single" w:sz="4" w:space="0" w:color="auto"/>
              <w:right w:val="nil"/>
            </w:tcBorders>
          </w:tcPr>
          <w:p w14:paraId="08C41ED7" w14:textId="023A9EFB" w:rsidR="00B0257B" w:rsidRPr="009F173A" w:rsidRDefault="0097799F" w:rsidP="00CC70E5">
            <w:pPr>
              <w:spacing w:after="160" w:line="259" w:lineRule="auto"/>
              <w:rPr>
                <w:rFonts w:ascii="Calibri" w:eastAsia="Calibri" w:hAnsi="Calibri" w:cs="Times New Roman"/>
                <w:b/>
              </w:rPr>
            </w:pPr>
            <w:r w:rsidRPr="009F173A">
              <w:rPr>
                <w:rFonts w:ascii="Calibri" w:eastAsia="Calibri" w:hAnsi="Calibri" w:cs="Times New Roman"/>
                <w:b/>
              </w:rPr>
              <w:t>r</w:t>
            </w:r>
            <w:r w:rsidRPr="009F173A">
              <w:rPr>
                <w:rFonts w:ascii="Calibri" w:eastAsia="Calibri" w:hAnsi="Calibri" w:cs="Times New Roman"/>
                <w:b/>
                <w:vertAlign w:val="subscript"/>
              </w:rPr>
              <w:t>xx</w:t>
            </w:r>
          </w:p>
        </w:tc>
        <w:tc>
          <w:tcPr>
            <w:tcW w:w="1701" w:type="dxa"/>
            <w:tcBorders>
              <w:top w:val="single" w:sz="4" w:space="0" w:color="auto"/>
              <w:left w:val="nil"/>
              <w:bottom w:val="single" w:sz="4" w:space="0" w:color="auto"/>
              <w:right w:val="nil"/>
            </w:tcBorders>
          </w:tcPr>
          <w:p w14:paraId="66DFE0DD" w14:textId="77777777" w:rsidR="00B0257B" w:rsidRPr="009F173A" w:rsidRDefault="00B0257B" w:rsidP="00CC70E5">
            <w:pPr>
              <w:rPr>
                <w:rFonts w:ascii="Calibri" w:eastAsia="Calibri" w:hAnsi="Calibri" w:cs="Times New Roman"/>
              </w:rPr>
            </w:pPr>
            <w:r w:rsidRPr="009F173A">
              <w:rPr>
                <w:rFonts w:ascii="Calibri" w:eastAsia="Calibri" w:hAnsi="Calibri" w:cs="Times New Roman"/>
                <w:b/>
              </w:rPr>
              <w:t>ICC</w:t>
            </w:r>
            <w:r w:rsidRPr="009F173A">
              <w:rPr>
                <w:rFonts w:ascii="Calibri" w:eastAsia="Calibri" w:hAnsi="Calibri" w:cs="Times New Roman"/>
              </w:rPr>
              <w:t xml:space="preserve"> (95%CI)</w:t>
            </w:r>
          </w:p>
        </w:tc>
      </w:tr>
      <w:tr w:rsidR="009F173A" w:rsidRPr="009F173A" w14:paraId="76F10E9A" w14:textId="77777777" w:rsidTr="00B0257B">
        <w:trPr>
          <w:jc w:val="center"/>
        </w:trPr>
        <w:tc>
          <w:tcPr>
            <w:tcW w:w="2410" w:type="dxa"/>
            <w:tcBorders>
              <w:top w:val="nil"/>
              <w:left w:val="nil"/>
              <w:bottom w:val="nil"/>
              <w:right w:val="nil"/>
            </w:tcBorders>
          </w:tcPr>
          <w:p w14:paraId="00927D90" w14:textId="77777777" w:rsidR="00B0257B" w:rsidRPr="009F173A" w:rsidRDefault="00B0257B" w:rsidP="00CC70E5">
            <w:pPr>
              <w:spacing w:after="160" w:line="259" w:lineRule="auto"/>
              <w:rPr>
                <w:rFonts w:ascii="Calibri" w:eastAsia="Calibri" w:hAnsi="Calibri" w:cs="Times New Roman"/>
              </w:rPr>
            </w:pPr>
            <w:r w:rsidRPr="009F173A">
              <w:rPr>
                <w:rFonts w:ascii="Calibri" w:eastAsia="Calibri" w:hAnsi="Calibri" w:cs="Times New Roman"/>
              </w:rPr>
              <w:t>%FM</w:t>
            </w:r>
            <w:r w:rsidRPr="009F173A">
              <w:rPr>
                <w:rFonts w:ascii="Calibri" w:eastAsia="Calibri" w:hAnsi="Calibri" w:cs="Times New Roman"/>
                <w:vertAlign w:val="subscript"/>
              </w:rPr>
              <w:t>BIA</w:t>
            </w:r>
          </w:p>
        </w:tc>
        <w:tc>
          <w:tcPr>
            <w:tcW w:w="933" w:type="dxa"/>
            <w:tcBorders>
              <w:top w:val="nil"/>
              <w:left w:val="nil"/>
              <w:bottom w:val="nil"/>
              <w:right w:val="nil"/>
            </w:tcBorders>
            <w:vAlign w:val="bottom"/>
          </w:tcPr>
          <w:p w14:paraId="0EE7A4E1" w14:textId="5C0C235A" w:rsidR="00B0257B" w:rsidRPr="009F173A" w:rsidRDefault="00B0257B" w:rsidP="00B0257B">
            <w:pPr>
              <w:spacing w:after="160" w:line="259" w:lineRule="auto"/>
              <w:jc w:val="center"/>
              <w:rPr>
                <w:rFonts w:ascii="Calibri" w:eastAsia="Calibri" w:hAnsi="Calibri" w:cs="Times New Roman"/>
              </w:rPr>
            </w:pPr>
            <w:r w:rsidRPr="009F173A">
              <w:rPr>
                <w:rFonts w:ascii="Calibri" w:eastAsia="Calibri" w:hAnsi="Calibri" w:cs="Times New Roman"/>
              </w:rPr>
              <w:t>11.</w:t>
            </w:r>
            <w:r w:rsidR="00975251" w:rsidRPr="009F173A">
              <w:rPr>
                <w:rFonts w:ascii="Calibri" w:eastAsia="Calibri" w:hAnsi="Calibri" w:cs="Times New Roman"/>
              </w:rPr>
              <w:t>4</w:t>
            </w:r>
          </w:p>
        </w:tc>
        <w:tc>
          <w:tcPr>
            <w:tcW w:w="846" w:type="dxa"/>
            <w:tcBorders>
              <w:top w:val="nil"/>
              <w:left w:val="nil"/>
              <w:bottom w:val="nil"/>
              <w:right w:val="nil"/>
            </w:tcBorders>
          </w:tcPr>
          <w:p w14:paraId="6D1B1599" w14:textId="2AE0BE81" w:rsidR="00B0257B" w:rsidRPr="009F173A" w:rsidRDefault="00B0257B" w:rsidP="00B0257B">
            <w:pPr>
              <w:jc w:val="center"/>
              <w:rPr>
                <w:rFonts w:ascii="Calibri" w:eastAsia="Calibri" w:hAnsi="Calibri" w:cs="Times New Roman"/>
              </w:rPr>
            </w:pPr>
            <w:r w:rsidRPr="009F173A">
              <w:rPr>
                <w:rFonts w:cstheme="minorHAnsi"/>
                <w:bCs/>
              </w:rPr>
              <w:t>7.92</w:t>
            </w:r>
          </w:p>
        </w:tc>
        <w:tc>
          <w:tcPr>
            <w:tcW w:w="910" w:type="dxa"/>
            <w:tcBorders>
              <w:top w:val="nil"/>
              <w:left w:val="nil"/>
              <w:bottom w:val="nil"/>
              <w:right w:val="nil"/>
            </w:tcBorders>
            <w:vAlign w:val="bottom"/>
          </w:tcPr>
          <w:p w14:paraId="67ACFB9E" w14:textId="10280A3C" w:rsidR="00B0257B" w:rsidRPr="009F173A" w:rsidRDefault="00B0257B" w:rsidP="00B0257B">
            <w:pPr>
              <w:spacing w:after="160" w:line="259" w:lineRule="auto"/>
              <w:jc w:val="center"/>
              <w:rPr>
                <w:rFonts w:ascii="Calibri" w:eastAsia="Calibri" w:hAnsi="Calibri" w:cs="Times New Roman"/>
              </w:rPr>
            </w:pPr>
            <w:r w:rsidRPr="009F173A">
              <w:rPr>
                <w:rFonts w:ascii="Calibri" w:eastAsia="Calibri" w:hAnsi="Calibri" w:cs="Times New Roman"/>
              </w:rPr>
              <w:t>12.</w:t>
            </w:r>
            <w:r w:rsidR="00975251" w:rsidRPr="009F173A">
              <w:rPr>
                <w:rFonts w:ascii="Calibri" w:eastAsia="Calibri" w:hAnsi="Calibri" w:cs="Times New Roman"/>
              </w:rPr>
              <w:t>5</w:t>
            </w:r>
          </w:p>
        </w:tc>
        <w:tc>
          <w:tcPr>
            <w:tcW w:w="718" w:type="dxa"/>
            <w:tcBorders>
              <w:top w:val="nil"/>
              <w:left w:val="nil"/>
              <w:bottom w:val="nil"/>
              <w:right w:val="nil"/>
            </w:tcBorders>
          </w:tcPr>
          <w:p w14:paraId="2D3A7FF6" w14:textId="5069F71F" w:rsidR="00B0257B" w:rsidRPr="009F173A" w:rsidRDefault="00B0257B" w:rsidP="00B0257B">
            <w:pPr>
              <w:jc w:val="center"/>
              <w:rPr>
                <w:rFonts w:ascii="Calibri" w:eastAsia="Calibri" w:hAnsi="Calibri" w:cs="Times New Roman"/>
              </w:rPr>
            </w:pPr>
            <w:r w:rsidRPr="009F173A">
              <w:rPr>
                <w:rFonts w:cstheme="minorHAnsi"/>
                <w:bCs/>
              </w:rPr>
              <w:t>7.86</w:t>
            </w:r>
          </w:p>
        </w:tc>
        <w:tc>
          <w:tcPr>
            <w:tcW w:w="704" w:type="dxa"/>
            <w:tcBorders>
              <w:top w:val="nil"/>
              <w:left w:val="nil"/>
              <w:bottom w:val="nil"/>
              <w:right w:val="nil"/>
            </w:tcBorders>
            <w:vAlign w:val="bottom"/>
          </w:tcPr>
          <w:p w14:paraId="723DC45C" w14:textId="066008B3" w:rsidR="00B0257B" w:rsidRPr="009F173A" w:rsidRDefault="00B0257B" w:rsidP="00CC70E5">
            <w:pPr>
              <w:spacing w:after="160" w:line="259" w:lineRule="auto"/>
              <w:rPr>
                <w:rFonts w:ascii="Calibri" w:eastAsia="Calibri" w:hAnsi="Calibri" w:cs="Times New Roman"/>
              </w:rPr>
            </w:pPr>
            <w:r w:rsidRPr="009F173A">
              <w:rPr>
                <w:rFonts w:ascii="Calibri" w:eastAsia="Calibri" w:hAnsi="Calibri" w:cs="Times New Roman"/>
              </w:rPr>
              <w:t>0.65</w:t>
            </w:r>
          </w:p>
        </w:tc>
        <w:tc>
          <w:tcPr>
            <w:tcW w:w="850" w:type="dxa"/>
            <w:tcBorders>
              <w:top w:val="nil"/>
              <w:left w:val="nil"/>
              <w:bottom w:val="nil"/>
              <w:right w:val="nil"/>
            </w:tcBorders>
          </w:tcPr>
          <w:p w14:paraId="46A2EB6B" w14:textId="32D5AA61" w:rsidR="00B0257B" w:rsidRPr="009F173A" w:rsidRDefault="0097799F" w:rsidP="00CC70E5">
            <w:pPr>
              <w:spacing w:after="160" w:line="259" w:lineRule="auto"/>
              <w:rPr>
                <w:rFonts w:ascii="Calibri" w:eastAsia="Calibri" w:hAnsi="Calibri" w:cs="Times New Roman"/>
              </w:rPr>
            </w:pPr>
            <w:r w:rsidRPr="009F173A">
              <w:rPr>
                <w:rFonts w:ascii="Calibri" w:eastAsia="Calibri" w:hAnsi="Calibri" w:cs="Times New Roman"/>
              </w:rPr>
              <w:t>-</w:t>
            </w:r>
          </w:p>
        </w:tc>
        <w:tc>
          <w:tcPr>
            <w:tcW w:w="709" w:type="dxa"/>
            <w:tcBorders>
              <w:top w:val="nil"/>
              <w:left w:val="nil"/>
              <w:bottom w:val="nil"/>
              <w:right w:val="nil"/>
            </w:tcBorders>
            <w:vAlign w:val="bottom"/>
          </w:tcPr>
          <w:p w14:paraId="732E3438" w14:textId="77777777" w:rsidR="00B0257B" w:rsidRPr="009F173A" w:rsidRDefault="00B0257B" w:rsidP="00CC70E5">
            <w:pPr>
              <w:spacing w:after="160" w:line="259" w:lineRule="auto"/>
              <w:rPr>
                <w:rFonts w:ascii="Calibri" w:eastAsia="Calibri" w:hAnsi="Calibri" w:cs="Times New Roman"/>
              </w:rPr>
            </w:pPr>
            <w:r w:rsidRPr="009F173A">
              <w:rPr>
                <w:rFonts w:ascii="Calibri" w:eastAsia="Calibri" w:hAnsi="Calibri" w:cs="Times New Roman"/>
              </w:rPr>
              <w:t>0.89</w:t>
            </w:r>
          </w:p>
        </w:tc>
        <w:tc>
          <w:tcPr>
            <w:tcW w:w="1701" w:type="dxa"/>
            <w:tcBorders>
              <w:top w:val="nil"/>
              <w:left w:val="nil"/>
              <w:bottom w:val="nil"/>
              <w:right w:val="nil"/>
            </w:tcBorders>
          </w:tcPr>
          <w:p w14:paraId="4E964C11" w14:textId="77777777" w:rsidR="00B0257B" w:rsidRPr="009F173A" w:rsidRDefault="00B0257B" w:rsidP="00CC70E5">
            <w:pPr>
              <w:rPr>
                <w:rFonts w:ascii="Calibri" w:eastAsia="Calibri" w:hAnsi="Calibri" w:cs="Times New Roman"/>
              </w:rPr>
            </w:pPr>
            <w:r w:rsidRPr="009F173A">
              <w:rPr>
                <w:rFonts w:ascii="Calibri" w:eastAsia="Calibri" w:hAnsi="Calibri" w:cs="Times New Roman"/>
              </w:rPr>
              <w:t>0.93 (0.78-0.98)</w:t>
            </w:r>
          </w:p>
        </w:tc>
      </w:tr>
      <w:tr w:rsidR="009F173A" w:rsidRPr="009F173A" w14:paraId="3B21077D" w14:textId="77777777" w:rsidTr="00B0257B">
        <w:trPr>
          <w:jc w:val="center"/>
        </w:trPr>
        <w:tc>
          <w:tcPr>
            <w:tcW w:w="2410" w:type="dxa"/>
            <w:tcBorders>
              <w:top w:val="nil"/>
              <w:left w:val="nil"/>
              <w:bottom w:val="nil"/>
              <w:right w:val="nil"/>
            </w:tcBorders>
          </w:tcPr>
          <w:p w14:paraId="18CA0F67" w14:textId="77777777" w:rsidR="00B0257B" w:rsidRPr="009F173A" w:rsidRDefault="00B0257B" w:rsidP="00CC70E5">
            <w:pPr>
              <w:spacing w:after="160" w:line="259" w:lineRule="auto"/>
              <w:rPr>
                <w:rFonts w:ascii="Calibri" w:eastAsia="Calibri" w:hAnsi="Calibri" w:cs="Times New Roman"/>
              </w:rPr>
            </w:pPr>
            <w:r w:rsidRPr="009F173A">
              <w:rPr>
                <w:rFonts w:ascii="Calibri" w:eastAsia="Calibri" w:hAnsi="Calibri" w:cs="Times New Roman"/>
              </w:rPr>
              <w:t>%FM</w:t>
            </w:r>
            <w:r w:rsidRPr="009F173A">
              <w:rPr>
                <w:rFonts w:ascii="Calibri" w:eastAsia="Calibri" w:hAnsi="Calibri" w:cs="Times New Roman"/>
                <w:vertAlign w:val="subscript"/>
              </w:rPr>
              <w:t>ADP</w:t>
            </w:r>
          </w:p>
        </w:tc>
        <w:tc>
          <w:tcPr>
            <w:tcW w:w="933" w:type="dxa"/>
            <w:tcBorders>
              <w:top w:val="nil"/>
              <w:left w:val="nil"/>
              <w:bottom w:val="nil"/>
              <w:right w:val="nil"/>
            </w:tcBorders>
            <w:vAlign w:val="bottom"/>
          </w:tcPr>
          <w:p w14:paraId="1ABD93CC" w14:textId="661786C5" w:rsidR="00B0257B" w:rsidRPr="009F173A" w:rsidRDefault="00B0257B" w:rsidP="00B0257B">
            <w:pPr>
              <w:spacing w:after="160" w:line="259" w:lineRule="auto"/>
              <w:jc w:val="center"/>
              <w:rPr>
                <w:rFonts w:ascii="Calibri" w:eastAsia="Calibri" w:hAnsi="Calibri" w:cs="Times New Roman"/>
              </w:rPr>
            </w:pPr>
            <w:r w:rsidRPr="009F173A">
              <w:rPr>
                <w:rFonts w:ascii="Calibri" w:eastAsia="Calibri" w:hAnsi="Calibri" w:cs="Times New Roman"/>
              </w:rPr>
              <w:t>13.</w:t>
            </w:r>
            <w:r w:rsidR="00975251" w:rsidRPr="009F173A">
              <w:rPr>
                <w:rFonts w:ascii="Calibri" w:eastAsia="Calibri" w:hAnsi="Calibri" w:cs="Times New Roman"/>
              </w:rPr>
              <w:t>3</w:t>
            </w:r>
          </w:p>
        </w:tc>
        <w:tc>
          <w:tcPr>
            <w:tcW w:w="846" w:type="dxa"/>
            <w:tcBorders>
              <w:top w:val="nil"/>
              <w:left w:val="nil"/>
              <w:bottom w:val="nil"/>
              <w:right w:val="nil"/>
            </w:tcBorders>
          </w:tcPr>
          <w:p w14:paraId="1EF6F488" w14:textId="2E2775A4" w:rsidR="00B0257B" w:rsidRPr="009F173A" w:rsidRDefault="00B0257B" w:rsidP="00B0257B">
            <w:pPr>
              <w:jc w:val="center"/>
              <w:rPr>
                <w:rFonts w:ascii="Calibri" w:eastAsia="Calibri" w:hAnsi="Calibri" w:cs="Times New Roman"/>
              </w:rPr>
            </w:pPr>
            <w:r w:rsidRPr="009F173A">
              <w:rPr>
                <w:rFonts w:cstheme="minorHAnsi"/>
                <w:bCs/>
              </w:rPr>
              <w:t>9.16</w:t>
            </w:r>
          </w:p>
        </w:tc>
        <w:tc>
          <w:tcPr>
            <w:tcW w:w="910" w:type="dxa"/>
            <w:tcBorders>
              <w:top w:val="nil"/>
              <w:left w:val="nil"/>
              <w:bottom w:val="nil"/>
              <w:right w:val="nil"/>
            </w:tcBorders>
            <w:vAlign w:val="bottom"/>
          </w:tcPr>
          <w:p w14:paraId="75DBC77B" w14:textId="2F9A3259" w:rsidR="00B0257B" w:rsidRPr="009F173A" w:rsidRDefault="00B0257B" w:rsidP="00B0257B">
            <w:pPr>
              <w:spacing w:after="160" w:line="259" w:lineRule="auto"/>
              <w:jc w:val="center"/>
              <w:rPr>
                <w:rFonts w:ascii="Calibri" w:eastAsia="Calibri" w:hAnsi="Calibri" w:cs="Times New Roman"/>
              </w:rPr>
            </w:pPr>
            <w:r w:rsidRPr="009F173A">
              <w:rPr>
                <w:rFonts w:ascii="Calibri" w:eastAsia="Calibri" w:hAnsi="Calibri" w:cs="Times New Roman"/>
              </w:rPr>
              <w:t>14.1</w:t>
            </w:r>
          </w:p>
        </w:tc>
        <w:tc>
          <w:tcPr>
            <w:tcW w:w="718" w:type="dxa"/>
            <w:tcBorders>
              <w:top w:val="nil"/>
              <w:left w:val="nil"/>
              <w:bottom w:val="nil"/>
              <w:right w:val="nil"/>
            </w:tcBorders>
          </w:tcPr>
          <w:p w14:paraId="519FEDAF" w14:textId="06445ABD" w:rsidR="00B0257B" w:rsidRPr="009F173A" w:rsidRDefault="00B0257B" w:rsidP="00B0257B">
            <w:pPr>
              <w:jc w:val="center"/>
              <w:rPr>
                <w:rFonts w:ascii="Calibri" w:eastAsia="Calibri" w:hAnsi="Calibri" w:cs="Times New Roman"/>
              </w:rPr>
            </w:pPr>
            <w:r w:rsidRPr="009F173A">
              <w:rPr>
                <w:rFonts w:cstheme="minorHAnsi"/>
                <w:bCs/>
              </w:rPr>
              <w:t>8.17</w:t>
            </w:r>
          </w:p>
        </w:tc>
        <w:tc>
          <w:tcPr>
            <w:tcW w:w="704" w:type="dxa"/>
            <w:tcBorders>
              <w:top w:val="nil"/>
              <w:left w:val="nil"/>
              <w:bottom w:val="nil"/>
              <w:right w:val="nil"/>
            </w:tcBorders>
            <w:vAlign w:val="bottom"/>
          </w:tcPr>
          <w:p w14:paraId="0B80B9BD" w14:textId="384BDE67" w:rsidR="00B0257B" w:rsidRPr="009F173A" w:rsidRDefault="00B0257B" w:rsidP="00CC70E5">
            <w:pPr>
              <w:spacing w:after="160" w:line="259" w:lineRule="auto"/>
              <w:rPr>
                <w:rFonts w:ascii="Calibri" w:eastAsia="Calibri" w:hAnsi="Calibri" w:cs="Times New Roman"/>
              </w:rPr>
            </w:pPr>
            <w:r w:rsidRPr="009F173A">
              <w:rPr>
                <w:rFonts w:ascii="Calibri" w:eastAsia="Calibri" w:hAnsi="Calibri" w:cs="Times New Roman"/>
              </w:rPr>
              <w:t>0.55</w:t>
            </w:r>
          </w:p>
        </w:tc>
        <w:tc>
          <w:tcPr>
            <w:tcW w:w="850" w:type="dxa"/>
            <w:tcBorders>
              <w:top w:val="nil"/>
              <w:left w:val="nil"/>
              <w:bottom w:val="nil"/>
              <w:right w:val="nil"/>
            </w:tcBorders>
          </w:tcPr>
          <w:p w14:paraId="64624B78" w14:textId="49F61A23" w:rsidR="00B0257B" w:rsidRPr="009F173A" w:rsidRDefault="0097799F" w:rsidP="00CC70E5">
            <w:pPr>
              <w:spacing w:after="160" w:line="259" w:lineRule="auto"/>
              <w:rPr>
                <w:rFonts w:ascii="Calibri" w:eastAsia="Calibri" w:hAnsi="Calibri" w:cs="Times New Roman"/>
              </w:rPr>
            </w:pPr>
            <w:r w:rsidRPr="009F173A">
              <w:rPr>
                <w:rFonts w:ascii="Calibri" w:eastAsia="Calibri" w:hAnsi="Calibri" w:cs="Times New Roman"/>
              </w:rPr>
              <w:t>-</w:t>
            </w:r>
          </w:p>
        </w:tc>
        <w:tc>
          <w:tcPr>
            <w:tcW w:w="709" w:type="dxa"/>
            <w:tcBorders>
              <w:top w:val="nil"/>
              <w:left w:val="nil"/>
              <w:bottom w:val="nil"/>
              <w:right w:val="nil"/>
            </w:tcBorders>
            <w:vAlign w:val="bottom"/>
          </w:tcPr>
          <w:p w14:paraId="29F62332" w14:textId="77777777" w:rsidR="00B0257B" w:rsidRPr="009F173A" w:rsidRDefault="00B0257B" w:rsidP="00CC70E5">
            <w:pPr>
              <w:spacing w:after="160" w:line="259" w:lineRule="auto"/>
              <w:rPr>
                <w:rFonts w:ascii="Calibri" w:eastAsia="Calibri" w:hAnsi="Calibri" w:cs="Times New Roman"/>
              </w:rPr>
            </w:pPr>
            <w:r w:rsidRPr="009F173A">
              <w:rPr>
                <w:rFonts w:ascii="Calibri" w:eastAsia="Calibri" w:hAnsi="Calibri" w:cs="Times New Roman"/>
              </w:rPr>
              <w:t>0.92</w:t>
            </w:r>
          </w:p>
        </w:tc>
        <w:tc>
          <w:tcPr>
            <w:tcW w:w="1701" w:type="dxa"/>
            <w:tcBorders>
              <w:top w:val="nil"/>
              <w:left w:val="nil"/>
              <w:bottom w:val="nil"/>
              <w:right w:val="nil"/>
            </w:tcBorders>
          </w:tcPr>
          <w:p w14:paraId="62B0FE84" w14:textId="77777777" w:rsidR="00B0257B" w:rsidRPr="009F173A" w:rsidRDefault="00B0257B" w:rsidP="00CC70E5">
            <w:pPr>
              <w:rPr>
                <w:rFonts w:ascii="Calibri" w:eastAsia="Calibri" w:hAnsi="Calibri" w:cs="Times New Roman"/>
              </w:rPr>
            </w:pPr>
            <w:r w:rsidRPr="009F173A">
              <w:rPr>
                <w:rFonts w:ascii="Calibri" w:eastAsia="Calibri" w:hAnsi="Calibri" w:cs="Times New Roman"/>
              </w:rPr>
              <w:t>0.95 (0.85-0.98)</w:t>
            </w:r>
          </w:p>
        </w:tc>
      </w:tr>
      <w:tr w:rsidR="009F173A" w:rsidRPr="009F173A" w14:paraId="3BABD156" w14:textId="77777777" w:rsidTr="00B0257B">
        <w:trPr>
          <w:jc w:val="center"/>
        </w:trPr>
        <w:tc>
          <w:tcPr>
            <w:tcW w:w="2410" w:type="dxa"/>
            <w:tcBorders>
              <w:top w:val="nil"/>
              <w:left w:val="nil"/>
              <w:bottom w:val="nil"/>
              <w:right w:val="nil"/>
            </w:tcBorders>
          </w:tcPr>
          <w:p w14:paraId="7D2911B6" w14:textId="77777777" w:rsidR="00B0257B" w:rsidRPr="009F173A" w:rsidRDefault="00B0257B" w:rsidP="00CC70E5">
            <w:pPr>
              <w:spacing w:line="360" w:lineRule="auto"/>
              <w:rPr>
                <w:rFonts w:ascii="Calibri" w:eastAsia="Calibri" w:hAnsi="Calibri" w:cs="Times New Roman"/>
              </w:rPr>
            </w:pPr>
            <w:r w:rsidRPr="009F173A">
              <w:rPr>
                <w:bCs/>
              </w:rPr>
              <w:t>Resistance (</w:t>
            </w:r>
            <w:bookmarkStart w:id="38" w:name="_Hlk77854328"/>
            <w:r w:rsidRPr="009F173A">
              <w:rPr>
                <w:bCs/>
              </w:rPr>
              <w:t>Ω</w:t>
            </w:r>
            <w:bookmarkEnd w:id="38"/>
            <w:r w:rsidRPr="009F173A">
              <w:rPr>
                <w:bCs/>
              </w:rPr>
              <w:t>)</w:t>
            </w:r>
          </w:p>
        </w:tc>
        <w:tc>
          <w:tcPr>
            <w:tcW w:w="933" w:type="dxa"/>
            <w:tcBorders>
              <w:top w:val="nil"/>
              <w:left w:val="nil"/>
              <w:bottom w:val="nil"/>
              <w:right w:val="nil"/>
            </w:tcBorders>
            <w:vAlign w:val="bottom"/>
          </w:tcPr>
          <w:p w14:paraId="2B996203" w14:textId="5AC0E38C" w:rsidR="00B0257B" w:rsidRPr="009F173A" w:rsidRDefault="00B0257B" w:rsidP="00B0257B">
            <w:pPr>
              <w:spacing w:line="360" w:lineRule="auto"/>
              <w:jc w:val="center"/>
              <w:rPr>
                <w:rFonts w:ascii="Calibri" w:eastAsia="Calibri" w:hAnsi="Calibri" w:cs="Times New Roman"/>
              </w:rPr>
            </w:pPr>
            <w:r w:rsidRPr="009F173A">
              <w:rPr>
                <w:rFonts w:ascii="Calibri" w:eastAsia="Calibri" w:hAnsi="Calibri" w:cs="Times New Roman"/>
              </w:rPr>
              <w:t>6</w:t>
            </w:r>
            <w:r w:rsidR="00975251" w:rsidRPr="009F173A">
              <w:rPr>
                <w:rFonts w:ascii="Calibri" w:eastAsia="Calibri" w:hAnsi="Calibri" w:cs="Times New Roman"/>
              </w:rPr>
              <w:t>70</w:t>
            </w:r>
          </w:p>
        </w:tc>
        <w:tc>
          <w:tcPr>
            <w:tcW w:w="846" w:type="dxa"/>
            <w:tcBorders>
              <w:top w:val="nil"/>
              <w:left w:val="nil"/>
              <w:bottom w:val="nil"/>
              <w:right w:val="nil"/>
            </w:tcBorders>
          </w:tcPr>
          <w:p w14:paraId="0FFA87D5" w14:textId="3F7FDF22" w:rsidR="00B0257B" w:rsidRPr="009F173A" w:rsidRDefault="00B0257B" w:rsidP="00B0257B">
            <w:pPr>
              <w:spacing w:line="360" w:lineRule="auto"/>
              <w:jc w:val="center"/>
              <w:rPr>
                <w:rFonts w:ascii="Calibri" w:eastAsia="Calibri" w:hAnsi="Calibri" w:cs="Times New Roman"/>
              </w:rPr>
            </w:pPr>
            <w:r w:rsidRPr="009F173A">
              <w:rPr>
                <w:rFonts w:cstheme="minorHAnsi"/>
                <w:bCs/>
              </w:rPr>
              <w:t>83.</w:t>
            </w:r>
            <w:r w:rsidR="00975251" w:rsidRPr="009F173A">
              <w:rPr>
                <w:rFonts w:cstheme="minorHAnsi"/>
                <w:bCs/>
              </w:rPr>
              <w:t>3</w:t>
            </w:r>
          </w:p>
        </w:tc>
        <w:tc>
          <w:tcPr>
            <w:tcW w:w="910" w:type="dxa"/>
            <w:tcBorders>
              <w:top w:val="nil"/>
              <w:left w:val="nil"/>
              <w:bottom w:val="nil"/>
              <w:right w:val="nil"/>
            </w:tcBorders>
            <w:vAlign w:val="bottom"/>
          </w:tcPr>
          <w:p w14:paraId="3651E056" w14:textId="049AC709" w:rsidR="00B0257B" w:rsidRPr="009F173A" w:rsidRDefault="00B0257B" w:rsidP="00B0257B">
            <w:pPr>
              <w:spacing w:line="360" w:lineRule="auto"/>
              <w:jc w:val="center"/>
              <w:rPr>
                <w:rFonts w:ascii="Calibri" w:eastAsia="Calibri" w:hAnsi="Calibri" w:cs="Times New Roman"/>
              </w:rPr>
            </w:pPr>
            <w:r w:rsidRPr="009F173A">
              <w:rPr>
                <w:rFonts w:ascii="Calibri" w:eastAsia="Calibri" w:hAnsi="Calibri" w:cs="Times New Roman"/>
              </w:rPr>
              <w:t>68</w:t>
            </w:r>
            <w:r w:rsidR="00975251" w:rsidRPr="009F173A">
              <w:rPr>
                <w:rFonts w:ascii="Calibri" w:eastAsia="Calibri" w:hAnsi="Calibri" w:cs="Times New Roman"/>
              </w:rPr>
              <w:t>5</w:t>
            </w:r>
          </w:p>
        </w:tc>
        <w:tc>
          <w:tcPr>
            <w:tcW w:w="718" w:type="dxa"/>
            <w:tcBorders>
              <w:top w:val="nil"/>
              <w:left w:val="nil"/>
              <w:bottom w:val="nil"/>
              <w:right w:val="nil"/>
            </w:tcBorders>
          </w:tcPr>
          <w:p w14:paraId="408271FE" w14:textId="40D25A98" w:rsidR="00B0257B" w:rsidRPr="009F173A" w:rsidRDefault="00B0257B" w:rsidP="00B0257B">
            <w:pPr>
              <w:spacing w:line="360" w:lineRule="auto"/>
              <w:jc w:val="center"/>
              <w:rPr>
                <w:rFonts w:ascii="Calibri" w:eastAsia="Calibri" w:hAnsi="Calibri" w:cs="Times New Roman"/>
              </w:rPr>
            </w:pPr>
            <w:r w:rsidRPr="009F173A">
              <w:rPr>
                <w:rFonts w:cstheme="minorHAnsi"/>
                <w:bCs/>
              </w:rPr>
              <w:t>71.3</w:t>
            </w:r>
          </w:p>
        </w:tc>
        <w:tc>
          <w:tcPr>
            <w:tcW w:w="704" w:type="dxa"/>
            <w:tcBorders>
              <w:top w:val="nil"/>
              <w:left w:val="nil"/>
              <w:bottom w:val="nil"/>
              <w:right w:val="nil"/>
            </w:tcBorders>
            <w:vAlign w:val="bottom"/>
          </w:tcPr>
          <w:p w14:paraId="7E181583" w14:textId="7F6E2B5C" w:rsidR="00B0257B" w:rsidRPr="009F173A" w:rsidRDefault="00B0257B" w:rsidP="00CC70E5">
            <w:pPr>
              <w:spacing w:line="360" w:lineRule="auto"/>
              <w:rPr>
                <w:rFonts w:ascii="Calibri" w:eastAsia="Calibri" w:hAnsi="Calibri" w:cs="Times New Roman"/>
              </w:rPr>
            </w:pPr>
            <w:r w:rsidRPr="009F173A">
              <w:rPr>
                <w:rFonts w:ascii="Calibri" w:eastAsia="Calibri" w:hAnsi="Calibri" w:cs="Times New Roman"/>
              </w:rPr>
              <w:t>5.72</w:t>
            </w:r>
          </w:p>
        </w:tc>
        <w:tc>
          <w:tcPr>
            <w:tcW w:w="850" w:type="dxa"/>
            <w:tcBorders>
              <w:top w:val="nil"/>
              <w:left w:val="nil"/>
              <w:bottom w:val="nil"/>
              <w:right w:val="nil"/>
            </w:tcBorders>
          </w:tcPr>
          <w:p w14:paraId="7CFE2D5C" w14:textId="77777777" w:rsidR="00B0257B" w:rsidRPr="009F173A" w:rsidRDefault="00B0257B" w:rsidP="00CC70E5">
            <w:pPr>
              <w:spacing w:line="360" w:lineRule="auto"/>
              <w:rPr>
                <w:rFonts w:ascii="Calibri" w:eastAsia="Calibri" w:hAnsi="Calibri" w:cs="Times New Roman"/>
              </w:rPr>
            </w:pPr>
            <w:r w:rsidRPr="009F173A">
              <w:rPr>
                <w:rFonts w:ascii="Calibri" w:eastAsia="Calibri" w:hAnsi="Calibri" w:cs="Times New Roman"/>
              </w:rPr>
              <w:t>1.63</w:t>
            </w:r>
          </w:p>
        </w:tc>
        <w:tc>
          <w:tcPr>
            <w:tcW w:w="709" w:type="dxa"/>
            <w:tcBorders>
              <w:top w:val="nil"/>
              <w:left w:val="nil"/>
              <w:bottom w:val="nil"/>
              <w:right w:val="nil"/>
            </w:tcBorders>
            <w:vAlign w:val="bottom"/>
          </w:tcPr>
          <w:p w14:paraId="3E1F1C7B" w14:textId="77777777" w:rsidR="00B0257B" w:rsidRPr="009F173A" w:rsidRDefault="00B0257B" w:rsidP="00CC70E5">
            <w:pPr>
              <w:spacing w:line="360" w:lineRule="auto"/>
              <w:rPr>
                <w:rFonts w:ascii="Calibri" w:eastAsia="Calibri" w:hAnsi="Calibri" w:cs="Times New Roman"/>
              </w:rPr>
            </w:pPr>
            <w:r w:rsidRPr="009F173A">
              <w:rPr>
                <w:rFonts w:ascii="Calibri" w:eastAsia="Calibri" w:hAnsi="Calibri" w:cs="Times New Roman"/>
              </w:rPr>
              <w:t>0.90</w:t>
            </w:r>
          </w:p>
        </w:tc>
        <w:tc>
          <w:tcPr>
            <w:tcW w:w="1701" w:type="dxa"/>
            <w:tcBorders>
              <w:top w:val="nil"/>
              <w:left w:val="nil"/>
              <w:bottom w:val="nil"/>
              <w:right w:val="nil"/>
            </w:tcBorders>
          </w:tcPr>
          <w:p w14:paraId="4A94707A" w14:textId="77777777" w:rsidR="00B0257B" w:rsidRPr="009F173A" w:rsidRDefault="00B0257B" w:rsidP="00CC70E5">
            <w:pPr>
              <w:spacing w:line="360" w:lineRule="auto"/>
              <w:rPr>
                <w:rFonts w:ascii="Calibri" w:eastAsia="Calibri" w:hAnsi="Calibri" w:cs="Times New Roman"/>
              </w:rPr>
            </w:pPr>
            <w:r w:rsidRPr="009F173A">
              <w:rPr>
                <w:rFonts w:ascii="Calibri" w:eastAsia="Calibri" w:hAnsi="Calibri" w:cs="Times New Roman"/>
              </w:rPr>
              <w:t>0.95 (0.85-0.98)</w:t>
            </w:r>
          </w:p>
        </w:tc>
      </w:tr>
      <w:tr w:rsidR="009F173A" w:rsidRPr="009F173A" w14:paraId="69B5682C" w14:textId="77777777" w:rsidTr="00B0257B">
        <w:trPr>
          <w:jc w:val="center"/>
        </w:trPr>
        <w:tc>
          <w:tcPr>
            <w:tcW w:w="2410" w:type="dxa"/>
            <w:tcBorders>
              <w:top w:val="nil"/>
              <w:left w:val="nil"/>
              <w:bottom w:val="single" w:sz="4" w:space="0" w:color="auto"/>
              <w:right w:val="nil"/>
            </w:tcBorders>
          </w:tcPr>
          <w:p w14:paraId="498AA1FD" w14:textId="77777777" w:rsidR="00B0257B" w:rsidRPr="009F173A" w:rsidRDefault="00B0257B" w:rsidP="00CC70E5">
            <w:pPr>
              <w:spacing w:line="360" w:lineRule="auto"/>
              <w:rPr>
                <w:rFonts w:ascii="Calibri" w:eastAsia="Calibri" w:hAnsi="Calibri" w:cs="Times New Roman"/>
              </w:rPr>
            </w:pPr>
            <w:r w:rsidRPr="009F173A">
              <w:rPr>
                <w:bCs/>
              </w:rPr>
              <w:t>Raw body volume (m</w:t>
            </w:r>
            <w:r w:rsidRPr="009F173A">
              <w:rPr>
                <w:bCs/>
                <w:vertAlign w:val="superscript"/>
              </w:rPr>
              <w:t>3</w:t>
            </w:r>
            <w:r w:rsidRPr="009F173A">
              <w:rPr>
                <w:bCs/>
              </w:rPr>
              <w:t>)</w:t>
            </w:r>
          </w:p>
        </w:tc>
        <w:tc>
          <w:tcPr>
            <w:tcW w:w="933" w:type="dxa"/>
            <w:tcBorders>
              <w:top w:val="nil"/>
              <w:left w:val="nil"/>
              <w:bottom w:val="single" w:sz="4" w:space="0" w:color="auto"/>
              <w:right w:val="nil"/>
            </w:tcBorders>
            <w:vAlign w:val="bottom"/>
          </w:tcPr>
          <w:p w14:paraId="66754744" w14:textId="3A876346" w:rsidR="00B0257B" w:rsidRPr="009F173A" w:rsidRDefault="00B0257B" w:rsidP="00B0257B">
            <w:pPr>
              <w:spacing w:line="360" w:lineRule="auto"/>
              <w:jc w:val="center"/>
              <w:rPr>
                <w:rFonts w:ascii="Calibri" w:eastAsia="Calibri" w:hAnsi="Calibri" w:cs="Times New Roman"/>
              </w:rPr>
            </w:pPr>
            <w:r w:rsidRPr="009F173A">
              <w:rPr>
                <w:rFonts w:ascii="Calibri" w:eastAsia="Calibri" w:hAnsi="Calibri" w:cs="Times New Roman"/>
              </w:rPr>
              <w:t>30.</w:t>
            </w:r>
            <w:r w:rsidR="00975251" w:rsidRPr="009F173A">
              <w:rPr>
                <w:rFonts w:ascii="Calibri" w:eastAsia="Calibri" w:hAnsi="Calibri" w:cs="Times New Roman"/>
              </w:rPr>
              <w:t>7</w:t>
            </w:r>
          </w:p>
        </w:tc>
        <w:tc>
          <w:tcPr>
            <w:tcW w:w="846" w:type="dxa"/>
            <w:tcBorders>
              <w:top w:val="nil"/>
              <w:left w:val="nil"/>
              <w:bottom w:val="single" w:sz="4" w:space="0" w:color="auto"/>
              <w:right w:val="nil"/>
            </w:tcBorders>
          </w:tcPr>
          <w:p w14:paraId="56D3E119" w14:textId="2F18FC27" w:rsidR="00B0257B" w:rsidRPr="009F173A" w:rsidRDefault="00B0257B" w:rsidP="00B0257B">
            <w:pPr>
              <w:spacing w:line="360" w:lineRule="auto"/>
              <w:jc w:val="center"/>
              <w:rPr>
                <w:rFonts w:ascii="Calibri" w:eastAsia="Calibri" w:hAnsi="Calibri" w:cs="Times New Roman"/>
              </w:rPr>
            </w:pPr>
            <w:r w:rsidRPr="009F173A">
              <w:rPr>
                <w:rFonts w:cstheme="minorHAnsi"/>
                <w:bCs/>
              </w:rPr>
              <w:t>10.3</w:t>
            </w:r>
          </w:p>
        </w:tc>
        <w:tc>
          <w:tcPr>
            <w:tcW w:w="910" w:type="dxa"/>
            <w:tcBorders>
              <w:top w:val="nil"/>
              <w:left w:val="nil"/>
              <w:bottom w:val="single" w:sz="4" w:space="0" w:color="auto"/>
              <w:right w:val="nil"/>
            </w:tcBorders>
            <w:vAlign w:val="bottom"/>
          </w:tcPr>
          <w:p w14:paraId="3C3BEC2C" w14:textId="609A4C7C" w:rsidR="00B0257B" w:rsidRPr="009F173A" w:rsidRDefault="00B0257B" w:rsidP="00B0257B">
            <w:pPr>
              <w:spacing w:line="360" w:lineRule="auto"/>
              <w:jc w:val="center"/>
              <w:rPr>
                <w:rFonts w:ascii="Calibri" w:eastAsia="Calibri" w:hAnsi="Calibri" w:cs="Times New Roman"/>
              </w:rPr>
            </w:pPr>
            <w:r w:rsidRPr="009F173A">
              <w:rPr>
                <w:rFonts w:ascii="Calibri" w:eastAsia="Calibri" w:hAnsi="Calibri" w:cs="Times New Roman"/>
              </w:rPr>
              <w:t>30.</w:t>
            </w:r>
            <w:r w:rsidR="00975251" w:rsidRPr="009F173A">
              <w:rPr>
                <w:rFonts w:ascii="Calibri" w:eastAsia="Calibri" w:hAnsi="Calibri" w:cs="Times New Roman"/>
              </w:rPr>
              <w:t>8</w:t>
            </w:r>
          </w:p>
        </w:tc>
        <w:tc>
          <w:tcPr>
            <w:tcW w:w="718" w:type="dxa"/>
            <w:tcBorders>
              <w:top w:val="nil"/>
              <w:left w:val="nil"/>
              <w:bottom w:val="single" w:sz="4" w:space="0" w:color="auto"/>
              <w:right w:val="nil"/>
            </w:tcBorders>
          </w:tcPr>
          <w:p w14:paraId="4B3886D5" w14:textId="1C3CFDF1" w:rsidR="00B0257B" w:rsidRPr="009F173A" w:rsidRDefault="00B0257B" w:rsidP="00B0257B">
            <w:pPr>
              <w:spacing w:line="360" w:lineRule="auto"/>
              <w:jc w:val="center"/>
              <w:rPr>
                <w:rFonts w:ascii="Calibri" w:eastAsia="Calibri" w:hAnsi="Calibri" w:cs="Times New Roman"/>
              </w:rPr>
            </w:pPr>
            <w:r w:rsidRPr="009F173A">
              <w:rPr>
                <w:rFonts w:cstheme="minorHAnsi"/>
                <w:bCs/>
              </w:rPr>
              <w:t>10.2</w:t>
            </w:r>
          </w:p>
        </w:tc>
        <w:tc>
          <w:tcPr>
            <w:tcW w:w="704" w:type="dxa"/>
            <w:tcBorders>
              <w:top w:val="nil"/>
              <w:left w:val="nil"/>
              <w:bottom w:val="single" w:sz="4" w:space="0" w:color="auto"/>
              <w:right w:val="nil"/>
            </w:tcBorders>
            <w:vAlign w:val="bottom"/>
          </w:tcPr>
          <w:p w14:paraId="61E0201C" w14:textId="675BE3A1" w:rsidR="00B0257B" w:rsidRPr="009F173A" w:rsidRDefault="00B0257B" w:rsidP="00CC70E5">
            <w:pPr>
              <w:spacing w:line="360" w:lineRule="auto"/>
              <w:rPr>
                <w:rFonts w:ascii="Calibri" w:eastAsia="Calibri" w:hAnsi="Calibri" w:cs="Times New Roman"/>
              </w:rPr>
            </w:pPr>
            <w:r w:rsidRPr="009F173A">
              <w:rPr>
                <w:rFonts w:ascii="Calibri" w:eastAsia="Calibri" w:hAnsi="Calibri" w:cs="Times New Roman"/>
              </w:rPr>
              <w:t>0.11</w:t>
            </w:r>
          </w:p>
        </w:tc>
        <w:tc>
          <w:tcPr>
            <w:tcW w:w="850" w:type="dxa"/>
            <w:tcBorders>
              <w:top w:val="nil"/>
              <w:left w:val="nil"/>
              <w:bottom w:val="single" w:sz="4" w:space="0" w:color="auto"/>
              <w:right w:val="nil"/>
            </w:tcBorders>
          </w:tcPr>
          <w:p w14:paraId="6E3CC0FD" w14:textId="77777777" w:rsidR="00B0257B" w:rsidRPr="009F173A" w:rsidRDefault="00B0257B" w:rsidP="00CC70E5">
            <w:pPr>
              <w:spacing w:line="360" w:lineRule="auto"/>
              <w:rPr>
                <w:rFonts w:ascii="Calibri" w:eastAsia="Calibri" w:hAnsi="Calibri" w:cs="Times New Roman"/>
              </w:rPr>
            </w:pPr>
            <w:r w:rsidRPr="009F173A">
              <w:rPr>
                <w:rFonts w:ascii="Calibri" w:eastAsia="Calibri" w:hAnsi="Calibri" w:cs="Times New Roman"/>
              </w:rPr>
              <w:t>0.34</w:t>
            </w:r>
          </w:p>
        </w:tc>
        <w:tc>
          <w:tcPr>
            <w:tcW w:w="709" w:type="dxa"/>
            <w:tcBorders>
              <w:top w:val="nil"/>
              <w:left w:val="nil"/>
              <w:bottom w:val="single" w:sz="4" w:space="0" w:color="auto"/>
              <w:right w:val="nil"/>
            </w:tcBorders>
            <w:vAlign w:val="bottom"/>
          </w:tcPr>
          <w:p w14:paraId="2BC49C8D" w14:textId="77777777" w:rsidR="00B0257B" w:rsidRPr="009F173A" w:rsidRDefault="00B0257B" w:rsidP="00CC70E5">
            <w:pPr>
              <w:spacing w:line="360" w:lineRule="auto"/>
              <w:rPr>
                <w:rFonts w:ascii="Calibri" w:eastAsia="Calibri" w:hAnsi="Calibri" w:cs="Times New Roman"/>
              </w:rPr>
            </w:pPr>
            <w:r w:rsidRPr="009F173A">
              <w:rPr>
                <w:rFonts w:ascii="Calibri" w:eastAsia="Calibri" w:hAnsi="Calibri" w:cs="Times New Roman"/>
              </w:rPr>
              <w:t>0.92</w:t>
            </w:r>
          </w:p>
        </w:tc>
        <w:tc>
          <w:tcPr>
            <w:tcW w:w="1701" w:type="dxa"/>
            <w:tcBorders>
              <w:top w:val="nil"/>
              <w:left w:val="nil"/>
              <w:bottom w:val="single" w:sz="4" w:space="0" w:color="auto"/>
              <w:right w:val="nil"/>
            </w:tcBorders>
          </w:tcPr>
          <w:p w14:paraId="30B6A3C4" w14:textId="77777777" w:rsidR="00B0257B" w:rsidRPr="009F173A" w:rsidRDefault="00B0257B" w:rsidP="00CC70E5">
            <w:pPr>
              <w:spacing w:line="360" w:lineRule="auto"/>
              <w:rPr>
                <w:rFonts w:ascii="Calibri" w:eastAsia="Calibri" w:hAnsi="Calibri" w:cs="Times New Roman"/>
              </w:rPr>
            </w:pPr>
            <w:r w:rsidRPr="009F173A">
              <w:rPr>
                <w:rFonts w:ascii="Calibri" w:eastAsia="Calibri" w:hAnsi="Calibri" w:cs="Times New Roman"/>
              </w:rPr>
              <w:t>0.99 (0.98-1.00)</w:t>
            </w:r>
          </w:p>
        </w:tc>
      </w:tr>
    </w:tbl>
    <w:p w14:paraId="6F6A553F" w14:textId="7AD5FAB6" w:rsidR="00451791" w:rsidRPr="009F173A" w:rsidRDefault="00B0257B" w:rsidP="00451791">
      <w:pPr>
        <w:rPr>
          <w:sz w:val="18"/>
          <w:szCs w:val="18"/>
        </w:rPr>
      </w:pPr>
      <w:r w:rsidRPr="009F173A">
        <w:rPr>
          <w:rFonts w:ascii="Calibri" w:eastAsia="Calibri" w:hAnsi="Calibri" w:cs="Times New Roman"/>
          <w:sz w:val="18"/>
          <w:szCs w:val="18"/>
        </w:rPr>
        <w:t>%FM</w:t>
      </w:r>
      <w:r w:rsidRPr="009F173A">
        <w:rPr>
          <w:rFonts w:ascii="Calibri" w:eastAsia="Calibri" w:hAnsi="Calibri" w:cs="Times New Roman"/>
          <w:sz w:val="18"/>
          <w:szCs w:val="18"/>
          <w:vertAlign w:val="subscript"/>
        </w:rPr>
        <w:t>BIA</w:t>
      </w:r>
      <w:r w:rsidRPr="009F173A">
        <w:rPr>
          <w:rFonts w:ascii="Calibri" w:eastAsia="Calibri" w:hAnsi="Calibri" w:cs="Times New Roman"/>
          <w:sz w:val="18"/>
          <w:szCs w:val="18"/>
        </w:rPr>
        <w:t>, percentage body fat measured by bioelectrical impedance analysis</w:t>
      </w:r>
      <w:r w:rsidR="00D95324" w:rsidRPr="009F173A">
        <w:rPr>
          <w:rFonts w:ascii="Calibri" w:eastAsia="Calibri" w:hAnsi="Calibri" w:cs="Times New Roman"/>
          <w:sz w:val="18"/>
          <w:szCs w:val="18"/>
        </w:rPr>
        <w:t>;</w:t>
      </w:r>
      <w:r w:rsidRPr="009F173A">
        <w:rPr>
          <w:rFonts w:ascii="Calibri" w:eastAsia="Calibri" w:hAnsi="Calibri" w:cs="Times New Roman"/>
          <w:sz w:val="18"/>
          <w:szCs w:val="18"/>
        </w:rPr>
        <w:t xml:space="preserve"> %FM</w:t>
      </w:r>
      <w:r w:rsidRPr="009F173A">
        <w:rPr>
          <w:rFonts w:ascii="Calibri" w:eastAsia="Calibri" w:hAnsi="Calibri" w:cs="Times New Roman"/>
          <w:sz w:val="18"/>
          <w:szCs w:val="18"/>
          <w:vertAlign w:val="subscript"/>
        </w:rPr>
        <w:t>ADP</w:t>
      </w:r>
      <w:r w:rsidRPr="009F173A">
        <w:rPr>
          <w:rFonts w:ascii="Calibri" w:eastAsia="Calibri" w:hAnsi="Calibri" w:cs="Times New Roman"/>
          <w:sz w:val="18"/>
          <w:szCs w:val="18"/>
        </w:rPr>
        <w:t>, percentage body fat measured by air displacement plethysmography</w:t>
      </w:r>
      <w:r w:rsidR="00664F6A" w:rsidRPr="009F173A">
        <w:rPr>
          <w:rFonts w:ascii="Calibri" w:eastAsia="Calibri" w:hAnsi="Calibri" w:cs="Times New Roman"/>
          <w:sz w:val="18"/>
          <w:szCs w:val="18"/>
        </w:rPr>
        <w:t>.  TEM% is not presented for %FM since the units are already a percentage</w:t>
      </w:r>
    </w:p>
    <w:p w14:paraId="4A299D4A" w14:textId="5CA7C200" w:rsidR="00451791" w:rsidRPr="009F173A" w:rsidRDefault="00451791" w:rsidP="0079797A">
      <w:pPr>
        <w:spacing w:line="276" w:lineRule="auto"/>
      </w:pPr>
    </w:p>
    <w:p w14:paraId="2ACA514B" w14:textId="2E9D752D" w:rsidR="00270829" w:rsidRPr="009F173A" w:rsidRDefault="00270829" w:rsidP="0079797A">
      <w:pPr>
        <w:spacing w:line="276" w:lineRule="auto"/>
      </w:pPr>
    </w:p>
    <w:p w14:paraId="69A50B66" w14:textId="7BB32FE7" w:rsidR="00270829" w:rsidRPr="009F173A" w:rsidRDefault="00270829" w:rsidP="0079797A">
      <w:pPr>
        <w:spacing w:line="276" w:lineRule="auto"/>
      </w:pPr>
    </w:p>
    <w:p w14:paraId="2441A7AE" w14:textId="05CA944F" w:rsidR="00270829" w:rsidRPr="009F173A" w:rsidRDefault="00270829" w:rsidP="0079797A">
      <w:pPr>
        <w:spacing w:line="276" w:lineRule="auto"/>
      </w:pPr>
    </w:p>
    <w:p w14:paraId="47A842DC" w14:textId="1D19D98D" w:rsidR="00270829" w:rsidRPr="009F173A" w:rsidRDefault="00270829" w:rsidP="0079797A">
      <w:pPr>
        <w:spacing w:line="276" w:lineRule="auto"/>
      </w:pPr>
    </w:p>
    <w:p w14:paraId="03BBB1B8" w14:textId="529D9BDC" w:rsidR="00270829" w:rsidRPr="009F173A" w:rsidRDefault="00270829" w:rsidP="0079797A">
      <w:pPr>
        <w:spacing w:line="276" w:lineRule="auto"/>
      </w:pPr>
    </w:p>
    <w:p w14:paraId="037133B9" w14:textId="28D9E9CB" w:rsidR="00270829" w:rsidRPr="009F173A" w:rsidRDefault="00270829" w:rsidP="0079797A">
      <w:pPr>
        <w:spacing w:line="276" w:lineRule="auto"/>
      </w:pPr>
    </w:p>
    <w:p w14:paraId="4AEAE351" w14:textId="301F7AB6" w:rsidR="00270829" w:rsidRPr="009F173A" w:rsidRDefault="00270829" w:rsidP="0079797A">
      <w:pPr>
        <w:spacing w:line="276" w:lineRule="auto"/>
      </w:pPr>
    </w:p>
    <w:p w14:paraId="42B35B41" w14:textId="75C09CDC" w:rsidR="00270829" w:rsidRPr="009F173A" w:rsidRDefault="00270829" w:rsidP="0079797A">
      <w:pPr>
        <w:spacing w:line="276" w:lineRule="auto"/>
      </w:pPr>
    </w:p>
    <w:p w14:paraId="794E925D" w14:textId="5651F019" w:rsidR="00270829" w:rsidRPr="009F173A" w:rsidRDefault="00270829" w:rsidP="0079797A">
      <w:pPr>
        <w:spacing w:line="276" w:lineRule="auto"/>
      </w:pPr>
    </w:p>
    <w:p w14:paraId="2074C1BB" w14:textId="3A38E3D2" w:rsidR="00270829" w:rsidRPr="009F173A" w:rsidRDefault="00270829" w:rsidP="0079797A">
      <w:pPr>
        <w:spacing w:line="276" w:lineRule="auto"/>
      </w:pPr>
    </w:p>
    <w:p w14:paraId="3388D4AB" w14:textId="235374BF" w:rsidR="00270829" w:rsidRPr="009F173A" w:rsidRDefault="00270829" w:rsidP="0079797A">
      <w:pPr>
        <w:spacing w:line="276" w:lineRule="auto"/>
      </w:pPr>
    </w:p>
    <w:p w14:paraId="53B287F2" w14:textId="0316307A" w:rsidR="00270829" w:rsidRPr="009F173A" w:rsidRDefault="00270829" w:rsidP="0079797A">
      <w:pPr>
        <w:spacing w:line="276" w:lineRule="auto"/>
      </w:pPr>
    </w:p>
    <w:p w14:paraId="054E5878" w14:textId="29A4A427" w:rsidR="00270829" w:rsidRPr="009F173A" w:rsidRDefault="00270829" w:rsidP="0079797A">
      <w:pPr>
        <w:spacing w:line="276" w:lineRule="auto"/>
      </w:pPr>
    </w:p>
    <w:p w14:paraId="2C3A2B40" w14:textId="4E99FE98" w:rsidR="00270829" w:rsidRPr="009F173A" w:rsidRDefault="00270829" w:rsidP="0079797A">
      <w:pPr>
        <w:spacing w:line="276" w:lineRule="auto"/>
      </w:pPr>
    </w:p>
    <w:p w14:paraId="04C8E23B" w14:textId="299B9480" w:rsidR="00270829" w:rsidRPr="009F173A" w:rsidRDefault="00270829" w:rsidP="0079797A">
      <w:pPr>
        <w:spacing w:line="276" w:lineRule="auto"/>
      </w:pPr>
    </w:p>
    <w:p w14:paraId="509CCCA3" w14:textId="2A6376C3" w:rsidR="00270829" w:rsidRPr="009F173A" w:rsidRDefault="00270829" w:rsidP="0079797A">
      <w:pPr>
        <w:spacing w:line="276" w:lineRule="auto"/>
      </w:pPr>
    </w:p>
    <w:p w14:paraId="44CFDFBF" w14:textId="75C7721C" w:rsidR="00270829" w:rsidRPr="009F173A" w:rsidRDefault="00270829" w:rsidP="0079797A">
      <w:pPr>
        <w:spacing w:line="276" w:lineRule="auto"/>
      </w:pPr>
    </w:p>
    <w:p w14:paraId="7F718033" w14:textId="40501140" w:rsidR="00270829" w:rsidRPr="009F173A" w:rsidRDefault="00270829" w:rsidP="0079797A">
      <w:pPr>
        <w:spacing w:line="276" w:lineRule="auto"/>
      </w:pPr>
    </w:p>
    <w:p w14:paraId="5AB28D4E" w14:textId="0EE3C700" w:rsidR="00270829" w:rsidRPr="009F173A" w:rsidRDefault="00270829" w:rsidP="0079797A">
      <w:pPr>
        <w:spacing w:line="276" w:lineRule="auto"/>
      </w:pPr>
    </w:p>
    <w:p w14:paraId="5356006C" w14:textId="059389B5" w:rsidR="00270829" w:rsidRPr="009F173A" w:rsidRDefault="00270829" w:rsidP="0079797A">
      <w:pPr>
        <w:spacing w:line="276" w:lineRule="auto"/>
      </w:pPr>
    </w:p>
    <w:p w14:paraId="0816A053" w14:textId="77777777" w:rsidR="001503D4" w:rsidRPr="009F173A" w:rsidRDefault="001503D4" w:rsidP="0079797A">
      <w:pPr>
        <w:spacing w:line="276" w:lineRule="auto"/>
      </w:pPr>
    </w:p>
    <w:p w14:paraId="33662DD2" w14:textId="119DAEAD" w:rsidR="00270829" w:rsidRPr="009F173A" w:rsidRDefault="00270829" w:rsidP="0079797A">
      <w:pPr>
        <w:spacing w:line="276" w:lineRule="auto"/>
        <w:rPr>
          <w:b/>
        </w:rPr>
      </w:pPr>
      <w:r w:rsidRPr="009F173A">
        <w:rPr>
          <w:b/>
        </w:rPr>
        <w:t>Figure Titles</w:t>
      </w:r>
    </w:p>
    <w:p w14:paraId="6942E1DC" w14:textId="45DFABE8" w:rsidR="00270829" w:rsidRPr="009F173A" w:rsidRDefault="00270829" w:rsidP="0079797A">
      <w:pPr>
        <w:spacing w:line="276" w:lineRule="auto"/>
      </w:pPr>
    </w:p>
    <w:p w14:paraId="6B8205E4" w14:textId="68597173" w:rsidR="00270829" w:rsidRPr="009F173A" w:rsidRDefault="00270829" w:rsidP="001503D4">
      <w:pPr>
        <w:spacing w:after="0" w:line="276" w:lineRule="auto"/>
        <w:rPr>
          <w:bCs/>
        </w:rPr>
      </w:pPr>
      <w:r w:rsidRPr="009F173A">
        <w:rPr>
          <w:bCs/>
        </w:rPr>
        <w:t>Figure 1.  Bland-Altman plot of percentage fat mass (%FM) from ADP and BIA.  Black circles represent the without obese group, and open circles represent the with obesity group. Dashed line is mean difference (bias), solid lines are limits of agreement (</w:t>
      </w:r>
      <w:r w:rsidRPr="009F173A">
        <w:rPr>
          <w:rFonts w:cstheme="minorHAnsi"/>
          <w:bCs/>
        </w:rPr>
        <w:t>± 1.96 SD)</w:t>
      </w:r>
      <w:r w:rsidRPr="009F173A">
        <w:rPr>
          <w:bCs/>
        </w:rPr>
        <w:t>.  Dotted line is the line of best fit (proportional bias).</w:t>
      </w:r>
    </w:p>
    <w:sectPr w:rsidR="00270829" w:rsidRPr="009F173A" w:rsidSect="00EB44A9">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24A4" w16cex:dateUtc="2022-06-08T12:37:00Z"/>
  <w16cex:commentExtensible w16cex:durableId="2649C1AD" w16cex:dateUtc="2022-06-07T11:23:00Z"/>
  <w16cex:commentExtensible w16cex:durableId="2628AC64" w16cex:dateUtc="2022-05-13T09:07:00Z"/>
  <w16cex:commentExtensible w16cex:durableId="2649BF0C" w16cex:dateUtc="2022-06-07T11:11:00Z"/>
  <w16cex:commentExtensible w16cex:durableId="2649BFBD" w16cex:dateUtc="2022-06-07T11:14:00Z"/>
  <w16cex:commentExtensible w16cex:durableId="2649BFF7" w16cex:dateUtc="2022-06-07T11:15:00Z"/>
  <w16cex:commentExtensible w16cex:durableId="2649C014" w16cex:dateUtc="2022-06-07T11:16:00Z"/>
  <w16cex:commentExtensible w16cex:durableId="264B2415" w16cex:dateUtc="2022-06-08T12:35:00Z"/>
  <w16cex:commentExtensible w16cex:durableId="264B2457" w16cex:dateUtc="2022-06-08T12:36:00Z"/>
  <w16cex:commentExtensible w16cex:durableId="264B25D8" w16cex:dateUtc="2022-06-08T12:42:00Z"/>
  <w16cex:commentExtensible w16cex:durableId="2649C044" w16cex:dateUtc="2022-06-07T11:17:00Z"/>
  <w16cex:commentExtensible w16cex:durableId="2649C06A" w16cex:dateUtc="2022-06-07T11:17:00Z"/>
  <w16cex:commentExtensible w16cex:durableId="2649C07C" w16cex:dateUtc="2022-06-07T11:18:00Z"/>
  <w16cex:commentExtensible w16cex:durableId="24B2DBB0" w16cex:dateUtc="2021-08-02T20:01:00Z"/>
  <w16cex:commentExtensible w16cex:durableId="2649C0C5" w16cex:dateUtc="2022-06-07T11:19:00Z"/>
  <w16cex:commentExtensible w16cex:durableId="264B26F0" w16cex:dateUtc="2022-06-08T12:47:00Z"/>
  <w16cex:commentExtensible w16cex:durableId="261659D3" w16cex:dateUtc="2022-04-29T11:34:00Z"/>
  <w16cex:commentExtensible w16cex:durableId="2628A5FA" w16cex:dateUtc="2022-05-13T08:40:00Z"/>
  <w16cex:commentExtensible w16cex:durableId="24B28CAF" w16cex:dateUtc="2021-08-02T14:24:00Z"/>
  <w16cex:commentExtensible w16cex:durableId="2602D312" w16cex:dateUtc="2022-04-14T16:06:00Z"/>
  <w16cex:commentExtensible w16cex:durableId="26144DE9" w16cex:dateUtc="2022-04-27T22:19:00Z"/>
  <w16cex:commentExtensible w16cex:durableId="264B2828" w16cex:dateUtc="2022-06-08T12:52:00Z"/>
  <w16cex:commentExtensible w16cex:durableId="264B28FE" w16cex:dateUtc="2022-06-08T12:56:00Z"/>
  <w16cex:commentExtensible w16cex:durableId="261655BE" w16cex:dateUtc="2022-04-29T11:17:00Z"/>
  <w16cex:commentExtensible w16cex:durableId="2628AA7C" w16cex:dateUtc="2022-05-13T08:59:00Z"/>
  <w16cex:commentExtensible w16cex:durableId="26165938" w16cex:dateUtc="2022-04-29T11:31:00Z"/>
  <w16cex:commentExtensible w16cex:durableId="2628AA01" w16cex:dateUtc="2022-05-13T08:57:00Z"/>
  <w16cex:commentExtensible w16cex:durableId="2649C15D" w16cex:dateUtc="2022-06-07T1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8772D" w14:textId="77777777" w:rsidR="009B4F0F" w:rsidRDefault="009B4F0F" w:rsidP="0085455C">
      <w:pPr>
        <w:spacing w:after="0" w:line="240" w:lineRule="auto"/>
      </w:pPr>
      <w:r>
        <w:separator/>
      </w:r>
    </w:p>
  </w:endnote>
  <w:endnote w:type="continuationSeparator" w:id="0">
    <w:p w14:paraId="30260A9D" w14:textId="77777777" w:rsidR="009B4F0F" w:rsidRDefault="009B4F0F" w:rsidP="0085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BA8D" w14:textId="77777777" w:rsidR="009B4F0F" w:rsidRDefault="009B4F0F" w:rsidP="0085455C">
      <w:pPr>
        <w:spacing w:after="0" w:line="240" w:lineRule="auto"/>
      </w:pPr>
      <w:r>
        <w:separator/>
      </w:r>
    </w:p>
  </w:footnote>
  <w:footnote w:type="continuationSeparator" w:id="0">
    <w:p w14:paraId="63F1B2C1" w14:textId="77777777" w:rsidR="009B4F0F" w:rsidRDefault="009B4F0F" w:rsidP="00854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4771"/>
    <w:multiLevelType w:val="hybridMultilevel"/>
    <w:tmpl w:val="DFF428EE"/>
    <w:lvl w:ilvl="0" w:tplc="18B06B24">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3725B"/>
    <w:multiLevelType w:val="hybridMultilevel"/>
    <w:tmpl w:val="0540A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1C2506"/>
    <w:multiLevelType w:val="hybridMultilevel"/>
    <w:tmpl w:val="B6509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51660"/>
    <w:multiLevelType w:val="hybridMultilevel"/>
    <w:tmpl w:val="0F2E9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05176A"/>
    <w:multiLevelType w:val="hybridMultilevel"/>
    <w:tmpl w:val="1B9237C0"/>
    <w:lvl w:ilvl="0" w:tplc="A882F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7A7999"/>
    <w:multiLevelType w:val="hybridMultilevel"/>
    <w:tmpl w:val="16C4C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B9"/>
    <w:rsid w:val="00001ED0"/>
    <w:rsid w:val="00007D9E"/>
    <w:rsid w:val="000120D1"/>
    <w:rsid w:val="00014BEB"/>
    <w:rsid w:val="000208AC"/>
    <w:rsid w:val="0002098D"/>
    <w:rsid w:val="00021B47"/>
    <w:rsid w:val="00035902"/>
    <w:rsid w:val="0004079C"/>
    <w:rsid w:val="00043D7E"/>
    <w:rsid w:val="00050CED"/>
    <w:rsid w:val="00054563"/>
    <w:rsid w:val="00055667"/>
    <w:rsid w:val="00061EDD"/>
    <w:rsid w:val="00065AA6"/>
    <w:rsid w:val="00067DA8"/>
    <w:rsid w:val="00083696"/>
    <w:rsid w:val="000851D8"/>
    <w:rsid w:val="00085CE8"/>
    <w:rsid w:val="000902C2"/>
    <w:rsid w:val="0009171F"/>
    <w:rsid w:val="00093AEA"/>
    <w:rsid w:val="000A7F4D"/>
    <w:rsid w:val="000B6947"/>
    <w:rsid w:val="000B789F"/>
    <w:rsid w:val="000C0FCC"/>
    <w:rsid w:val="000C4E2D"/>
    <w:rsid w:val="000E18AF"/>
    <w:rsid w:val="000E1E39"/>
    <w:rsid w:val="000E3590"/>
    <w:rsid w:val="000E3C25"/>
    <w:rsid w:val="000F0CAB"/>
    <w:rsid w:val="000F0E5B"/>
    <w:rsid w:val="000F13B9"/>
    <w:rsid w:val="000F3805"/>
    <w:rsid w:val="000F3887"/>
    <w:rsid w:val="000F5A08"/>
    <w:rsid w:val="000F6C66"/>
    <w:rsid w:val="00100CEF"/>
    <w:rsid w:val="00104424"/>
    <w:rsid w:val="001052BF"/>
    <w:rsid w:val="0011022D"/>
    <w:rsid w:val="00111321"/>
    <w:rsid w:val="00122437"/>
    <w:rsid w:val="00122523"/>
    <w:rsid w:val="00125FAB"/>
    <w:rsid w:val="001266D9"/>
    <w:rsid w:val="00127AAF"/>
    <w:rsid w:val="0013203D"/>
    <w:rsid w:val="00137E7B"/>
    <w:rsid w:val="001407BB"/>
    <w:rsid w:val="00143582"/>
    <w:rsid w:val="001453E7"/>
    <w:rsid w:val="00145B1B"/>
    <w:rsid w:val="001503D4"/>
    <w:rsid w:val="001539B8"/>
    <w:rsid w:val="0016091D"/>
    <w:rsid w:val="00164742"/>
    <w:rsid w:val="0016784D"/>
    <w:rsid w:val="00171695"/>
    <w:rsid w:val="00183823"/>
    <w:rsid w:val="00186BF3"/>
    <w:rsid w:val="00187973"/>
    <w:rsid w:val="00193925"/>
    <w:rsid w:val="00195E04"/>
    <w:rsid w:val="001A21B8"/>
    <w:rsid w:val="001A4430"/>
    <w:rsid w:val="001B2FF9"/>
    <w:rsid w:val="001C5722"/>
    <w:rsid w:val="001C6C01"/>
    <w:rsid w:val="001D0643"/>
    <w:rsid w:val="001D0E62"/>
    <w:rsid w:val="001D10A6"/>
    <w:rsid w:val="001D2248"/>
    <w:rsid w:val="001E5CC6"/>
    <w:rsid w:val="001E5F71"/>
    <w:rsid w:val="00201F40"/>
    <w:rsid w:val="002069AF"/>
    <w:rsid w:val="00213FA1"/>
    <w:rsid w:val="002151DF"/>
    <w:rsid w:val="00224344"/>
    <w:rsid w:val="00224891"/>
    <w:rsid w:val="002267DE"/>
    <w:rsid w:val="00233E24"/>
    <w:rsid w:val="00234705"/>
    <w:rsid w:val="00242468"/>
    <w:rsid w:val="002452CD"/>
    <w:rsid w:val="00252C15"/>
    <w:rsid w:val="00253B22"/>
    <w:rsid w:val="00256A6A"/>
    <w:rsid w:val="0026327A"/>
    <w:rsid w:val="00266DD5"/>
    <w:rsid w:val="00270829"/>
    <w:rsid w:val="002803D8"/>
    <w:rsid w:val="00285096"/>
    <w:rsid w:val="002851E1"/>
    <w:rsid w:val="00286D42"/>
    <w:rsid w:val="00294439"/>
    <w:rsid w:val="002947F1"/>
    <w:rsid w:val="00295E54"/>
    <w:rsid w:val="002A09C0"/>
    <w:rsid w:val="002A32DB"/>
    <w:rsid w:val="002A3445"/>
    <w:rsid w:val="002B6840"/>
    <w:rsid w:val="002B771B"/>
    <w:rsid w:val="002B7D94"/>
    <w:rsid w:val="002C5AE4"/>
    <w:rsid w:val="002D3858"/>
    <w:rsid w:val="002D41F1"/>
    <w:rsid w:val="002D47FA"/>
    <w:rsid w:val="002D4819"/>
    <w:rsid w:val="002D5EE6"/>
    <w:rsid w:val="002D7B3C"/>
    <w:rsid w:val="002D7E84"/>
    <w:rsid w:val="002E1883"/>
    <w:rsid w:val="002E722C"/>
    <w:rsid w:val="002F236A"/>
    <w:rsid w:val="0030203C"/>
    <w:rsid w:val="003024F7"/>
    <w:rsid w:val="00303B5E"/>
    <w:rsid w:val="00305E4C"/>
    <w:rsid w:val="00306534"/>
    <w:rsid w:val="0031327B"/>
    <w:rsid w:val="0031730F"/>
    <w:rsid w:val="00321D28"/>
    <w:rsid w:val="003240AA"/>
    <w:rsid w:val="00325552"/>
    <w:rsid w:val="003274F0"/>
    <w:rsid w:val="00334BA7"/>
    <w:rsid w:val="00347D97"/>
    <w:rsid w:val="00351C92"/>
    <w:rsid w:val="0035721A"/>
    <w:rsid w:val="0036192E"/>
    <w:rsid w:val="003625DF"/>
    <w:rsid w:val="003655C8"/>
    <w:rsid w:val="00372C35"/>
    <w:rsid w:val="00372FC0"/>
    <w:rsid w:val="003757B0"/>
    <w:rsid w:val="00380E2D"/>
    <w:rsid w:val="00382D2F"/>
    <w:rsid w:val="00384EBE"/>
    <w:rsid w:val="003872F1"/>
    <w:rsid w:val="00387C4E"/>
    <w:rsid w:val="00392697"/>
    <w:rsid w:val="003A07D2"/>
    <w:rsid w:val="003A13AC"/>
    <w:rsid w:val="003A42AD"/>
    <w:rsid w:val="003A56A0"/>
    <w:rsid w:val="003A6743"/>
    <w:rsid w:val="003B4D14"/>
    <w:rsid w:val="003B4DE0"/>
    <w:rsid w:val="003B71E6"/>
    <w:rsid w:val="003C3B70"/>
    <w:rsid w:val="003C3DBB"/>
    <w:rsid w:val="003C5367"/>
    <w:rsid w:val="003C6F51"/>
    <w:rsid w:val="003D09EA"/>
    <w:rsid w:val="003D13DF"/>
    <w:rsid w:val="003D5877"/>
    <w:rsid w:val="003D6955"/>
    <w:rsid w:val="003E6BD9"/>
    <w:rsid w:val="003F4E2C"/>
    <w:rsid w:val="003F6020"/>
    <w:rsid w:val="003F6444"/>
    <w:rsid w:val="00400748"/>
    <w:rsid w:val="004034BF"/>
    <w:rsid w:val="004037D4"/>
    <w:rsid w:val="00406E60"/>
    <w:rsid w:val="00411253"/>
    <w:rsid w:val="004125B8"/>
    <w:rsid w:val="00412EF4"/>
    <w:rsid w:val="0041419D"/>
    <w:rsid w:val="00416920"/>
    <w:rsid w:val="0042010F"/>
    <w:rsid w:val="00424E0E"/>
    <w:rsid w:val="0042500E"/>
    <w:rsid w:val="00425AEC"/>
    <w:rsid w:val="00430BEF"/>
    <w:rsid w:val="00432DBB"/>
    <w:rsid w:val="00434013"/>
    <w:rsid w:val="00440BBB"/>
    <w:rsid w:val="00447E8E"/>
    <w:rsid w:val="00451791"/>
    <w:rsid w:val="00454002"/>
    <w:rsid w:val="00457FA4"/>
    <w:rsid w:val="00466A4C"/>
    <w:rsid w:val="00466CF8"/>
    <w:rsid w:val="004709AA"/>
    <w:rsid w:val="00471544"/>
    <w:rsid w:val="00474E24"/>
    <w:rsid w:val="00476051"/>
    <w:rsid w:val="00477D94"/>
    <w:rsid w:val="00480EFF"/>
    <w:rsid w:val="004816EB"/>
    <w:rsid w:val="0048284B"/>
    <w:rsid w:val="004832B7"/>
    <w:rsid w:val="00486AC8"/>
    <w:rsid w:val="004871E8"/>
    <w:rsid w:val="00491069"/>
    <w:rsid w:val="00496D56"/>
    <w:rsid w:val="00497374"/>
    <w:rsid w:val="004A148C"/>
    <w:rsid w:val="004A182F"/>
    <w:rsid w:val="004A75D8"/>
    <w:rsid w:val="004A7DF1"/>
    <w:rsid w:val="004B2C06"/>
    <w:rsid w:val="004B4B34"/>
    <w:rsid w:val="004B75AC"/>
    <w:rsid w:val="004C01C8"/>
    <w:rsid w:val="004D44B2"/>
    <w:rsid w:val="004D7088"/>
    <w:rsid w:val="004E5E85"/>
    <w:rsid w:val="004F32AA"/>
    <w:rsid w:val="004F6981"/>
    <w:rsid w:val="00501E4A"/>
    <w:rsid w:val="00525D78"/>
    <w:rsid w:val="005275C3"/>
    <w:rsid w:val="0053324B"/>
    <w:rsid w:val="00537D13"/>
    <w:rsid w:val="00543B64"/>
    <w:rsid w:val="005502CB"/>
    <w:rsid w:val="00551A20"/>
    <w:rsid w:val="00551B2B"/>
    <w:rsid w:val="00551FDD"/>
    <w:rsid w:val="00560096"/>
    <w:rsid w:val="00573705"/>
    <w:rsid w:val="005828C6"/>
    <w:rsid w:val="0058328C"/>
    <w:rsid w:val="0059678C"/>
    <w:rsid w:val="005B223D"/>
    <w:rsid w:val="005B7B6B"/>
    <w:rsid w:val="005C3C05"/>
    <w:rsid w:val="005C5700"/>
    <w:rsid w:val="005C7822"/>
    <w:rsid w:val="005D0786"/>
    <w:rsid w:val="005D5F65"/>
    <w:rsid w:val="005E2976"/>
    <w:rsid w:val="005E4EB9"/>
    <w:rsid w:val="005E52B4"/>
    <w:rsid w:val="005F4839"/>
    <w:rsid w:val="005F63BB"/>
    <w:rsid w:val="005F6AD7"/>
    <w:rsid w:val="00601D65"/>
    <w:rsid w:val="0060217E"/>
    <w:rsid w:val="006122C2"/>
    <w:rsid w:val="00612D5E"/>
    <w:rsid w:val="0061360A"/>
    <w:rsid w:val="006153A5"/>
    <w:rsid w:val="0063217A"/>
    <w:rsid w:val="006328BF"/>
    <w:rsid w:val="00637D67"/>
    <w:rsid w:val="00637F69"/>
    <w:rsid w:val="00647CE9"/>
    <w:rsid w:val="00650FD6"/>
    <w:rsid w:val="00654B83"/>
    <w:rsid w:val="00664158"/>
    <w:rsid w:val="00664F6A"/>
    <w:rsid w:val="00670130"/>
    <w:rsid w:val="00674712"/>
    <w:rsid w:val="00685DC0"/>
    <w:rsid w:val="0069167B"/>
    <w:rsid w:val="006A30DF"/>
    <w:rsid w:val="006A7D83"/>
    <w:rsid w:val="006B2507"/>
    <w:rsid w:val="006B3983"/>
    <w:rsid w:val="006C54DD"/>
    <w:rsid w:val="006D10DE"/>
    <w:rsid w:val="006D36FE"/>
    <w:rsid w:val="006D7246"/>
    <w:rsid w:val="006E4543"/>
    <w:rsid w:val="006E469F"/>
    <w:rsid w:val="006F0758"/>
    <w:rsid w:val="006F5AC1"/>
    <w:rsid w:val="0070388A"/>
    <w:rsid w:val="00704748"/>
    <w:rsid w:val="00704F28"/>
    <w:rsid w:val="00705A01"/>
    <w:rsid w:val="0071474A"/>
    <w:rsid w:val="00727660"/>
    <w:rsid w:val="00731380"/>
    <w:rsid w:val="00731FB9"/>
    <w:rsid w:val="007338B2"/>
    <w:rsid w:val="0073397E"/>
    <w:rsid w:val="00733F97"/>
    <w:rsid w:val="00735AF7"/>
    <w:rsid w:val="0073791D"/>
    <w:rsid w:val="00740731"/>
    <w:rsid w:val="00741ABA"/>
    <w:rsid w:val="007449A7"/>
    <w:rsid w:val="007508E4"/>
    <w:rsid w:val="0075186D"/>
    <w:rsid w:val="0075213F"/>
    <w:rsid w:val="00752742"/>
    <w:rsid w:val="0075388A"/>
    <w:rsid w:val="00761C74"/>
    <w:rsid w:val="0076201D"/>
    <w:rsid w:val="00763794"/>
    <w:rsid w:val="007710EA"/>
    <w:rsid w:val="0077146A"/>
    <w:rsid w:val="00771829"/>
    <w:rsid w:val="00772E09"/>
    <w:rsid w:val="00785D43"/>
    <w:rsid w:val="00796853"/>
    <w:rsid w:val="0079797A"/>
    <w:rsid w:val="007A02DC"/>
    <w:rsid w:val="007A49B9"/>
    <w:rsid w:val="007A517A"/>
    <w:rsid w:val="007A54CF"/>
    <w:rsid w:val="007A691F"/>
    <w:rsid w:val="007B0F5E"/>
    <w:rsid w:val="007B5A79"/>
    <w:rsid w:val="007C299F"/>
    <w:rsid w:val="007C449A"/>
    <w:rsid w:val="007C572C"/>
    <w:rsid w:val="007D0069"/>
    <w:rsid w:val="007D20AF"/>
    <w:rsid w:val="007D2C6A"/>
    <w:rsid w:val="007D4471"/>
    <w:rsid w:val="007D4EEA"/>
    <w:rsid w:val="007D782F"/>
    <w:rsid w:val="007E491F"/>
    <w:rsid w:val="007F0308"/>
    <w:rsid w:val="007F424A"/>
    <w:rsid w:val="0080315C"/>
    <w:rsid w:val="00806102"/>
    <w:rsid w:val="00807459"/>
    <w:rsid w:val="008122CE"/>
    <w:rsid w:val="0082069A"/>
    <w:rsid w:val="008234D5"/>
    <w:rsid w:val="008238D1"/>
    <w:rsid w:val="00827EF4"/>
    <w:rsid w:val="008309AB"/>
    <w:rsid w:val="0083292A"/>
    <w:rsid w:val="00834E9B"/>
    <w:rsid w:val="008407E4"/>
    <w:rsid w:val="00841FCE"/>
    <w:rsid w:val="00843CAB"/>
    <w:rsid w:val="00843DD1"/>
    <w:rsid w:val="00843DD8"/>
    <w:rsid w:val="00845542"/>
    <w:rsid w:val="00847553"/>
    <w:rsid w:val="0085367D"/>
    <w:rsid w:val="0085455C"/>
    <w:rsid w:val="00854AC5"/>
    <w:rsid w:val="00863EF3"/>
    <w:rsid w:val="008645CD"/>
    <w:rsid w:val="00864625"/>
    <w:rsid w:val="0087080E"/>
    <w:rsid w:val="00872A8A"/>
    <w:rsid w:val="008736FA"/>
    <w:rsid w:val="00875265"/>
    <w:rsid w:val="008752BB"/>
    <w:rsid w:val="00875A26"/>
    <w:rsid w:val="00876C1B"/>
    <w:rsid w:val="00880485"/>
    <w:rsid w:val="0088049E"/>
    <w:rsid w:val="00880ABE"/>
    <w:rsid w:val="00892116"/>
    <w:rsid w:val="00892704"/>
    <w:rsid w:val="00892FEE"/>
    <w:rsid w:val="008A3742"/>
    <w:rsid w:val="008C3EBE"/>
    <w:rsid w:val="008D291B"/>
    <w:rsid w:val="008D29FC"/>
    <w:rsid w:val="008D4FDA"/>
    <w:rsid w:val="008D5170"/>
    <w:rsid w:val="008D60DF"/>
    <w:rsid w:val="008E014D"/>
    <w:rsid w:val="008E2871"/>
    <w:rsid w:val="008E333F"/>
    <w:rsid w:val="008E563A"/>
    <w:rsid w:val="008F6365"/>
    <w:rsid w:val="00906AEF"/>
    <w:rsid w:val="0092277B"/>
    <w:rsid w:val="009425B8"/>
    <w:rsid w:val="009429D2"/>
    <w:rsid w:val="009439E8"/>
    <w:rsid w:val="00950D86"/>
    <w:rsid w:val="0095290C"/>
    <w:rsid w:val="009545E0"/>
    <w:rsid w:val="00955847"/>
    <w:rsid w:val="00955B2C"/>
    <w:rsid w:val="009677AD"/>
    <w:rsid w:val="00973AB7"/>
    <w:rsid w:val="00975251"/>
    <w:rsid w:val="00976E72"/>
    <w:rsid w:val="00977102"/>
    <w:rsid w:val="0097799F"/>
    <w:rsid w:val="009814F3"/>
    <w:rsid w:val="009840B2"/>
    <w:rsid w:val="00992737"/>
    <w:rsid w:val="00995A8B"/>
    <w:rsid w:val="00996A62"/>
    <w:rsid w:val="009A13D4"/>
    <w:rsid w:val="009A40CA"/>
    <w:rsid w:val="009A7EBB"/>
    <w:rsid w:val="009B4F0F"/>
    <w:rsid w:val="009D081A"/>
    <w:rsid w:val="009D3A87"/>
    <w:rsid w:val="009D3DB7"/>
    <w:rsid w:val="009D5C1D"/>
    <w:rsid w:val="009E607D"/>
    <w:rsid w:val="009F173A"/>
    <w:rsid w:val="009F5767"/>
    <w:rsid w:val="009F5E4C"/>
    <w:rsid w:val="00A00EC5"/>
    <w:rsid w:val="00A04A6E"/>
    <w:rsid w:val="00A04EA5"/>
    <w:rsid w:val="00A05E98"/>
    <w:rsid w:val="00A06298"/>
    <w:rsid w:val="00A10E76"/>
    <w:rsid w:val="00A11450"/>
    <w:rsid w:val="00A17947"/>
    <w:rsid w:val="00A209C0"/>
    <w:rsid w:val="00A20BF9"/>
    <w:rsid w:val="00A21504"/>
    <w:rsid w:val="00A21781"/>
    <w:rsid w:val="00A223B9"/>
    <w:rsid w:val="00A229F3"/>
    <w:rsid w:val="00A24D0F"/>
    <w:rsid w:val="00A25458"/>
    <w:rsid w:val="00A26CAF"/>
    <w:rsid w:val="00A314DA"/>
    <w:rsid w:val="00A32E8F"/>
    <w:rsid w:val="00A356B7"/>
    <w:rsid w:val="00A419C3"/>
    <w:rsid w:val="00A47135"/>
    <w:rsid w:val="00A50C46"/>
    <w:rsid w:val="00A5260F"/>
    <w:rsid w:val="00A52830"/>
    <w:rsid w:val="00A624FC"/>
    <w:rsid w:val="00A62D0D"/>
    <w:rsid w:val="00A6327E"/>
    <w:rsid w:val="00A67C91"/>
    <w:rsid w:val="00A71319"/>
    <w:rsid w:val="00A735A3"/>
    <w:rsid w:val="00A751AA"/>
    <w:rsid w:val="00A802B0"/>
    <w:rsid w:val="00A81A5C"/>
    <w:rsid w:val="00A82D49"/>
    <w:rsid w:val="00A87BA1"/>
    <w:rsid w:val="00A93E04"/>
    <w:rsid w:val="00AA10BA"/>
    <w:rsid w:val="00AB25CA"/>
    <w:rsid w:val="00AB5011"/>
    <w:rsid w:val="00AB5742"/>
    <w:rsid w:val="00AB5973"/>
    <w:rsid w:val="00AC0076"/>
    <w:rsid w:val="00AC429A"/>
    <w:rsid w:val="00AD1468"/>
    <w:rsid w:val="00AD48F3"/>
    <w:rsid w:val="00AD657A"/>
    <w:rsid w:val="00AE121E"/>
    <w:rsid w:val="00AF3C34"/>
    <w:rsid w:val="00B0257B"/>
    <w:rsid w:val="00B03C6C"/>
    <w:rsid w:val="00B13487"/>
    <w:rsid w:val="00B14F05"/>
    <w:rsid w:val="00B209FF"/>
    <w:rsid w:val="00B2298F"/>
    <w:rsid w:val="00B242CD"/>
    <w:rsid w:val="00B2492B"/>
    <w:rsid w:val="00B2573B"/>
    <w:rsid w:val="00B26EB5"/>
    <w:rsid w:val="00B3294F"/>
    <w:rsid w:val="00B329B2"/>
    <w:rsid w:val="00B36A69"/>
    <w:rsid w:val="00B41825"/>
    <w:rsid w:val="00B45AE5"/>
    <w:rsid w:val="00B47009"/>
    <w:rsid w:val="00B51869"/>
    <w:rsid w:val="00B56D8D"/>
    <w:rsid w:val="00B60DA7"/>
    <w:rsid w:val="00B6139C"/>
    <w:rsid w:val="00B63973"/>
    <w:rsid w:val="00B70FFD"/>
    <w:rsid w:val="00B71823"/>
    <w:rsid w:val="00B726BF"/>
    <w:rsid w:val="00B8012F"/>
    <w:rsid w:val="00B813B6"/>
    <w:rsid w:val="00B820B9"/>
    <w:rsid w:val="00B946FD"/>
    <w:rsid w:val="00B96A37"/>
    <w:rsid w:val="00BA77F3"/>
    <w:rsid w:val="00BB1A45"/>
    <w:rsid w:val="00BB4D53"/>
    <w:rsid w:val="00BB5F6F"/>
    <w:rsid w:val="00BC12D6"/>
    <w:rsid w:val="00BD2D98"/>
    <w:rsid w:val="00BD65EE"/>
    <w:rsid w:val="00BE03BF"/>
    <w:rsid w:val="00BE17B3"/>
    <w:rsid w:val="00BE4D3C"/>
    <w:rsid w:val="00BE5C02"/>
    <w:rsid w:val="00BE7B60"/>
    <w:rsid w:val="00BF08BF"/>
    <w:rsid w:val="00BF5BA0"/>
    <w:rsid w:val="00BF7E24"/>
    <w:rsid w:val="00C019D6"/>
    <w:rsid w:val="00C10892"/>
    <w:rsid w:val="00C14DE5"/>
    <w:rsid w:val="00C158AC"/>
    <w:rsid w:val="00C16CD8"/>
    <w:rsid w:val="00C201A6"/>
    <w:rsid w:val="00C21C16"/>
    <w:rsid w:val="00C21E9C"/>
    <w:rsid w:val="00C24302"/>
    <w:rsid w:val="00C2527D"/>
    <w:rsid w:val="00C31760"/>
    <w:rsid w:val="00C4103F"/>
    <w:rsid w:val="00C54171"/>
    <w:rsid w:val="00C63182"/>
    <w:rsid w:val="00C70B00"/>
    <w:rsid w:val="00C72049"/>
    <w:rsid w:val="00C74482"/>
    <w:rsid w:val="00C763DA"/>
    <w:rsid w:val="00C82346"/>
    <w:rsid w:val="00C82F8C"/>
    <w:rsid w:val="00C84C1B"/>
    <w:rsid w:val="00C87D2B"/>
    <w:rsid w:val="00C97E8F"/>
    <w:rsid w:val="00CA3181"/>
    <w:rsid w:val="00CA34BE"/>
    <w:rsid w:val="00CA61D8"/>
    <w:rsid w:val="00CB60ED"/>
    <w:rsid w:val="00CB678A"/>
    <w:rsid w:val="00CC367F"/>
    <w:rsid w:val="00CC4242"/>
    <w:rsid w:val="00CC70E5"/>
    <w:rsid w:val="00CC7AE2"/>
    <w:rsid w:val="00CD1D27"/>
    <w:rsid w:val="00CD2AD7"/>
    <w:rsid w:val="00CE2436"/>
    <w:rsid w:val="00CF02BD"/>
    <w:rsid w:val="00CF4A66"/>
    <w:rsid w:val="00CF7E32"/>
    <w:rsid w:val="00D01591"/>
    <w:rsid w:val="00D04453"/>
    <w:rsid w:val="00D10E6D"/>
    <w:rsid w:val="00D13114"/>
    <w:rsid w:val="00D13D4D"/>
    <w:rsid w:val="00D15AFC"/>
    <w:rsid w:val="00D24F7C"/>
    <w:rsid w:val="00D27E43"/>
    <w:rsid w:val="00D3025D"/>
    <w:rsid w:val="00D311C0"/>
    <w:rsid w:val="00D33648"/>
    <w:rsid w:val="00D35CCD"/>
    <w:rsid w:val="00D37A81"/>
    <w:rsid w:val="00D462F6"/>
    <w:rsid w:val="00D474D8"/>
    <w:rsid w:val="00D4794B"/>
    <w:rsid w:val="00D51979"/>
    <w:rsid w:val="00D51D3B"/>
    <w:rsid w:val="00D62F92"/>
    <w:rsid w:val="00D666A2"/>
    <w:rsid w:val="00D72FC4"/>
    <w:rsid w:val="00D741AC"/>
    <w:rsid w:val="00D74FBC"/>
    <w:rsid w:val="00D805B3"/>
    <w:rsid w:val="00D824CE"/>
    <w:rsid w:val="00D83B0C"/>
    <w:rsid w:val="00D87FCF"/>
    <w:rsid w:val="00D92C92"/>
    <w:rsid w:val="00D95324"/>
    <w:rsid w:val="00DA3B89"/>
    <w:rsid w:val="00DB4D66"/>
    <w:rsid w:val="00DB6469"/>
    <w:rsid w:val="00DB71C8"/>
    <w:rsid w:val="00DC535D"/>
    <w:rsid w:val="00DD130D"/>
    <w:rsid w:val="00DE5C6A"/>
    <w:rsid w:val="00DE63F9"/>
    <w:rsid w:val="00DE6C92"/>
    <w:rsid w:val="00DF31CC"/>
    <w:rsid w:val="00E0020F"/>
    <w:rsid w:val="00E05876"/>
    <w:rsid w:val="00E05AC2"/>
    <w:rsid w:val="00E05CFF"/>
    <w:rsid w:val="00E07E28"/>
    <w:rsid w:val="00E11596"/>
    <w:rsid w:val="00E1207C"/>
    <w:rsid w:val="00E15783"/>
    <w:rsid w:val="00E24760"/>
    <w:rsid w:val="00E274EF"/>
    <w:rsid w:val="00E4268C"/>
    <w:rsid w:val="00E44788"/>
    <w:rsid w:val="00E44F54"/>
    <w:rsid w:val="00E46517"/>
    <w:rsid w:val="00E47856"/>
    <w:rsid w:val="00E47E11"/>
    <w:rsid w:val="00E47E45"/>
    <w:rsid w:val="00E514CC"/>
    <w:rsid w:val="00E55F16"/>
    <w:rsid w:val="00E63584"/>
    <w:rsid w:val="00E64B04"/>
    <w:rsid w:val="00E6605C"/>
    <w:rsid w:val="00E7117D"/>
    <w:rsid w:val="00E717EB"/>
    <w:rsid w:val="00E775FA"/>
    <w:rsid w:val="00E77B85"/>
    <w:rsid w:val="00E80BD9"/>
    <w:rsid w:val="00E84CE6"/>
    <w:rsid w:val="00E87CC6"/>
    <w:rsid w:val="00E93630"/>
    <w:rsid w:val="00E95464"/>
    <w:rsid w:val="00E95821"/>
    <w:rsid w:val="00E95D6A"/>
    <w:rsid w:val="00E96926"/>
    <w:rsid w:val="00E97117"/>
    <w:rsid w:val="00EA060E"/>
    <w:rsid w:val="00EA1484"/>
    <w:rsid w:val="00EA3270"/>
    <w:rsid w:val="00EA7CF4"/>
    <w:rsid w:val="00EB25A8"/>
    <w:rsid w:val="00EB3790"/>
    <w:rsid w:val="00EB3DA0"/>
    <w:rsid w:val="00EB44A9"/>
    <w:rsid w:val="00EB5515"/>
    <w:rsid w:val="00EC1C90"/>
    <w:rsid w:val="00EC364F"/>
    <w:rsid w:val="00EC795B"/>
    <w:rsid w:val="00ED413B"/>
    <w:rsid w:val="00EE0341"/>
    <w:rsid w:val="00EE5674"/>
    <w:rsid w:val="00EF2868"/>
    <w:rsid w:val="00EF2924"/>
    <w:rsid w:val="00F0055D"/>
    <w:rsid w:val="00F0224D"/>
    <w:rsid w:val="00F03FDD"/>
    <w:rsid w:val="00F0488E"/>
    <w:rsid w:val="00F122AB"/>
    <w:rsid w:val="00F13937"/>
    <w:rsid w:val="00F15073"/>
    <w:rsid w:val="00F219D0"/>
    <w:rsid w:val="00F24A64"/>
    <w:rsid w:val="00F2553E"/>
    <w:rsid w:val="00F338D2"/>
    <w:rsid w:val="00F428D9"/>
    <w:rsid w:val="00F43B63"/>
    <w:rsid w:val="00F51D7E"/>
    <w:rsid w:val="00F54EED"/>
    <w:rsid w:val="00F61944"/>
    <w:rsid w:val="00F66696"/>
    <w:rsid w:val="00F72062"/>
    <w:rsid w:val="00F72E45"/>
    <w:rsid w:val="00F73C6F"/>
    <w:rsid w:val="00F7655D"/>
    <w:rsid w:val="00F77828"/>
    <w:rsid w:val="00F83ED8"/>
    <w:rsid w:val="00F866AE"/>
    <w:rsid w:val="00F90335"/>
    <w:rsid w:val="00F967C3"/>
    <w:rsid w:val="00F96944"/>
    <w:rsid w:val="00F96A69"/>
    <w:rsid w:val="00FA09F9"/>
    <w:rsid w:val="00FA0E96"/>
    <w:rsid w:val="00FB79A0"/>
    <w:rsid w:val="00FC105A"/>
    <w:rsid w:val="00FD144D"/>
    <w:rsid w:val="00FD1C12"/>
    <w:rsid w:val="00FD393E"/>
    <w:rsid w:val="00FD7F2E"/>
    <w:rsid w:val="00FE0373"/>
    <w:rsid w:val="00FE1257"/>
    <w:rsid w:val="00FE2085"/>
    <w:rsid w:val="00FE2EE9"/>
    <w:rsid w:val="00FE2F0D"/>
    <w:rsid w:val="00FE59C9"/>
    <w:rsid w:val="00FF1BAE"/>
    <w:rsid w:val="00FF4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904C"/>
  <w15:chartTrackingRefBased/>
  <w15:docId w15:val="{58485147-3F19-4221-8D21-99CD95CA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9B9"/>
    <w:pPr>
      <w:spacing w:after="200" w:line="276" w:lineRule="auto"/>
      <w:ind w:left="720"/>
      <w:contextualSpacing/>
    </w:pPr>
  </w:style>
  <w:style w:type="character" w:styleId="CommentReference">
    <w:name w:val="annotation reference"/>
    <w:basedOn w:val="DefaultParagraphFont"/>
    <w:uiPriority w:val="99"/>
    <w:semiHidden/>
    <w:unhideWhenUsed/>
    <w:rsid w:val="003274F0"/>
    <w:rPr>
      <w:sz w:val="16"/>
      <w:szCs w:val="16"/>
    </w:rPr>
  </w:style>
  <w:style w:type="paragraph" w:styleId="CommentText">
    <w:name w:val="annotation text"/>
    <w:basedOn w:val="Normal"/>
    <w:link w:val="CommentTextChar"/>
    <w:uiPriority w:val="99"/>
    <w:unhideWhenUsed/>
    <w:rsid w:val="003274F0"/>
    <w:pPr>
      <w:spacing w:line="240" w:lineRule="auto"/>
    </w:pPr>
    <w:rPr>
      <w:sz w:val="20"/>
      <w:szCs w:val="20"/>
    </w:rPr>
  </w:style>
  <w:style w:type="character" w:customStyle="1" w:styleId="CommentTextChar">
    <w:name w:val="Comment Text Char"/>
    <w:basedOn w:val="DefaultParagraphFont"/>
    <w:link w:val="CommentText"/>
    <w:uiPriority w:val="99"/>
    <w:rsid w:val="003274F0"/>
    <w:rPr>
      <w:sz w:val="20"/>
      <w:szCs w:val="20"/>
    </w:rPr>
  </w:style>
  <w:style w:type="paragraph" w:styleId="CommentSubject">
    <w:name w:val="annotation subject"/>
    <w:basedOn w:val="CommentText"/>
    <w:next w:val="CommentText"/>
    <w:link w:val="CommentSubjectChar"/>
    <w:uiPriority w:val="99"/>
    <w:semiHidden/>
    <w:unhideWhenUsed/>
    <w:rsid w:val="003274F0"/>
    <w:rPr>
      <w:b/>
      <w:bCs/>
    </w:rPr>
  </w:style>
  <w:style w:type="character" w:customStyle="1" w:styleId="CommentSubjectChar">
    <w:name w:val="Comment Subject Char"/>
    <w:basedOn w:val="CommentTextChar"/>
    <w:link w:val="CommentSubject"/>
    <w:uiPriority w:val="99"/>
    <w:semiHidden/>
    <w:rsid w:val="003274F0"/>
    <w:rPr>
      <w:b/>
      <w:bCs/>
      <w:sz w:val="20"/>
      <w:szCs w:val="20"/>
    </w:rPr>
  </w:style>
  <w:style w:type="paragraph" w:styleId="BalloonText">
    <w:name w:val="Balloon Text"/>
    <w:basedOn w:val="Normal"/>
    <w:link w:val="BalloonTextChar"/>
    <w:uiPriority w:val="99"/>
    <w:semiHidden/>
    <w:unhideWhenUsed/>
    <w:rsid w:val="00327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4F0"/>
    <w:rPr>
      <w:rFonts w:ascii="Segoe UI" w:hAnsi="Segoe UI" w:cs="Segoe UI"/>
      <w:sz w:val="18"/>
      <w:szCs w:val="18"/>
    </w:rPr>
  </w:style>
  <w:style w:type="table" w:styleId="TableGrid">
    <w:name w:val="Table Grid"/>
    <w:basedOn w:val="TableNormal"/>
    <w:uiPriority w:val="39"/>
    <w:rsid w:val="00E9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14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4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55C"/>
  </w:style>
  <w:style w:type="paragraph" w:styleId="Footer">
    <w:name w:val="footer"/>
    <w:basedOn w:val="Normal"/>
    <w:link w:val="FooterChar"/>
    <w:uiPriority w:val="99"/>
    <w:unhideWhenUsed/>
    <w:rsid w:val="00854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55C"/>
  </w:style>
  <w:style w:type="character" w:styleId="PlaceholderText">
    <w:name w:val="Placeholder Text"/>
    <w:basedOn w:val="DefaultParagraphFont"/>
    <w:uiPriority w:val="99"/>
    <w:semiHidden/>
    <w:rsid w:val="003B71E6"/>
    <w:rPr>
      <w:color w:val="808080"/>
    </w:rPr>
  </w:style>
  <w:style w:type="character" w:styleId="Hyperlink">
    <w:name w:val="Hyperlink"/>
    <w:basedOn w:val="DefaultParagraphFont"/>
    <w:uiPriority w:val="99"/>
    <w:unhideWhenUsed/>
    <w:rsid w:val="00875A26"/>
    <w:rPr>
      <w:color w:val="0563C1" w:themeColor="hyperlink"/>
      <w:u w:val="single"/>
    </w:rPr>
  </w:style>
  <w:style w:type="character" w:customStyle="1" w:styleId="UnresolvedMention">
    <w:name w:val="Unresolved Mention"/>
    <w:basedOn w:val="DefaultParagraphFont"/>
    <w:uiPriority w:val="99"/>
    <w:semiHidden/>
    <w:unhideWhenUsed/>
    <w:rsid w:val="00875A26"/>
    <w:rPr>
      <w:color w:val="605E5C"/>
      <w:shd w:val="clear" w:color="auto" w:fill="E1DFDD"/>
    </w:rPr>
  </w:style>
  <w:style w:type="character" w:styleId="FollowedHyperlink">
    <w:name w:val="FollowedHyperlink"/>
    <w:basedOn w:val="DefaultParagraphFont"/>
    <w:uiPriority w:val="99"/>
    <w:semiHidden/>
    <w:unhideWhenUsed/>
    <w:rsid w:val="00F90335"/>
    <w:rPr>
      <w:color w:val="954F72" w:themeColor="followedHyperlink"/>
      <w:u w:val="single"/>
    </w:rPr>
  </w:style>
  <w:style w:type="paragraph" w:styleId="Revision">
    <w:name w:val="Revision"/>
    <w:hidden/>
    <w:uiPriority w:val="99"/>
    <w:semiHidden/>
    <w:rsid w:val="00FE2F0D"/>
    <w:pPr>
      <w:spacing w:after="0" w:line="240" w:lineRule="auto"/>
    </w:pPr>
  </w:style>
  <w:style w:type="character" w:styleId="LineNumber">
    <w:name w:val="line number"/>
    <w:basedOn w:val="DefaultParagraphFont"/>
    <w:uiPriority w:val="99"/>
    <w:semiHidden/>
    <w:unhideWhenUsed/>
    <w:rsid w:val="00EB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60688">
      <w:bodyDiv w:val="1"/>
      <w:marLeft w:val="0"/>
      <w:marRight w:val="0"/>
      <w:marTop w:val="0"/>
      <w:marBottom w:val="0"/>
      <w:divBdr>
        <w:top w:val="none" w:sz="0" w:space="0" w:color="auto"/>
        <w:left w:val="none" w:sz="0" w:space="0" w:color="auto"/>
        <w:bottom w:val="none" w:sz="0" w:space="0" w:color="auto"/>
        <w:right w:val="none" w:sz="0" w:space="0" w:color="auto"/>
      </w:divBdr>
    </w:div>
    <w:div w:id="1197615985">
      <w:bodyDiv w:val="1"/>
      <w:marLeft w:val="0"/>
      <w:marRight w:val="0"/>
      <w:marTop w:val="0"/>
      <w:marBottom w:val="0"/>
      <w:divBdr>
        <w:top w:val="none" w:sz="0" w:space="0" w:color="auto"/>
        <w:left w:val="none" w:sz="0" w:space="0" w:color="auto"/>
        <w:bottom w:val="none" w:sz="0" w:space="0" w:color="auto"/>
        <w:right w:val="none" w:sz="0" w:space="0" w:color="auto"/>
      </w:divBdr>
    </w:div>
    <w:div w:id="16875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kern.com/en/"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mahaffey@stmarys.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4" ma:contentTypeDescription="Create a new document." ma:contentTypeScope="" ma:versionID="509687d07c250a3303c32c4c1ed08158">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02a753ab3bc7d40ecc96232cbe898574"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7DEE-0F77-49E2-911A-1762CE8CF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0C611-F063-499D-851B-CCEBE5C04835}">
  <ds:schemaRefs>
    <ds:schemaRef ds:uri="http://schemas.microsoft.com/sharepoint/v3/contenttype/forms"/>
  </ds:schemaRefs>
</ds:datastoreItem>
</file>

<file path=customXml/itemProps3.xml><?xml version="1.0" encoding="utf-8"?>
<ds:datastoreItem xmlns:ds="http://schemas.openxmlformats.org/officeDocument/2006/customXml" ds:itemID="{B92824B7-A3AE-4CA4-817A-D3ECB0F37597}">
  <ds:schemaRefs>
    <ds:schemaRef ds:uri="http://schemas.microsoft.com/office/infopath/2007/PartnerControls"/>
    <ds:schemaRef ds:uri="http://purl.org/dc/elements/1.1/"/>
    <ds:schemaRef ds:uri="http://schemas.microsoft.com/office/2006/metadata/properties"/>
    <ds:schemaRef ds:uri="f6569699-ae44-4c85-9383-dd5a41d3d471"/>
    <ds:schemaRef ds:uri="http://purl.org/dc/terms/"/>
    <ds:schemaRef ds:uri="http://schemas.openxmlformats.org/package/2006/metadata/core-properties"/>
    <ds:schemaRef ds:uri="http://schemas.microsoft.com/office/2006/documentManagement/types"/>
    <ds:schemaRef ds:uri="da5da9df-85e1-4e4b-b319-af1e48434c21"/>
    <ds:schemaRef ds:uri="http://www.w3.org/XML/1998/namespace"/>
    <ds:schemaRef ds:uri="http://purl.org/dc/dcmitype/"/>
  </ds:schemaRefs>
</ds:datastoreItem>
</file>

<file path=customXml/itemProps4.xml><?xml version="1.0" encoding="utf-8"?>
<ds:datastoreItem xmlns:ds="http://schemas.openxmlformats.org/officeDocument/2006/customXml" ds:itemID="{3D2EF5A4-DE2B-482C-B4E6-BB8E03E6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Brown</dc:creator>
  <cp:keywords/>
  <dc:description/>
  <cp:lastModifiedBy>Mary Cramp</cp:lastModifiedBy>
  <cp:revision>2</cp:revision>
  <dcterms:created xsi:type="dcterms:W3CDTF">2022-12-13T10:25:00Z</dcterms:created>
  <dcterms:modified xsi:type="dcterms:W3CDTF">2022-12-13T10:25:00Z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