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45" w:rsidRPr="00026718" w:rsidRDefault="00C74D45" w:rsidP="00C74D45">
      <w:pPr>
        <w:pStyle w:val="BATitle"/>
        <w:spacing w:before="0" w:after="0" w:line="240" w:lineRule="auto"/>
      </w:pPr>
      <w:r>
        <w:t xml:space="preserve">Microbial Fuel Cells </w:t>
      </w:r>
      <w:r w:rsidRPr="00026718">
        <w:t>based on carbon veil electrodes</w:t>
      </w:r>
      <w:r>
        <w:t xml:space="preserve">: Stack configuration and </w:t>
      </w:r>
      <w:r w:rsidRPr="00026718">
        <w:t>s</w:t>
      </w:r>
      <w:r>
        <w:t>calability</w:t>
      </w:r>
    </w:p>
    <w:p w:rsidR="00C74D45" w:rsidRPr="00026718" w:rsidRDefault="00C74D45" w:rsidP="00C74D45">
      <w:pPr>
        <w:jc w:val="both"/>
        <w:rPr>
          <w:sz w:val="24"/>
          <w:szCs w:val="24"/>
        </w:rPr>
      </w:pPr>
    </w:p>
    <w:p w:rsidR="00C74D45" w:rsidRPr="0035044F" w:rsidRDefault="00C74D45" w:rsidP="00C74D45">
      <w:pPr>
        <w:pStyle w:val="BBAuthorName"/>
        <w:spacing w:after="0" w:line="240" w:lineRule="auto"/>
        <w:rPr>
          <w:i w:val="0"/>
        </w:rPr>
      </w:pPr>
      <w:smartTag w:uri="urn:schemas-microsoft-com:office:smarttags" w:element="PersonName">
        <w:r w:rsidRPr="0035044F">
          <w:rPr>
            <w:i w:val="0"/>
          </w:rPr>
          <w:t>Ioannis Ieropoulos</w:t>
        </w:r>
      </w:smartTag>
      <w:r w:rsidRPr="0035044F">
        <w:rPr>
          <w:i w:val="0"/>
          <w:vertAlign w:val="superscript"/>
        </w:rPr>
        <w:t>1</w:t>
      </w:r>
      <w:r>
        <w:rPr>
          <w:rStyle w:val="FootnoteReference"/>
          <w:i w:val="0"/>
        </w:rPr>
        <w:t>,</w:t>
      </w:r>
      <w:r>
        <w:rPr>
          <w:rStyle w:val="FootnoteReference"/>
          <w:i w:val="0"/>
        </w:rPr>
        <w:footnoteReference w:id="1"/>
      </w:r>
      <w:r w:rsidRPr="0035044F">
        <w:rPr>
          <w:i w:val="0"/>
          <w:vertAlign w:val="superscript"/>
        </w:rPr>
        <w:t>,</w:t>
      </w:r>
      <w:r>
        <w:rPr>
          <w:rStyle w:val="FootnoteReference"/>
          <w:i w:val="0"/>
        </w:rPr>
        <w:footnoteReference w:id="2"/>
      </w:r>
      <w:proofErr w:type="gramStart"/>
      <w:r w:rsidRPr="0035044F">
        <w:rPr>
          <w:i w:val="0"/>
        </w:rPr>
        <w:t>,</w:t>
      </w:r>
      <w:proofErr w:type="gramEnd"/>
      <w:r w:rsidRPr="0035044F">
        <w:rPr>
          <w:i w:val="0"/>
        </w:rPr>
        <w:t xml:space="preserve"> </w:t>
      </w:r>
      <w:smartTag w:uri="urn:schemas-microsoft-com:office:smarttags" w:element="PersonName">
        <w:r w:rsidRPr="0035044F">
          <w:rPr>
            <w:i w:val="0"/>
          </w:rPr>
          <w:t>John Greenman</w:t>
        </w:r>
      </w:smartTag>
      <w:r w:rsidRPr="000A3729">
        <w:rPr>
          <w:i w:val="0"/>
          <w:vertAlign w:val="superscript"/>
        </w:rPr>
        <w:t>2</w:t>
      </w:r>
      <w:r w:rsidRPr="0035044F">
        <w:rPr>
          <w:i w:val="0"/>
        </w:rPr>
        <w:t xml:space="preserve"> and </w:t>
      </w:r>
      <w:smartTag w:uri="urn:schemas-microsoft-com:office:smarttags" w:element="PersonName">
        <w:r w:rsidRPr="0035044F">
          <w:rPr>
            <w:i w:val="0"/>
          </w:rPr>
          <w:t>Chris Melhuish</w:t>
        </w:r>
      </w:smartTag>
      <w:r w:rsidRPr="000A3729">
        <w:rPr>
          <w:i w:val="0"/>
          <w:vertAlign w:val="superscript"/>
        </w:rPr>
        <w:t>1</w:t>
      </w:r>
    </w:p>
    <w:p w:rsidR="00C74D45" w:rsidRPr="00026718" w:rsidRDefault="00C74D45" w:rsidP="00C74D45">
      <w:pPr>
        <w:jc w:val="both"/>
        <w:rPr>
          <w:sz w:val="24"/>
          <w:szCs w:val="24"/>
        </w:rPr>
      </w:pPr>
    </w:p>
    <w:p w:rsidR="00C74D45" w:rsidRDefault="00C74D45" w:rsidP="00C74D45">
      <w:pPr>
        <w:pStyle w:val="FootnoteText"/>
        <w:jc w:val="center"/>
      </w:pPr>
      <w:r>
        <w:rPr>
          <w:rStyle w:val="FootnoteReference"/>
        </w:rPr>
        <w:t>1</w:t>
      </w:r>
      <w:r w:rsidRPr="00026718">
        <w:t>Bristol Robotics Laboratory, Bristol Business Park, Coldharbour Lane, Universities of Bristol and of the West of England, Bristol Business Park, Coldharbour Lane, BS16 1QY, UK</w:t>
      </w:r>
    </w:p>
    <w:p w:rsidR="00C74D45" w:rsidRPr="00026718" w:rsidRDefault="00C74D45" w:rsidP="00C74D45">
      <w:pPr>
        <w:pStyle w:val="FootnoteText"/>
        <w:jc w:val="center"/>
      </w:pPr>
      <w:r>
        <w:rPr>
          <w:rStyle w:val="FootnoteReference"/>
        </w:rPr>
        <w:t xml:space="preserve">2 </w:t>
      </w:r>
      <w:r w:rsidRPr="00026718">
        <w:t xml:space="preserve">Microbiology Research Lab, Applied Sciences Faculty, University of the West of </w:t>
      </w:r>
      <w:smartTag w:uri="urn:schemas-microsoft-com:office:smarttags" w:element="country-region">
        <w:r w:rsidRPr="00026718">
          <w:t>England</w:t>
        </w:r>
      </w:smartTag>
      <w:r w:rsidRPr="00026718">
        <w:t xml:space="preserve">, Frenchay Campus, </w:t>
      </w:r>
      <w:smartTag w:uri="urn:schemas-microsoft-com:office:smarttags" w:element="place">
        <w:smartTag w:uri="urn:schemas-microsoft-com:office:smarttags" w:element="City">
          <w:r w:rsidRPr="00026718">
            <w:t>Coldharbour</w:t>
          </w:r>
        </w:smartTag>
        <w:r w:rsidRPr="00026718">
          <w:t xml:space="preserve"> Lane, </w:t>
        </w:r>
        <w:smartTag w:uri="urn:schemas-microsoft-com:office:smarttags" w:element="PostalCode">
          <w:r w:rsidRPr="00026718">
            <w:t>BS16 1QY</w:t>
          </w:r>
        </w:smartTag>
        <w:r w:rsidRPr="00026718">
          <w:t xml:space="preserve">, </w:t>
        </w:r>
        <w:smartTag w:uri="urn:schemas-microsoft-com:office:smarttags" w:element="country-region">
          <w:r w:rsidRPr="00026718">
            <w:t>UK</w:t>
          </w:r>
        </w:smartTag>
      </w:smartTag>
    </w:p>
    <w:p w:rsidR="00C74D45" w:rsidRPr="00026718" w:rsidRDefault="00C74D45" w:rsidP="00C74D45">
      <w:pPr>
        <w:pStyle w:val="BDAbstract"/>
        <w:spacing w:before="240" w:after="0" w:line="240" w:lineRule="auto"/>
        <w:jc w:val="center"/>
      </w:pPr>
      <w:r w:rsidRPr="00026718">
        <w:t>SUMMARY</w:t>
      </w:r>
    </w:p>
    <w:p w:rsidR="00C74D45" w:rsidRDefault="00C74D45" w:rsidP="00C74D45">
      <w:pPr>
        <w:pStyle w:val="BDAbstract"/>
        <w:spacing w:before="240" w:after="0" w:line="240" w:lineRule="auto"/>
        <w:jc w:val="both"/>
      </w:pPr>
      <w:r w:rsidRPr="00026718">
        <w:t xml:space="preserve">The aim of this study was to compare the performance of three different sizes of MFC when operated under continuous flow conditions using acetate as the fuel substrate and show how small-scale multiple units may be best configured to optimize power output. Polarisation curve experiments were carried out for individual MFCs of each size, and also for stacks of multiple small-scale MFCs, in series, parallel and series-parallel configurations. Of the three combinations, the series-parallel proved to be the more efficient one, stepping-up both the voltage and current of the system, collectively. Optimum resistor loads determined for each MFC size during the polarisation experiments, were then used to determine the long-term mean power output. In terms of power density expressed as per unit of electrode surface area and as per unit of anode volume, the small size MFC was superior to both the medium and large scale MFCs by a factor of </w:t>
      </w:r>
      <w:r>
        <w:t>1.5</w:t>
      </w:r>
      <w:r w:rsidRPr="00026718">
        <w:t xml:space="preserve"> and </w:t>
      </w:r>
      <w:r>
        <w:t>3.</w:t>
      </w:r>
      <w:r w:rsidRPr="00026718">
        <w:t>5 respectively.</w:t>
      </w:r>
      <w:r>
        <w:t xml:space="preserve"> Based on measured power output from 10 small units, a theoretical projection for 80 small units </w:t>
      </w:r>
      <w:r w:rsidR="00305691">
        <w:t>(</w:t>
      </w:r>
      <w:r>
        <w:t>giving the same equivalent a</w:t>
      </w:r>
      <w:r w:rsidR="00305691">
        <w:t>nodic volume as one large 500mL unit</w:t>
      </w:r>
      <w:r>
        <w:t>), gave a projected output of 10W/m</w:t>
      </w:r>
      <w:r w:rsidRPr="00067B30">
        <w:rPr>
          <w:vertAlign w:val="superscript"/>
        </w:rPr>
        <w:t>3</w:t>
      </w:r>
      <w:r>
        <w:t>, which is approximately 50 times higher than the recorded output produced by the large MFC.</w:t>
      </w:r>
      <w:r w:rsidRPr="00026718">
        <w:t xml:space="preserve"> Results from this study suggest that MFC scale-up </w:t>
      </w:r>
      <w:r>
        <w:t>may</w:t>
      </w:r>
      <w:r w:rsidRPr="00026718">
        <w:t xml:space="preserve"> be better achieved by connecting multiple small-size units together rather than increasing the size of an individual unit.</w:t>
      </w:r>
    </w:p>
    <w:p w:rsidR="00C74D45" w:rsidRDefault="00C74D45" w:rsidP="00C74D45">
      <w:pPr>
        <w:pStyle w:val="TAMainText"/>
        <w:spacing w:line="240" w:lineRule="auto"/>
        <w:ind w:firstLine="0"/>
      </w:pPr>
    </w:p>
    <w:p w:rsidR="00F423C0" w:rsidRDefault="00C74D45" w:rsidP="00C74D45">
      <w:pPr>
        <w:pStyle w:val="TAMainText"/>
        <w:spacing w:line="240" w:lineRule="auto"/>
        <w:ind w:firstLine="0"/>
        <w:sectPr w:rsidR="00F423C0" w:rsidSect="00F423C0">
          <w:footerReference w:type="even" r:id="rId7"/>
          <w:footerReference w:type="default" r:id="rId8"/>
          <w:footnotePr>
            <w:pos w:val="beneathText"/>
            <w:numFmt w:val="chicago"/>
            <w:numRestart w:val="eachSect"/>
          </w:footnotePr>
          <w:pgSz w:w="12240" w:h="15840"/>
          <w:pgMar w:top="680" w:right="680" w:bottom="680" w:left="680" w:header="0" w:footer="0" w:gutter="0"/>
          <w:cols w:space="475"/>
        </w:sectPr>
      </w:pPr>
      <w:r>
        <w:t xml:space="preserve">KEY WORDS: microbial fuel cells, scalability, stack configuration, maximum power transfer, internal </w:t>
      </w:r>
      <w:proofErr w:type="gramStart"/>
      <w:r>
        <w:t>resistance</w:t>
      </w:r>
      <w:proofErr w:type="gramEnd"/>
      <w:r>
        <w:t>, fluidic conductance, continuous flow, mixed culture</w:t>
      </w:r>
    </w:p>
    <w:p w:rsidR="00C74D45" w:rsidRDefault="00C74D45"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pStyle w:val="TAMainText"/>
        <w:spacing w:line="240" w:lineRule="auto"/>
        <w:ind w:firstLine="0"/>
      </w:pPr>
    </w:p>
    <w:p w:rsidR="00B55DF6" w:rsidRDefault="00B55DF6" w:rsidP="00C74D45">
      <w:pPr>
        <w:numPr>
          <w:ilvl w:val="0"/>
          <w:numId w:val="45"/>
        </w:numPr>
        <w:spacing w:before="240" w:after="240"/>
        <w:ind w:left="714" w:hanging="357"/>
        <w:jc w:val="center"/>
        <w:rPr>
          <w:color w:val="000000"/>
          <w:sz w:val="24"/>
          <w:szCs w:val="24"/>
        </w:rPr>
        <w:sectPr w:rsidR="00B55DF6" w:rsidSect="00F423C0">
          <w:footnotePr>
            <w:pos w:val="beneathText"/>
            <w:numFmt w:val="chicago"/>
            <w:numRestart w:val="eachSect"/>
          </w:footnotePr>
          <w:type w:val="continuous"/>
          <w:pgSz w:w="12240" w:h="15840"/>
          <w:pgMar w:top="680" w:right="680" w:bottom="680" w:left="680" w:header="0" w:footer="0" w:gutter="0"/>
          <w:cols w:num="2" w:space="475"/>
        </w:sectPr>
      </w:pPr>
    </w:p>
    <w:p w:rsidR="00C74D45" w:rsidRPr="008B25F9" w:rsidRDefault="00C74D45" w:rsidP="00C74D45">
      <w:pPr>
        <w:numPr>
          <w:ilvl w:val="0"/>
          <w:numId w:val="45"/>
        </w:numPr>
        <w:spacing w:before="240" w:after="240"/>
        <w:ind w:left="714" w:hanging="357"/>
        <w:jc w:val="center"/>
        <w:rPr>
          <w:color w:val="000000"/>
          <w:sz w:val="24"/>
          <w:szCs w:val="24"/>
        </w:rPr>
      </w:pPr>
      <w:r w:rsidRPr="008B25F9">
        <w:rPr>
          <w:color w:val="000000"/>
          <w:sz w:val="24"/>
          <w:szCs w:val="24"/>
        </w:rPr>
        <w:lastRenderedPageBreak/>
        <w:t>I</w:t>
      </w:r>
      <w:r>
        <w:rPr>
          <w:color w:val="000000"/>
          <w:sz w:val="24"/>
          <w:szCs w:val="24"/>
        </w:rPr>
        <w:t>NTRODUCTION</w:t>
      </w:r>
    </w:p>
    <w:p w:rsidR="00C74D45" w:rsidRPr="00026718" w:rsidRDefault="00C74D45" w:rsidP="00C74D45">
      <w:pPr>
        <w:jc w:val="both"/>
        <w:rPr>
          <w:color w:val="000000"/>
          <w:sz w:val="24"/>
          <w:szCs w:val="24"/>
        </w:rPr>
      </w:pPr>
      <w:r w:rsidRPr="00026718">
        <w:rPr>
          <w:color w:val="000000"/>
          <w:sz w:val="24"/>
          <w:szCs w:val="24"/>
        </w:rPr>
        <w:t xml:space="preserve">The earliest report regarding Microbial Fuel Cells (MFC) </w:t>
      </w:r>
      <w:r>
        <w:rPr>
          <w:color w:val="000000"/>
          <w:sz w:val="24"/>
          <w:szCs w:val="24"/>
        </w:rPr>
        <w:t>[1]</w:t>
      </w:r>
      <w:r w:rsidRPr="00026718">
        <w:rPr>
          <w:color w:val="000000"/>
          <w:sz w:val="24"/>
          <w:szCs w:val="24"/>
        </w:rPr>
        <w:t xml:space="preserve"> was the first description of an interesting biological phenomenon; the ability of microorganisms to transform organic substrates (chemical energy) into electricity. However, these systems </w:t>
      </w:r>
      <w:r>
        <w:rPr>
          <w:color w:val="000000"/>
          <w:sz w:val="24"/>
          <w:szCs w:val="24"/>
        </w:rPr>
        <w:t xml:space="preserve">remained more of </w:t>
      </w:r>
      <w:r w:rsidRPr="00026718">
        <w:rPr>
          <w:color w:val="000000"/>
          <w:sz w:val="24"/>
          <w:szCs w:val="24"/>
        </w:rPr>
        <w:t xml:space="preserve">a scientific curiosity </w:t>
      </w:r>
      <w:r>
        <w:rPr>
          <w:color w:val="000000"/>
          <w:sz w:val="24"/>
          <w:szCs w:val="24"/>
        </w:rPr>
        <w:t xml:space="preserve">due to their extremely low </w:t>
      </w:r>
      <w:r w:rsidRPr="00026718">
        <w:rPr>
          <w:color w:val="000000"/>
          <w:sz w:val="24"/>
          <w:szCs w:val="24"/>
        </w:rPr>
        <w:t>power output</w:t>
      </w:r>
      <w:r>
        <w:rPr>
          <w:color w:val="000000"/>
          <w:sz w:val="24"/>
          <w:szCs w:val="24"/>
        </w:rPr>
        <w:t>s</w:t>
      </w:r>
      <w:r w:rsidRPr="00026718">
        <w:rPr>
          <w:color w:val="000000"/>
          <w:sz w:val="24"/>
          <w:szCs w:val="24"/>
        </w:rPr>
        <w:t xml:space="preserve">. In recent times, improvements in MFC energy production combined with the emergence of low power electronic modules and actuators has permitted the employment of MFCs in real applications as exemplified by Gastrobot </w:t>
      </w:r>
      <w:r>
        <w:rPr>
          <w:color w:val="000000"/>
          <w:sz w:val="24"/>
          <w:szCs w:val="24"/>
        </w:rPr>
        <w:t>[2]</w:t>
      </w:r>
      <w:r w:rsidRPr="00026718">
        <w:rPr>
          <w:color w:val="000000"/>
          <w:sz w:val="24"/>
          <w:szCs w:val="24"/>
        </w:rPr>
        <w:t xml:space="preserve"> and EcoBots-I and -II </w:t>
      </w:r>
      <w:r>
        <w:rPr>
          <w:color w:val="000000"/>
          <w:sz w:val="24"/>
          <w:szCs w:val="24"/>
        </w:rPr>
        <w:t>[3, 4]</w:t>
      </w:r>
      <w:r w:rsidRPr="00026718">
        <w:rPr>
          <w:color w:val="000000"/>
          <w:sz w:val="24"/>
          <w:szCs w:val="24"/>
        </w:rPr>
        <w:t xml:space="preserve">. </w:t>
      </w:r>
    </w:p>
    <w:p w:rsidR="00C74D45" w:rsidRPr="00026718" w:rsidRDefault="00C74D45" w:rsidP="00C74D45">
      <w:pPr>
        <w:ind w:firstLine="284"/>
        <w:jc w:val="both"/>
        <w:rPr>
          <w:color w:val="000000"/>
          <w:sz w:val="24"/>
          <w:szCs w:val="24"/>
        </w:rPr>
      </w:pPr>
      <w:r w:rsidRPr="00026718">
        <w:rPr>
          <w:color w:val="000000"/>
          <w:sz w:val="24"/>
          <w:szCs w:val="24"/>
        </w:rPr>
        <w:t xml:space="preserve">In the early stages of MFC development, artificial mediators were widely used </w:t>
      </w:r>
      <w:r>
        <w:rPr>
          <w:color w:val="000000"/>
          <w:sz w:val="24"/>
          <w:szCs w:val="24"/>
        </w:rPr>
        <w:t>[5-7]</w:t>
      </w:r>
      <w:r w:rsidRPr="00026718">
        <w:rPr>
          <w:color w:val="000000"/>
          <w:sz w:val="24"/>
          <w:szCs w:val="24"/>
        </w:rPr>
        <w:t xml:space="preserve"> in the anodic chamber. A review article from Palmore and Whitesides covers the majority of the work done in the 1980’s and early 1990’s </w:t>
      </w:r>
      <w:r>
        <w:rPr>
          <w:color w:val="000000"/>
          <w:sz w:val="24"/>
          <w:szCs w:val="24"/>
        </w:rPr>
        <w:t>[8]</w:t>
      </w:r>
      <w:r w:rsidRPr="00026718">
        <w:rPr>
          <w:color w:val="000000"/>
          <w:sz w:val="24"/>
          <w:szCs w:val="24"/>
        </w:rPr>
        <w:t xml:space="preserve">. These are becoming obsolete since the discovery that some species of microbes can produce electroactive metabolites (e.g. sulphide), which act as natural mediators </w:t>
      </w:r>
      <w:r>
        <w:rPr>
          <w:color w:val="000000"/>
          <w:sz w:val="24"/>
          <w:szCs w:val="24"/>
        </w:rPr>
        <w:t>[9]</w:t>
      </w:r>
      <w:r w:rsidRPr="00026718">
        <w:rPr>
          <w:color w:val="000000"/>
          <w:sz w:val="24"/>
          <w:szCs w:val="24"/>
        </w:rPr>
        <w:t xml:space="preserve">. In conjunction with this, complex mixed species consortia were reported to outperform any monoculture-based MFCs in terms of power output </w:t>
      </w:r>
      <w:r>
        <w:rPr>
          <w:color w:val="000000"/>
          <w:sz w:val="24"/>
          <w:szCs w:val="24"/>
        </w:rPr>
        <w:t>[9-13]</w:t>
      </w:r>
      <w:r w:rsidRPr="00026718">
        <w:rPr>
          <w:color w:val="000000"/>
          <w:sz w:val="24"/>
          <w:szCs w:val="24"/>
        </w:rPr>
        <w:t xml:space="preserve"> and at the same time widen the range of utilizable organic substrates </w:t>
      </w:r>
      <w:r>
        <w:rPr>
          <w:color w:val="000000"/>
          <w:sz w:val="24"/>
          <w:szCs w:val="24"/>
        </w:rPr>
        <w:t>[4, 14, 15]</w:t>
      </w:r>
      <w:r w:rsidRPr="00026718">
        <w:rPr>
          <w:color w:val="000000"/>
          <w:sz w:val="24"/>
          <w:szCs w:val="24"/>
        </w:rPr>
        <w:t xml:space="preserve">. Moreover, the discovery of anodophiles (or electrophiles) such as </w:t>
      </w:r>
      <w:r w:rsidRPr="00026718">
        <w:rPr>
          <w:i/>
          <w:color w:val="000000"/>
          <w:sz w:val="24"/>
          <w:szCs w:val="24"/>
        </w:rPr>
        <w:t>Geobacter</w:t>
      </w:r>
      <w:r w:rsidRPr="00026718">
        <w:rPr>
          <w:color w:val="000000"/>
          <w:sz w:val="24"/>
          <w:szCs w:val="24"/>
        </w:rPr>
        <w:t xml:space="preserve"> or </w:t>
      </w:r>
      <w:r w:rsidRPr="00026718">
        <w:rPr>
          <w:i/>
          <w:color w:val="000000"/>
          <w:sz w:val="24"/>
          <w:szCs w:val="24"/>
        </w:rPr>
        <w:t>Rhodoferrax</w:t>
      </w:r>
      <w:r w:rsidRPr="00026718">
        <w:rPr>
          <w:color w:val="000000"/>
          <w:sz w:val="24"/>
          <w:szCs w:val="24"/>
        </w:rPr>
        <w:t xml:space="preserve"> species </w:t>
      </w:r>
      <w:r>
        <w:rPr>
          <w:color w:val="000000"/>
          <w:sz w:val="24"/>
          <w:szCs w:val="24"/>
        </w:rPr>
        <w:t>[16, 17]</w:t>
      </w:r>
      <w:r w:rsidRPr="00026718">
        <w:rPr>
          <w:color w:val="000000"/>
          <w:sz w:val="24"/>
          <w:szCs w:val="24"/>
        </w:rPr>
        <w:t xml:space="preserve"> that conduct electrons directly to the anode by physical contact, has further marginalized the use of artificial mediators. The majority of MFC experiments reported in the literature are batch culture systems with the disadvantage of discontinuity; the relatively recent development of continuous flow MFCs </w:t>
      </w:r>
      <w:r>
        <w:rPr>
          <w:color w:val="000000"/>
          <w:sz w:val="24"/>
          <w:szCs w:val="24"/>
        </w:rPr>
        <w:t>[10, 18-21]</w:t>
      </w:r>
      <w:r w:rsidRPr="00026718">
        <w:rPr>
          <w:color w:val="000000"/>
          <w:sz w:val="24"/>
          <w:szCs w:val="24"/>
        </w:rPr>
        <w:t xml:space="preserve"> has enabled long</w:t>
      </w:r>
      <w:r>
        <w:rPr>
          <w:color w:val="000000"/>
          <w:sz w:val="24"/>
          <w:szCs w:val="24"/>
        </w:rPr>
        <w:t>er</w:t>
      </w:r>
      <w:r w:rsidRPr="00026718">
        <w:rPr>
          <w:color w:val="000000"/>
          <w:sz w:val="24"/>
          <w:szCs w:val="24"/>
        </w:rPr>
        <w:t xml:space="preserve"> term performances to be realised. </w:t>
      </w:r>
    </w:p>
    <w:p w:rsidR="00C74D45" w:rsidRPr="00026718" w:rsidRDefault="00C74D45" w:rsidP="00C74D45">
      <w:pPr>
        <w:ind w:firstLine="202"/>
        <w:jc w:val="both"/>
        <w:rPr>
          <w:rFonts w:ascii="Arial" w:hAnsi="Arial" w:cs="Arial"/>
          <w:color w:val="0000FF"/>
          <w:sz w:val="24"/>
          <w:szCs w:val="24"/>
        </w:rPr>
      </w:pPr>
      <w:r w:rsidRPr="00026718">
        <w:rPr>
          <w:sz w:val="24"/>
          <w:szCs w:val="24"/>
        </w:rPr>
        <w:t>Developments have also been reported for the cathodic systems, moving from those based on chemical electrolytes (e.g. ferricyanide) as the terminal electron sink (oxidizer)</w:t>
      </w:r>
      <w:r>
        <w:rPr>
          <w:sz w:val="24"/>
          <w:szCs w:val="24"/>
        </w:rPr>
        <w:t xml:space="preserve"> [8, 22]</w:t>
      </w:r>
      <w:r w:rsidRPr="00026718">
        <w:rPr>
          <w:sz w:val="24"/>
          <w:szCs w:val="24"/>
        </w:rPr>
        <w:t xml:space="preserve"> to ones based on oxygen electrodes, which offer the advantage of self sustainability, provided that they are kept hydrated in oxygenated environments </w:t>
      </w:r>
      <w:r>
        <w:rPr>
          <w:sz w:val="24"/>
          <w:szCs w:val="24"/>
        </w:rPr>
        <w:t>[14, 23-25]</w:t>
      </w:r>
      <w:r w:rsidRPr="00026718">
        <w:rPr>
          <w:sz w:val="24"/>
          <w:szCs w:val="24"/>
        </w:rPr>
        <w:t>.</w:t>
      </w:r>
    </w:p>
    <w:p w:rsidR="00C74D45" w:rsidRPr="00026718" w:rsidRDefault="00C74D45" w:rsidP="00C74D45">
      <w:pPr>
        <w:pStyle w:val="TAMainText"/>
        <w:spacing w:line="240" w:lineRule="auto"/>
        <w:jc w:val="both"/>
      </w:pPr>
      <w:r w:rsidRPr="00026718">
        <w:t xml:space="preserve">The key advantage of MFCs over other types of small scale energy sources (e.g. batteries) is that their construction, fuel sources and operation are environmentally friendly. The cost of manufacture is low and the production of electricity has the potential of being continuous over months or years, as long as there is continuous or periodic replenishment of </w:t>
      </w:r>
      <w:r w:rsidRPr="00026718">
        <w:lastRenderedPageBreak/>
        <w:t>nutrients. MFCs possess high substrate to electricity conversion efficiencies (up to 96%</w:t>
      </w:r>
      <w:r>
        <w:t>)</w:t>
      </w:r>
      <w:r w:rsidRPr="00026718">
        <w:t xml:space="preserve"> </w:t>
      </w:r>
      <w:r>
        <w:t>[16]</w:t>
      </w:r>
      <w:r w:rsidRPr="00026718">
        <w:t>, but their primary disadvantage is the low energy transformation rates</w:t>
      </w:r>
      <w:r>
        <w:t>, which currently limits this technology to only low power applications</w:t>
      </w:r>
      <w:r w:rsidRPr="00026718">
        <w:t>. The</w:t>
      </w:r>
      <w:r>
        <w:t xml:space="preserve">se </w:t>
      </w:r>
      <w:r w:rsidRPr="00026718">
        <w:t xml:space="preserve">could conceivably include sensors, indicator lights, electronic processors, small actuators and small robots. The typical sustainable voltage output from a 25mL size MFC with </w:t>
      </w:r>
      <w:r>
        <w:t xml:space="preserve">a ferricyanide cathode and </w:t>
      </w:r>
      <w:r w:rsidRPr="00026718">
        <w:t xml:space="preserve">carbon veil electrodes, is of the order of 0.7V (open-circuit). Higher open circuit values of ~1V have also been reported from individual small scale MFCs </w:t>
      </w:r>
      <w:r>
        <w:t>under special conditions [26, 27]</w:t>
      </w:r>
      <w:r w:rsidR="00073E54">
        <w:t>,</w:t>
      </w:r>
      <w:r w:rsidRPr="00026718">
        <w:t xml:space="preserve"> which is closer to the theoretical maximum of 1.14V. Thus, in order to produce sufficient voltage (&gt;1.5V) and</w:t>
      </w:r>
      <w:r w:rsidR="00BB539E">
        <w:t>/or</w:t>
      </w:r>
      <w:r w:rsidRPr="00026718">
        <w:t xml:space="preserve"> power – to reside within the operating range of silicon-based circuitry – it is </w:t>
      </w:r>
      <w:r w:rsidR="00073E54">
        <w:t xml:space="preserve">necessary </w:t>
      </w:r>
      <w:r w:rsidRPr="00026718">
        <w:t xml:space="preserve"> to either scale-up one single unit or connect multiple small units together.</w:t>
      </w:r>
    </w:p>
    <w:p w:rsidR="00C74D45" w:rsidRDefault="00C74D45" w:rsidP="00C74D45">
      <w:pPr>
        <w:pStyle w:val="TAMainText"/>
        <w:spacing w:line="240" w:lineRule="auto"/>
        <w:jc w:val="both"/>
      </w:pPr>
      <w:r w:rsidRPr="00026718">
        <w:t>For conventional (chemical) fuel cells - as with conventional batteries -</w:t>
      </w:r>
      <w:r>
        <w:t xml:space="preserve"> it is well </w:t>
      </w:r>
      <w:r w:rsidRPr="00026718">
        <w:t xml:space="preserve">known that a large number of units connected together, will produce more power than a single unit </w:t>
      </w:r>
      <w:r>
        <w:t>[28]</w:t>
      </w:r>
      <w:r w:rsidRPr="00026718">
        <w:t xml:space="preserve">. The same applies to MFCs, as shown by EcoBots-I and -II, which employed stacks of 8 MFCs connected together </w:t>
      </w:r>
      <w:r>
        <w:t>[3, 4]</w:t>
      </w:r>
      <w:r w:rsidRPr="00026718">
        <w:t xml:space="preserve"> and also more recently demonstrated in a continuous flow stack of 6 units </w:t>
      </w:r>
      <w:r>
        <w:t>[29]</w:t>
      </w:r>
      <w:r w:rsidRPr="00026718">
        <w:t>. However, it is still unknown whether increasing the volume of a single MFC unit (</w:t>
      </w:r>
      <w:r>
        <w:t>for example</w:t>
      </w:r>
      <w:r w:rsidRPr="00026718">
        <w:t>) 20-fold has any advantage over joining 20 single small units together (with equivalent total anodic volume). A further issue is encountered when connecting multiple units together, since this can be done in a number of different ways, in series, parallel or series/parallel (see Figure 1), to step-up the voltage, current or both respectively. The connection of multiple MFCs may be further complicated if the units are running under continuous flow conditions, which involves electrically conducting fluidic</w:t>
      </w:r>
      <w:r>
        <w:t xml:space="preserve"> connections.</w:t>
      </w:r>
    </w:p>
    <w:p w:rsidR="00C74D45" w:rsidRPr="00026718" w:rsidRDefault="00C74D45" w:rsidP="00C74D45">
      <w:pPr>
        <w:pStyle w:val="TAMainText"/>
        <w:spacing w:line="240" w:lineRule="auto"/>
        <w:jc w:val="both"/>
      </w:pPr>
      <w:r w:rsidRPr="00026718">
        <w:t xml:space="preserve">This study builds on our previous work with the medium size MFC. This model was extensively investigated in order to determine the optimum electrode size-to-fluid volume ratio and also the optimum PEM window size, taking into consideration both intuitive and non-intuitive factors such as electrode and electrolyte resistance, electrode compaction and fluid displacement </w:t>
      </w:r>
      <w:r>
        <w:t>[15].</w:t>
      </w:r>
    </w:p>
    <w:p w:rsidR="00C74D45" w:rsidRPr="00026718" w:rsidRDefault="00C74D45" w:rsidP="00C74D45">
      <w:pPr>
        <w:pStyle w:val="TAMainText"/>
        <w:spacing w:line="240" w:lineRule="auto"/>
        <w:jc w:val="both"/>
      </w:pPr>
      <w:r w:rsidRPr="00026718">
        <w:t xml:space="preserve">In this paper, we describe a set of experiments using different size MFCs (termed as large, medium and small) which are compared by means of polarization runs and also at optimum external resistor loads and we investigate the connection of multiple small size MFC units in a conventional </w:t>
      </w:r>
      <w:r w:rsidRPr="00026718">
        <w:lastRenderedPageBreak/>
        <w:t>series, parallel or series parallel configuration, under a continuous flow mode. The overall aim was to propose an optimum configuration for scaling-up MFCs as stacks of multiple units to energize practical small-scale applications.</w:t>
      </w:r>
    </w:p>
    <w:p w:rsidR="00C74D45" w:rsidRPr="00026718" w:rsidRDefault="00C74D45" w:rsidP="00C74D45">
      <w:pPr>
        <w:pStyle w:val="TAMainText"/>
        <w:spacing w:line="240" w:lineRule="auto"/>
        <w:jc w:val="both"/>
      </w:pPr>
    </w:p>
    <w:p w:rsidR="00C74D45" w:rsidRPr="00026718" w:rsidRDefault="00F423C0" w:rsidP="00C74D45">
      <w:pPr>
        <w:pStyle w:val="VAFigureCaption"/>
        <w:spacing w:line="240" w:lineRule="auto"/>
        <w:jc w:val="center"/>
      </w:pPr>
      <w:r>
        <w:object w:dxaOrig="13749" w:dyaOrig="10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pt;height:199.7pt" o:ole="">
            <v:imagedata r:id="rId9" o:title=""/>
          </v:shape>
          <o:OLEObject Type="Embed" ProgID="Visio.Drawing.5" ShapeID="_x0000_i1025" DrawAspect="Content" ObjectID="_1353995154" r:id="rId10"/>
        </w:object>
      </w:r>
    </w:p>
    <w:p w:rsidR="00C74D45" w:rsidRDefault="00C74D45" w:rsidP="001959CA">
      <w:pPr>
        <w:pStyle w:val="VAFigureCaption"/>
        <w:spacing w:line="240" w:lineRule="auto"/>
        <w:jc w:val="both"/>
        <w:rPr>
          <w:sz w:val="22"/>
          <w:szCs w:val="22"/>
        </w:rPr>
      </w:pPr>
      <w:proofErr w:type="gramStart"/>
      <w:r w:rsidRPr="0085690B">
        <w:rPr>
          <w:sz w:val="22"/>
          <w:szCs w:val="22"/>
        </w:rPr>
        <w:t xml:space="preserve">Figure </w:t>
      </w:r>
      <w:r w:rsidRPr="0085690B">
        <w:rPr>
          <w:sz w:val="22"/>
          <w:szCs w:val="22"/>
        </w:rPr>
        <w:fldChar w:fldCharType="begin"/>
      </w:r>
      <w:r w:rsidRPr="0085690B">
        <w:rPr>
          <w:sz w:val="22"/>
          <w:szCs w:val="22"/>
        </w:rPr>
        <w:instrText xml:space="preserve"> SEQ Figure \* ARABIC </w:instrText>
      </w:r>
      <w:r w:rsidRPr="0085690B">
        <w:rPr>
          <w:sz w:val="22"/>
          <w:szCs w:val="22"/>
        </w:rPr>
        <w:fldChar w:fldCharType="separate"/>
      </w:r>
      <w:r w:rsidRPr="0085690B">
        <w:rPr>
          <w:noProof/>
          <w:sz w:val="22"/>
          <w:szCs w:val="22"/>
        </w:rPr>
        <w:t>1</w:t>
      </w:r>
      <w:r w:rsidRPr="0085690B">
        <w:rPr>
          <w:sz w:val="22"/>
          <w:szCs w:val="22"/>
        </w:rPr>
        <w:fldChar w:fldCharType="end"/>
      </w:r>
      <w:r w:rsidRPr="0085690B">
        <w:rPr>
          <w:sz w:val="22"/>
          <w:szCs w:val="22"/>
        </w:rPr>
        <w:t>.</w:t>
      </w:r>
      <w:proofErr w:type="gramEnd"/>
      <w:r w:rsidRPr="0085690B">
        <w:rPr>
          <w:sz w:val="22"/>
          <w:szCs w:val="22"/>
        </w:rPr>
        <w:t xml:space="preserve"> </w:t>
      </w:r>
      <w:proofErr w:type="gramStart"/>
      <w:r w:rsidRPr="0085690B">
        <w:rPr>
          <w:sz w:val="22"/>
          <w:szCs w:val="22"/>
        </w:rPr>
        <w:t>Schematic representation of the different fluidic and electrical configurations for stacks of MFCs; (a) parallel electrical connection with a common feed line, (b) series electrical connection with a common feed line, (c) series electrical connection but with individual feed lines and (d) series-parallel connections with individual feed lines and with an even number of MFCs.</w:t>
      </w:r>
      <w:proofErr w:type="gramEnd"/>
    </w:p>
    <w:p w:rsidR="0017539E" w:rsidRPr="0017539E" w:rsidRDefault="0017539E" w:rsidP="001959CA">
      <w:pPr>
        <w:jc w:val="both"/>
      </w:pPr>
    </w:p>
    <w:p w:rsidR="00C74D45" w:rsidRPr="008B25F9" w:rsidRDefault="00C74D45" w:rsidP="00C74D45">
      <w:pPr>
        <w:numPr>
          <w:ilvl w:val="0"/>
          <w:numId w:val="45"/>
        </w:numPr>
        <w:spacing w:before="120"/>
        <w:jc w:val="center"/>
        <w:rPr>
          <w:sz w:val="24"/>
          <w:szCs w:val="24"/>
        </w:rPr>
      </w:pPr>
      <w:r w:rsidRPr="008B25F9">
        <w:rPr>
          <w:sz w:val="24"/>
          <w:szCs w:val="24"/>
        </w:rPr>
        <w:t>EXPERIMENTAL</w:t>
      </w:r>
      <w:r w:rsidR="007F08FA">
        <w:rPr>
          <w:sz w:val="24"/>
          <w:szCs w:val="24"/>
        </w:rPr>
        <w:t xml:space="preserve"> SETUP</w:t>
      </w:r>
    </w:p>
    <w:p w:rsidR="00C74D45" w:rsidRPr="008B25F9" w:rsidRDefault="00C74D45" w:rsidP="00C74D45">
      <w:pPr>
        <w:pStyle w:val="TAMainText"/>
        <w:tabs>
          <w:tab w:val="num" w:pos="720"/>
        </w:tabs>
        <w:spacing w:after="120" w:line="240" w:lineRule="auto"/>
        <w:ind w:firstLine="0"/>
        <w:jc w:val="both"/>
        <w:rPr>
          <w:i/>
          <w:sz w:val="20"/>
        </w:rPr>
      </w:pPr>
      <w:r>
        <w:rPr>
          <w:i/>
        </w:rPr>
        <w:t xml:space="preserve">2.1. </w:t>
      </w:r>
      <w:r w:rsidRPr="008B25F9">
        <w:rPr>
          <w:i/>
        </w:rPr>
        <w:t>Anaerobic sludge</w:t>
      </w:r>
      <w:r w:rsidRPr="008B25F9">
        <w:rPr>
          <w:i/>
          <w:sz w:val="20"/>
        </w:rPr>
        <w:t xml:space="preserve"> </w:t>
      </w:r>
    </w:p>
    <w:p w:rsidR="00C74D45" w:rsidRDefault="00C74D45" w:rsidP="00C74D45">
      <w:pPr>
        <w:pStyle w:val="TAMainText"/>
        <w:spacing w:line="240" w:lineRule="auto"/>
        <w:ind w:firstLine="0"/>
        <w:jc w:val="both"/>
      </w:pPr>
      <w:r w:rsidRPr="00026718">
        <w:t xml:space="preserve">Anaerobic activated sewage sludge was provided by the Wessex Water Scientific Laboratory, </w:t>
      </w:r>
      <w:smartTag w:uri="urn:schemas-microsoft-com:office:smarttags" w:element="place">
        <w:smartTag w:uri="urn:schemas-microsoft-com:office:smarttags" w:element="City">
          <w:r w:rsidRPr="00026718">
            <w:t>Saltford</w:t>
          </w:r>
        </w:smartTag>
        <w:r w:rsidRPr="00026718">
          <w:t xml:space="preserve">, </w:t>
        </w:r>
        <w:smartTag w:uri="urn:schemas-microsoft-com:office:smarttags" w:element="country-region">
          <w:r w:rsidRPr="00026718">
            <w:t>UK</w:t>
          </w:r>
        </w:smartTag>
      </w:smartTag>
      <w:r w:rsidRPr="00026718">
        <w:t xml:space="preserve">. The collected samples were pre-processed, </w:t>
      </w:r>
      <w:r w:rsidR="00052807">
        <w:t xml:space="preserve">during treatment at the water works </w:t>
      </w:r>
      <w:r w:rsidRPr="00026718">
        <w:t>in order to remove pathogenic viruses. Samples were kept in their original water-based suspension, at 4 °C</w:t>
      </w:r>
      <w:r w:rsidR="00052807">
        <w:t xml:space="preserve"> anaerobically</w:t>
      </w:r>
      <w:r w:rsidRPr="00026718">
        <w:t xml:space="preserve">, and used within 3 weeks following </w:t>
      </w:r>
      <w:r w:rsidR="001825F7">
        <w:t>anaerobic treatment</w:t>
      </w:r>
      <w:r w:rsidRPr="00026718">
        <w:t>. The sludge samples (pH</w:t>
      </w:r>
      <w:r>
        <w:t xml:space="preserve"> </w:t>
      </w:r>
      <w:r w:rsidRPr="00026718">
        <w:t>7.3) were mixed with sterile nutrient broth (25g l</w:t>
      </w:r>
      <w:r w:rsidRPr="00026718">
        <w:rPr>
          <w:vertAlign w:val="superscript"/>
        </w:rPr>
        <w:t>-1</w:t>
      </w:r>
      <w:r w:rsidRPr="00026718">
        <w:t xml:space="preserve">) (Oxoid, </w:t>
      </w:r>
      <w:smartTag w:uri="urn:schemas-microsoft-com:office:smarttags" w:element="place">
        <w:smartTag w:uri="urn:schemas-microsoft-com:office:smarttags" w:element="City">
          <w:r w:rsidRPr="00026718">
            <w:t>Basingstoke</w:t>
          </w:r>
        </w:smartTag>
        <w:r w:rsidRPr="00026718">
          <w:t xml:space="preserve">, </w:t>
        </w:r>
        <w:smartTag w:uri="urn:schemas-microsoft-com:office:smarttags" w:element="country-region">
          <w:r w:rsidRPr="00026718">
            <w:t>UK</w:t>
          </w:r>
        </w:smartTag>
      </w:smartTag>
      <w:r w:rsidRPr="00026718">
        <w:t>) and given 24 hours at room temperature prior to usage as start inocula in the experiments.</w:t>
      </w:r>
    </w:p>
    <w:p w:rsidR="00C74D45" w:rsidRPr="00026718" w:rsidRDefault="00C74D45" w:rsidP="00C74D45">
      <w:pPr>
        <w:pStyle w:val="TAMainText"/>
        <w:spacing w:line="240" w:lineRule="auto"/>
        <w:ind w:firstLine="0"/>
        <w:jc w:val="both"/>
      </w:pPr>
    </w:p>
    <w:p w:rsidR="00C74D45" w:rsidRPr="008B25F9" w:rsidRDefault="00C74D45" w:rsidP="00C74D45">
      <w:pPr>
        <w:pStyle w:val="TAMainText"/>
        <w:tabs>
          <w:tab w:val="num" w:pos="720"/>
        </w:tabs>
        <w:spacing w:after="120" w:line="240" w:lineRule="auto"/>
        <w:ind w:firstLine="0"/>
        <w:jc w:val="both"/>
        <w:rPr>
          <w:i/>
        </w:rPr>
      </w:pPr>
      <w:r>
        <w:rPr>
          <w:i/>
        </w:rPr>
        <w:t xml:space="preserve">2.2. </w:t>
      </w:r>
      <w:r w:rsidRPr="008B25F9">
        <w:rPr>
          <w:i/>
        </w:rPr>
        <w:t xml:space="preserve">MFC design and operation </w:t>
      </w:r>
    </w:p>
    <w:p w:rsidR="00C74D45" w:rsidRPr="00026718" w:rsidRDefault="00C74D45" w:rsidP="00C74D45">
      <w:pPr>
        <w:pStyle w:val="TAMainText"/>
        <w:spacing w:line="240" w:lineRule="auto"/>
        <w:ind w:firstLine="0"/>
        <w:jc w:val="both"/>
      </w:pPr>
      <w:r w:rsidRPr="00026718">
        <w:t>For the purposes of our experiments, three MFC sizes were employed; small, medium and large with anodic void volumes of 6.</w:t>
      </w:r>
      <w:r w:rsidR="001825F7">
        <w:t>3</w:t>
      </w:r>
      <w:r w:rsidRPr="00026718">
        <w:t>, 2</w:t>
      </w:r>
      <w:r w:rsidR="001825F7">
        <w:t>9.63</w:t>
      </w:r>
      <w:r w:rsidRPr="00026718">
        <w:t xml:space="preserve"> and 500mL. The medium size MFC has been previously used in our work, and formed the control for the experiments. In terms of proportionality, the small MFC was ¼ and the large </w:t>
      </w:r>
      <w:r w:rsidRPr="00026718">
        <w:lastRenderedPageBreak/>
        <w:t xml:space="preserve">was 20 times the size of the control. The internal dimensions (h </w:t>
      </w:r>
      <w:r w:rsidRPr="00026718">
        <w:rPr>
          <w:rFonts w:ascii="Arial" w:hAnsi="Arial" w:cs="Arial"/>
          <w:sz w:val="20"/>
        </w:rPr>
        <w:t xml:space="preserve">x </w:t>
      </w:r>
      <w:r w:rsidRPr="00026718">
        <w:t xml:space="preserve">w </w:t>
      </w:r>
      <w:r w:rsidRPr="00026718">
        <w:rPr>
          <w:rFonts w:ascii="Arial" w:hAnsi="Arial" w:cs="Arial"/>
          <w:sz w:val="20"/>
        </w:rPr>
        <w:t xml:space="preserve">x </w:t>
      </w:r>
      <w:r w:rsidRPr="00026718">
        <w:t>d) in mm for the three sizes were: 28.5</w:t>
      </w:r>
      <w:r w:rsidRPr="00026718">
        <w:rPr>
          <w:rFonts w:ascii="Arial" w:hAnsi="Arial" w:cs="Arial"/>
          <w:sz w:val="20"/>
        </w:rPr>
        <w:t>x</w:t>
      </w:r>
      <w:r w:rsidRPr="00026718">
        <w:t>17.0</w:t>
      </w:r>
      <w:r w:rsidRPr="00026718">
        <w:rPr>
          <w:rFonts w:ascii="Arial" w:hAnsi="Arial" w:cs="Arial"/>
          <w:sz w:val="20"/>
        </w:rPr>
        <w:t>x</w:t>
      </w:r>
      <w:r w:rsidRPr="00026718">
        <w:t>13.0 (small), 53.0</w:t>
      </w:r>
      <w:r w:rsidRPr="00026718">
        <w:rPr>
          <w:rFonts w:ascii="Arial" w:hAnsi="Arial" w:cs="Arial"/>
          <w:sz w:val="20"/>
        </w:rPr>
        <w:t>x</w:t>
      </w:r>
      <w:r w:rsidRPr="00026718">
        <w:t>43.0</w:t>
      </w:r>
      <w:r w:rsidRPr="00026718">
        <w:rPr>
          <w:rFonts w:ascii="Arial" w:hAnsi="Arial" w:cs="Arial"/>
          <w:sz w:val="20"/>
        </w:rPr>
        <w:t>x</w:t>
      </w:r>
      <w:r w:rsidRPr="00026718">
        <w:t>13.0 (medium) and 1</w:t>
      </w:r>
      <w:r w:rsidR="001825F7">
        <w:t>4</w:t>
      </w:r>
      <w:r w:rsidRPr="00026718">
        <w:t>5</w:t>
      </w:r>
      <w:r w:rsidRPr="00026718">
        <w:rPr>
          <w:rFonts w:ascii="Arial" w:hAnsi="Arial" w:cs="Arial"/>
          <w:sz w:val="20"/>
        </w:rPr>
        <w:t>x</w:t>
      </w:r>
      <w:r w:rsidR="001825F7">
        <w:t>9</w:t>
      </w:r>
      <w:r w:rsidRPr="00026718">
        <w:t>0</w:t>
      </w:r>
      <w:r w:rsidRPr="00026718">
        <w:rPr>
          <w:rFonts w:ascii="Arial" w:hAnsi="Arial" w:cs="Arial"/>
          <w:sz w:val="20"/>
        </w:rPr>
        <w:t>x</w:t>
      </w:r>
      <w:r w:rsidRPr="00026718">
        <w:t>5</w:t>
      </w:r>
      <w:r w:rsidR="001825F7">
        <w:t>0</w:t>
      </w:r>
      <w:r w:rsidRPr="00026718">
        <w:t xml:space="preserve"> (large).</w:t>
      </w:r>
      <w:r w:rsidR="001825F7">
        <w:t xml:space="preserve"> The fluid volumes in each of the compartments were sufficient to fully cover the electrode material.</w:t>
      </w:r>
    </w:p>
    <w:p w:rsidR="00C74D45" w:rsidRPr="00026718" w:rsidRDefault="00C74D45" w:rsidP="00C74D45">
      <w:pPr>
        <w:pStyle w:val="TAMainText"/>
        <w:spacing w:line="240" w:lineRule="auto"/>
        <w:jc w:val="both"/>
      </w:pPr>
      <w:r w:rsidRPr="00026718">
        <w:t>The electrode material used was pure carbon fibre veil (without catalytic metals), with a density of 20g/m</w:t>
      </w:r>
      <w:r w:rsidRPr="00026718">
        <w:rPr>
          <w:vertAlign w:val="superscript"/>
        </w:rPr>
        <w:t>2</w:t>
      </w:r>
      <w:r w:rsidRPr="00026718">
        <w:t xml:space="preserve"> (PRF Composites, </w:t>
      </w:r>
      <w:smartTag w:uri="urn:schemas-microsoft-com:office:smarttags" w:element="place">
        <w:smartTag w:uri="urn:schemas-microsoft-com:office:smarttags" w:element="City">
          <w:r w:rsidRPr="00026718">
            <w:t>Dorset</w:t>
          </w:r>
        </w:smartTag>
        <w:r w:rsidRPr="00026718">
          <w:t xml:space="preserve">, </w:t>
        </w:r>
        <w:smartTag w:uri="urn:schemas-microsoft-com:office:smarttags" w:element="country-region">
          <w:r w:rsidRPr="00026718">
            <w:t>UK</w:t>
          </w:r>
        </w:smartTag>
      </w:smartTag>
      <w:r w:rsidRPr="00026718">
        <w:t>). The electrode surface area (s.a.) for the control (medium size) MFC, was previously determined in a volume-to-surface area ratio optimization experiment and was found to be 270cm</w:t>
      </w:r>
      <w:r w:rsidRPr="00026718">
        <w:rPr>
          <w:vertAlign w:val="superscript"/>
        </w:rPr>
        <w:t>2</w:t>
      </w:r>
      <w:r>
        <w:t xml:space="preserve"> [15]</w:t>
      </w:r>
      <w:r w:rsidRPr="00026718">
        <w:t xml:space="preserve">.  Thus, the electrode s.a. for the small and large size MFCs were proportional to the volume scale difference </w:t>
      </w:r>
      <w:r>
        <w:t>with</w:t>
      </w:r>
      <w:r w:rsidRPr="00026718">
        <w:t xml:space="preserve"> the control; i.e. 67.5cm</w:t>
      </w:r>
      <w:r w:rsidRPr="00026718">
        <w:rPr>
          <w:vertAlign w:val="superscript"/>
        </w:rPr>
        <w:t>2</w:t>
      </w:r>
      <w:r w:rsidRPr="00026718">
        <w:t xml:space="preserve"> (270cm</w:t>
      </w:r>
      <w:r w:rsidRPr="00026718">
        <w:rPr>
          <w:vertAlign w:val="superscript"/>
        </w:rPr>
        <w:t>2</w:t>
      </w:r>
      <w:r w:rsidRPr="00026718">
        <w:t>/4) for the small and 5400cm</w:t>
      </w:r>
      <w:r w:rsidRPr="00026718">
        <w:rPr>
          <w:vertAlign w:val="superscript"/>
        </w:rPr>
        <w:t>2</w:t>
      </w:r>
      <w:r w:rsidRPr="00026718">
        <w:t xml:space="preserve"> (270cm</w:t>
      </w:r>
      <w:r w:rsidRPr="00026718">
        <w:rPr>
          <w:vertAlign w:val="superscript"/>
        </w:rPr>
        <w:t>2</w:t>
      </w:r>
      <w:r w:rsidRPr="00026718">
        <w:t>×20) for the large size MFCs</w:t>
      </w:r>
      <w:r>
        <w:t xml:space="preserve">. </w:t>
      </w:r>
      <w:r w:rsidRPr="00026718">
        <w:t xml:space="preserve">These electrode materials were </w:t>
      </w:r>
      <w:r>
        <w:t xml:space="preserve">employed for both anodes and cathodes and were </w:t>
      </w:r>
      <w:r w:rsidRPr="00026718">
        <w:t xml:space="preserve">folded down to (h </w:t>
      </w:r>
      <w:r w:rsidRPr="00026718">
        <w:rPr>
          <w:rFonts w:ascii="Arial" w:hAnsi="Arial" w:cs="Arial"/>
          <w:sz w:val="20"/>
        </w:rPr>
        <w:t xml:space="preserve">x </w:t>
      </w:r>
      <w:r w:rsidRPr="00026718">
        <w:t xml:space="preserve">w </w:t>
      </w:r>
      <w:r w:rsidRPr="00026718">
        <w:rPr>
          <w:rFonts w:ascii="Arial" w:hAnsi="Arial" w:cs="Arial"/>
          <w:sz w:val="20"/>
        </w:rPr>
        <w:t xml:space="preserve">x </w:t>
      </w:r>
      <w:r w:rsidRPr="00026718">
        <w:t xml:space="preserve">d) mm: small (15 </w:t>
      </w:r>
      <w:r w:rsidRPr="00026718">
        <w:rPr>
          <w:rFonts w:ascii="Arial" w:hAnsi="Arial" w:cs="Arial"/>
          <w:sz w:val="20"/>
        </w:rPr>
        <w:t xml:space="preserve">x </w:t>
      </w:r>
      <w:r w:rsidRPr="00026718">
        <w:t xml:space="preserve">15 </w:t>
      </w:r>
      <w:r w:rsidRPr="00026718">
        <w:rPr>
          <w:rFonts w:ascii="Arial" w:hAnsi="Arial" w:cs="Arial"/>
          <w:sz w:val="20"/>
        </w:rPr>
        <w:t>x</w:t>
      </w:r>
      <w:r w:rsidRPr="00026718">
        <w:t xml:space="preserve"> 5), medium (40 </w:t>
      </w:r>
      <w:r w:rsidRPr="00026718">
        <w:rPr>
          <w:rFonts w:ascii="Arial" w:hAnsi="Arial" w:cs="Arial"/>
          <w:sz w:val="20"/>
        </w:rPr>
        <w:t>x</w:t>
      </w:r>
      <w:r w:rsidRPr="00026718">
        <w:t xml:space="preserve"> 20 </w:t>
      </w:r>
      <w:r w:rsidRPr="00026718">
        <w:rPr>
          <w:rFonts w:ascii="Arial" w:hAnsi="Arial" w:cs="Arial"/>
          <w:sz w:val="20"/>
        </w:rPr>
        <w:t>x</w:t>
      </w:r>
      <w:r w:rsidRPr="00026718">
        <w:t xml:space="preserve"> 10) and large (</w:t>
      </w:r>
      <w:r w:rsidR="00850A8A" w:rsidRPr="00026718">
        <w:t>140</w:t>
      </w:r>
      <w:r w:rsidR="00850A8A">
        <w:t xml:space="preserve"> </w:t>
      </w:r>
      <w:r w:rsidR="00850A8A" w:rsidRPr="00305691">
        <w:rPr>
          <w:rFonts w:ascii="Arial" w:hAnsi="Arial" w:cs="Arial"/>
          <w:sz w:val="20"/>
        </w:rPr>
        <w:t>x</w:t>
      </w:r>
      <w:r w:rsidR="00850A8A">
        <w:t xml:space="preserve"> </w:t>
      </w:r>
      <w:r w:rsidRPr="00026718">
        <w:t xml:space="preserve">50 </w:t>
      </w:r>
      <w:r w:rsidRPr="00026718">
        <w:rPr>
          <w:rFonts w:ascii="Arial" w:hAnsi="Arial" w:cs="Arial"/>
          <w:sz w:val="20"/>
        </w:rPr>
        <w:t>x</w:t>
      </w:r>
      <w:r w:rsidR="00305691">
        <w:t xml:space="preserve"> 50</w:t>
      </w:r>
      <w:r w:rsidRPr="00026718">
        <w:t xml:space="preserve">). </w:t>
      </w:r>
    </w:p>
    <w:p w:rsidR="00C74D45" w:rsidRDefault="00C74D45" w:rsidP="00C74D45">
      <w:pPr>
        <w:pStyle w:val="TAMainText"/>
        <w:spacing w:line="240" w:lineRule="auto"/>
        <w:jc w:val="both"/>
      </w:pPr>
      <w:r w:rsidRPr="00026718">
        <w:t xml:space="preserve">Each MFC consisted of a single chamber (anode) with one open side that was sealed with the proton-exchange-membrane (PEM) (VWR, </w:t>
      </w:r>
      <w:smartTag w:uri="urn:schemas-microsoft-com:office:smarttags" w:element="place">
        <w:smartTag w:uri="urn:schemas-microsoft-com:office:smarttags" w:element="City">
          <w:r w:rsidRPr="00026718">
            <w:t>Leicestershire</w:t>
          </w:r>
        </w:smartTag>
        <w:r w:rsidRPr="00026718">
          <w:t xml:space="preserve">, </w:t>
        </w:r>
        <w:smartTag w:uri="urn:schemas-microsoft-com:office:smarttags" w:element="country-region">
          <w:r w:rsidRPr="00026718">
            <w:t>UK</w:t>
          </w:r>
        </w:smartTag>
      </w:smartTag>
      <w:r w:rsidRPr="00026718">
        <w:t>), on which the O</w:t>
      </w:r>
      <w:r w:rsidRPr="00026718">
        <w:rPr>
          <w:vertAlign w:val="subscript"/>
        </w:rPr>
        <w:t>2</w:t>
      </w:r>
      <w:r w:rsidRPr="00026718">
        <w:t xml:space="preserve"> cathode electrode resided thus exposing it to oxygen in air. The O</w:t>
      </w:r>
      <w:r w:rsidRPr="00026718">
        <w:rPr>
          <w:vertAlign w:val="subscript"/>
        </w:rPr>
        <w:t>2</w:t>
      </w:r>
      <w:r w:rsidRPr="00026718">
        <w:t xml:space="preserve"> electrodes were frequently hydrated, to ensure full saturation with water throughout the experiments. All three systems were designed to allow continuous </w:t>
      </w:r>
      <w:r w:rsidR="001825F7">
        <w:t>feed</w:t>
      </w:r>
      <w:r w:rsidRPr="00026718">
        <w:t xml:space="preserve"> of 5mM sodium acetate as </w:t>
      </w:r>
      <w:r w:rsidR="001825F7">
        <w:t xml:space="preserve">the </w:t>
      </w:r>
      <w:r w:rsidRPr="00026718">
        <w:t>fuel. The membrane window size was 4.8cm</w:t>
      </w:r>
      <w:r w:rsidRPr="00026718">
        <w:rPr>
          <w:vertAlign w:val="superscript"/>
        </w:rPr>
        <w:t>2</w:t>
      </w:r>
      <w:r w:rsidRPr="00026718">
        <w:t>, 18cm</w:t>
      </w:r>
      <w:r w:rsidRPr="00026718">
        <w:rPr>
          <w:vertAlign w:val="superscript"/>
        </w:rPr>
        <w:t>2</w:t>
      </w:r>
      <w:r w:rsidRPr="00026718">
        <w:t xml:space="preserve"> and 36cm</w:t>
      </w:r>
      <w:r w:rsidRPr="00026718">
        <w:rPr>
          <w:vertAlign w:val="superscript"/>
        </w:rPr>
        <w:t>2</w:t>
      </w:r>
      <w:r w:rsidRPr="00026718">
        <w:t xml:space="preserve"> for the small, medium and large size MFCs. </w:t>
      </w:r>
      <w:r w:rsidR="001825F7">
        <w:t xml:space="preserve">The PEM size was proportional to the fuel cell size decrement for the small MFC (i.e. ¼ of the medium MFC size PEM window) but disproportional to the fuel cell size increment for the large MFC (i.e. 2x larger instead of 20x). This was due to the physical dimensions and geometrical limitations of the large MFC available. </w:t>
      </w:r>
      <w:r w:rsidRPr="00026718">
        <w:t>The medium and large size MFCs were assembled using 5mm nylon studding, washers and nuts, whereas the small size MFC was an in-house rapid-prototyped plug-in assembly made from polycarbonate material (FDM Titan, LaserLine, Bedford, UK).</w:t>
      </w:r>
    </w:p>
    <w:p w:rsidR="00C74D45" w:rsidRPr="00026718" w:rsidRDefault="00C74D45" w:rsidP="00C74D45">
      <w:pPr>
        <w:pStyle w:val="TAMainText"/>
        <w:spacing w:line="240" w:lineRule="auto"/>
        <w:jc w:val="both"/>
      </w:pPr>
    </w:p>
    <w:p w:rsidR="00C74D45" w:rsidRPr="008B25F9" w:rsidRDefault="00C74D45" w:rsidP="00C74D45">
      <w:pPr>
        <w:pStyle w:val="TAMainText"/>
        <w:tabs>
          <w:tab w:val="num" w:pos="720"/>
        </w:tabs>
        <w:spacing w:after="120" w:line="240" w:lineRule="auto"/>
        <w:ind w:firstLine="0"/>
        <w:jc w:val="both"/>
        <w:rPr>
          <w:i/>
        </w:rPr>
      </w:pPr>
      <w:bookmarkStart w:id="0" w:name="SECX6"/>
      <w:bookmarkEnd w:id="0"/>
      <w:r>
        <w:rPr>
          <w:i/>
        </w:rPr>
        <w:t xml:space="preserve">2.3. </w:t>
      </w:r>
      <w:r w:rsidRPr="008B25F9">
        <w:rPr>
          <w:i/>
        </w:rPr>
        <w:t xml:space="preserve">Polarization curve method </w:t>
      </w:r>
    </w:p>
    <w:p w:rsidR="00C74D45" w:rsidRDefault="00C74D45" w:rsidP="00C74D45">
      <w:pPr>
        <w:pStyle w:val="TAMainText"/>
        <w:spacing w:line="240" w:lineRule="auto"/>
        <w:ind w:firstLine="0"/>
        <w:jc w:val="both"/>
      </w:pPr>
      <w:r w:rsidRPr="00026718">
        <w:t>Polarization curves were generated using continuous flow of feedstock into the MFCs at constant flow rates to give anodic chamber dilution rates of 0.04h</w:t>
      </w:r>
      <w:r w:rsidRPr="00026718">
        <w:rPr>
          <w:vertAlign w:val="superscript"/>
        </w:rPr>
        <w:t>-1</w:t>
      </w:r>
      <w:r w:rsidRPr="00026718">
        <w:t>. Polarization data were produced by sweeping 57 resistor values covering the range of 1Ω - 29999Ω and the time interval between resistance changes was 30sec.</w:t>
      </w:r>
    </w:p>
    <w:p w:rsidR="00C74D45" w:rsidRPr="00026718" w:rsidRDefault="00C74D45" w:rsidP="00C74D45">
      <w:pPr>
        <w:pStyle w:val="TAMainText"/>
        <w:spacing w:line="240" w:lineRule="auto"/>
        <w:ind w:firstLine="0"/>
        <w:jc w:val="both"/>
      </w:pPr>
    </w:p>
    <w:p w:rsidR="00C74D45" w:rsidRPr="008B25F9" w:rsidRDefault="00C74D45" w:rsidP="00C74D45">
      <w:pPr>
        <w:pStyle w:val="TAMainText"/>
        <w:tabs>
          <w:tab w:val="num" w:pos="720"/>
        </w:tabs>
        <w:spacing w:after="120" w:line="240" w:lineRule="auto"/>
        <w:ind w:firstLine="0"/>
        <w:jc w:val="both"/>
        <w:rPr>
          <w:i/>
          <w:sz w:val="20"/>
        </w:rPr>
      </w:pPr>
      <w:r>
        <w:rPr>
          <w:bCs/>
          <w:i/>
        </w:rPr>
        <w:t xml:space="preserve">2.4. </w:t>
      </w:r>
      <w:r w:rsidRPr="008B25F9">
        <w:rPr>
          <w:bCs/>
          <w:i/>
        </w:rPr>
        <w:t>Data capture</w:t>
      </w:r>
      <w:r w:rsidRPr="008B25F9">
        <w:rPr>
          <w:i/>
          <w:sz w:val="20"/>
        </w:rPr>
        <w:t xml:space="preserve"> </w:t>
      </w:r>
    </w:p>
    <w:p w:rsidR="00C74D45" w:rsidRDefault="00C74D45" w:rsidP="00C74D45">
      <w:pPr>
        <w:pStyle w:val="TAMainText"/>
        <w:spacing w:line="240" w:lineRule="auto"/>
        <w:ind w:firstLine="0"/>
        <w:jc w:val="both"/>
      </w:pPr>
      <w:r w:rsidRPr="00026718">
        <w:t xml:space="preserve">Electrode output was recorded in milliVolts (mV) against time by using an ADC-16 A-D converter computer interface (Pico Technology Ltd., </w:t>
      </w:r>
      <w:smartTag w:uri="urn:schemas-microsoft-com:office:smarttags" w:element="place">
        <w:smartTag w:uri="urn:schemas-microsoft-com:office:smarttags" w:element="City">
          <w:r w:rsidRPr="00026718">
            <w:t>Cambridgeshire</w:t>
          </w:r>
        </w:smartTag>
        <w:r w:rsidRPr="00026718">
          <w:t xml:space="preserve">, </w:t>
        </w:r>
        <w:smartTag w:uri="urn:schemas-microsoft-com:office:smarttags" w:element="country-region">
          <w:r w:rsidRPr="00026718">
            <w:t>UK</w:t>
          </w:r>
        </w:smartTag>
      </w:smartTag>
      <w:r w:rsidRPr="00026718">
        <w:t xml:space="preserve">). Recorded data were processed and analyzed using the GraphPad Prism® version 4 software </w:t>
      </w:r>
      <w:proofErr w:type="gramStart"/>
      <w:r w:rsidRPr="00026718">
        <w:t>package</w:t>
      </w:r>
      <w:proofErr w:type="gramEnd"/>
      <w:r w:rsidRPr="00026718">
        <w:t xml:space="preserve"> (GraphPad, </w:t>
      </w:r>
      <w:smartTag w:uri="urn:schemas-microsoft-com:office:smarttags" w:element="place">
        <w:smartTag w:uri="urn:schemas-microsoft-com:office:smarttags" w:element="City">
          <w:r w:rsidRPr="00026718">
            <w:t>San Diego</w:t>
          </w:r>
        </w:smartTag>
        <w:r w:rsidRPr="00026718">
          <w:t xml:space="preserve">, </w:t>
        </w:r>
        <w:smartTag w:uri="urn:schemas-microsoft-com:office:smarttags" w:element="State">
          <w:r w:rsidRPr="00026718">
            <w:t>California</w:t>
          </w:r>
        </w:smartTag>
        <w:r w:rsidRPr="00026718">
          <w:t xml:space="preserve">, </w:t>
        </w:r>
        <w:smartTag w:uri="urn:schemas-microsoft-com:office:smarttags" w:element="country-region">
          <w:r w:rsidRPr="00026718">
            <w:t>USA</w:t>
          </w:r>
        </w:smartTag>
      </w:smartTag>
      <w:r w:rsidRPr="00026718">
        <w:t xml:space="preserve">). </w:t>
      </w:r>
    </w:p>
    <w:p w:rsidR="00C74D45" w:rsidRPr="00026718" w:rsidRDefault="00C74D45" w:rsidP="00C74D45">
      <w:pPr>
        <w:pStyle w:val="TAMainText"/>
        <w:spacing w:line="240" w:lineRule="auto"/>
        <w:ind w:firstLine="0"/>
        <w:jc w:val="both"/>
      </w:pPr>
    </w:p>
    <w:p w:rsidR="00C74D45" w:rsidRPr="002144AF" w:rsidRDefault="00C74D45" w:rsidP="00C74D45">
      <w:pPr>
        <w:pStyle w:val="TAMainText"/>
        <w:tabs>
          <w:tab w:val="num" w:pos="720"/>
        </w:tabs>
        <w:spacing w:after="120" w:line="240" w:lineRule="auto"/>
        <w:ind w:firstLine="0"/>
        <w:jc w:val="both"/>
        <w:rPr>
          <w:bCs/>
          <w:i/>
        </w:rPr>
      </w:pPr>
      <w:bookmarkStart w:id="1" w:name="SECX9"/>
      <w:bookmarkStart w:id="2" w:name="SECX10"/>
      <w:bookmarkEnd w:id="1"/>
      <w:bookmarkEnd w:id="2"/>
      <w:r>
        <w:rPr>
          <w:bCs/>
          <w:i/>
        </w:rPr>
        <w:t xml:space="preserve">2.5. </w:t>
      </w:r>
      <w:r w:rsidRPr="002144AF">
        <w:rPr>
          <w:bCs/>
          <w:i/>
        </w:rPr>
        <w:t>Calculation of power output</w:t>
      </w:r>
    </w:p>
    <w:p w:rsidR="00C74D45" w:rsidRDefault="00C74D45" w:rsidP="00C74D45">
      <w:pPr>
        <w:pStyle w:val="TAMainText"/>
        <w:spacing w:line="240" w:lineRule="auto"/>
        <w:ind w:firstLine="0"/>
        <w:jc w:val="both"/>
      </w:pPr>
      <w:r w:rsidRPr="00026718">
        <w:t xml:space="preserve">The current </w:t>
      </w:r>
      <w:r w:rsidRPr="00026718">
        <w:rPr>
          <w:i/>
          <w:iCs/>
        </w:rPr>
        <w:t>I</w:t>
      </w:r>
      <w:r w:rsidRPr="00026718">
        <w:t xml:space="preserve"> in amperes (A) was calculated using Ohm's law, </w:t>
      </w:r>
      <w:r w:rsidRPr="00026718">
        <w:rPr>
          <w:iCs/>
        </w:rPr>
        <w:t>I</w:t>
      </w:r>
      <w:r w:rsidRPr="00026718">
        <w:t> = </w:t>
      </w:r>
      <w:r w:rsidRPr="00026718">
        <w:rPr>
          <w:iCs/>
        </w:rPr>
        <w:t>V</w:t>
      </w:r>
      <w:r w:rsidRPr="00026718">
        <w:t>/</w:t>
      </w:r>
      <w:r w:rsidRPr="00026718">
        <w:rPr>
          <w:iCs/>
        </w:rPr>
        <w:t>R</w:t>
      </w:r>
      <w:r w:rsidRPr="00026718">
        <w:t xml:space="preserve"> where </w:t>
      </w:r>
      <w:r w:rsidRPr="00026718">
        <w:rPr>
          <w:iCs/>
        </w:rPr>
        <w:t>V</w:t>
      </w:r>
      <w:r w:rsidRPr="00026718">
        <w:t xml:space="preserve"> is the measured voltage in volts (V) and </w:t>
      </w:r>
      <w:r w:rsidRPr="00026718">
        <w:rPr>
          <w:i/>
          <w:iCs/>
        </w:rPr>
        <w:t>R</w:t>
      </w:r>
      <w:r w:rsidRPr="00026718">
        <w:t xml:space="preserve"> is the known value of the external load resistor in ohms (Ω). Power (</w:t>
      </w:r>
      <w:r w:rsidRPr="00026718">
        <w:rPr>
          <w:i/>
          <w:iCs/>
        </w:rPr>
        <w:t>P</w:t>
      </w:r>
      <w:r w:rsidRPr="00026718">
        <w:rPr>
          <w:iCs/>
        </w:rPr>
        <w:t>)</w:t>
      </w:r>
      <w:r w:rsidRPr="00026718">
        <w:t xml:space="preserve"> in watts (W) of the MFCs was therefore calculated by multiplying voltage with current, i.e. P = I </w:t>
      </w:r>
      <w:r w:rsidRPr="00026718">
        <w:rPr>
          <w:rFonts w:ascii="Arial" w:hAnsi="Arial" w:cs="Arial"/>
        </w:rPr>
        <w:t>x</w:t>
      </w:r>
      <w:r w:rsidRPr="00026718">
        <w:t xml:space="preserve"> V. Power density in terms of electrode surface area was calculated by </w:t>
      </w:r>
      <w:r w:rsidRPr="00026718">
        <w:rPr>
          <w:position w:val="-14"/>
        </w:rPr>
        <w:object w:dxaOrig="1280" w:dyaOrig="380">
          <v:shape id="_x0000_i1026" type="#_x0000_t75" style="width:63.85pt;height:19pt" o:ole="">
            <v:imagedata r:id="rId11" o:title=""/>
          </v:shape>
          <o:OLEObject Type="Embed" ProgID="Equation.3" ShapeID="_x0000_i1026" DrawAspect="Content" ObjectID="_1353995155" r:id="rId12"/>
        </w:object>
      </w:r>
      <w:r w:rsidRPr="00026718">
        <w:t xml:space="preserve"> where α is the electrode surface area in square-meters (m</w:t>
      </w:r>
      <w:r w:rsidRPr="00026718">
        <w:rPr>
          <w:vertAlign w:val="superscript"/>
        </w:rPr>
        <w:t>2</w:t>
      </w:r>
      <w:r w:rsidRPr="00026718">
        <w:t xml:space="preserve">) and in terms of anodic chamber volume by </w:t>
      </w:r>
      <w:r w:rsidRPr="00026718">
        <w:rPr>
          <w:position w:val="-14"/>
        </w:rPr>
        <w:object w:dxaOrig="1939" w:dyaOrig="380">
          <v:shape id="_x0000_i1027" type="#_x0000_t75" style="width:97.15pt;height:19pt" o:ole="">
            <v:imagedata r:id="rId13" o:title=""/>
          </v:shape>
          <o:OLEObject Type="Embed" ProgID="Equation.3" ShapeID="_x0000_i1027" DrawAspect="Content" ObjectID="_1353995156" r:id="rId14"/>
        </w:object>
      </w:r>
      <w:r w:rsidRPr="00026718">
        <w:t xml:space="preserve"> where Vol</w:t>
      </w:r>
      <w:r w:rsidRPr="00026718">
        <w:rPr>
          <w:vertAlign w:val="subscript"/>
        </w:rPr>
        <w:t>Anode</w:t>
      </w:r>
      <w:r w:rsidRPr="00026718">
        <w:t xml:space="preserve"> is the anodic fluid volume in m</w:t>
      </w:r>
      <w:r w:rsidRPr="00026718">
        <w:rPr>
          <w:vertAlign w:val="superscript"/>
        </w:rPr>
        <w:t>3</w:t>
      </w:r>
      <w:r w:rsidRPr="00026718">
        <w:t>.</w:t>
      </w:r>
    </w:p>
    <w:p w:rsidR="00C74D45" w:rsidRPr="00026718" w:rsidRDefault="00C74D45" w:rsidP="00C74D45">
      <w:pPr>
        <w:pStyle w:val="TAMainText"/>
        <w:spacing w:line="240" w:lineRule="auto"/>
        <w:ind w:firstLine="0"/>
        <w:jc w:val="both"/>
      </w:pPr>
    </w:p>
    <w:p w:rsidR="00C74D45" w:rsidRPr="002144AF" w:rsidRDefault="00C74D45" w:rsidP="00C74D45">
      <w:pPr>
        <w:pStyle w:val="TAMainText"/>
        <w:tabs>
          <w:tab w:val="num" w:pos="720"/>
        </w:tabs>
        <w:spacing w:after="120" w:line="240" w:lineRule="auto"/>
        <w:ind w:firstLine="0"/>
        <w:jc w:val="both"/>
        <w:rPr>
          <w:bCs/>
          <w:i/>
        </w:rPr>
      </w:pPr>
      <w:r>
        <w:rPr>
          <w:bCs/>
          <w:i/>
        </w:rPr>
        <w:t xml:space="preserve">2.6. </w:t>
      </w:r>
      <w:r w:rsidRPr="002144AF">
        <w:rPr>
          <w:bCs/>
          <w:i/>
        </w:rPr>
        <w:t>Internal resistance (R</w:t>
      </w:r>
      <w:r w:rsidRPr="002144AF">
        <w:rPr>
          <w:bCs/>
          <w:i/>
          <w:vertAlign w:val="subscript"/>
        </w:rPr>
        <w:t>INT</w:t>
      </w:r>
      <w:r w:rsidRPr="002144AF">
        <w:rPr>
          <w:bCs/>
          <w:i/>
        </w:rPr>
        <w:t>)</w:t>
      </w:r>
    </w:p>
    <w:p w:rsidR="00C74D45" w:rsidRPr="00026718" w:rsidRDefault="00C74D45" w:rsidP="00C74D45">
      <w:pPr>
        <w:pStyle w:val="TAMainText"/>
        <w:spacing w:line="240" w:lineRule="auto"/>
        <w:ind w:firstLine="0"/>
        <w:jc w:val="both"/>
      </w:pPr>
      <w:r w:rsidRPr="00026718">
        <w:t>The internal resistance (R</w:t>
      </w:r>
      <w:r w:rsidRPr="00026718">
        <w:rPr>
          <w:vertAlign w:val="subscript"/>
        </w:rPr>
        <w:t>INT</w:t>
      </w:r>
      <w:r w:rsidRPr="00026718">
        <w:t xml:space="preserve">) of any power source can be determined by applying Kirchoff’s voltage law to a circuit where a voltage source is connected to a known load. This principle is ubiquitous in the field of physics, since it takes into consideration all internal losses. </w:t>
      </w:r>
    </w:p>
    <w:p w:rsidR="00C74D45" w:rsidRPr="00026718" w:rsidRDefault="00C74D45" w:rsidP="00C74D45">
      <w:pPr>
        <w:pStyle w:val="TAMainText"/>
        <w:spacing w:line="240" w:lineRule="auto"/>
        <w:jc w:val="both"/>
      </w:pPr>
      <w:r w:rsidRPr="00026718">
        <w:t>For all polarization experiments, R</w:t>
      </w:r>
      <w:r w:rsidRPr="00026718">
        <w:rPr>
          <w:vertAlign w:val="subscript"/>
        </w:rPr>
        <w:t>INT</w:t>
      </w:r>
      <w:r w:rsidRPr="00026718">
        <w:t xml:space="preserve"> was determined by first recording the steady state open circuit voltage and then by measuring the steady state current output after a resistive load (known value) was connected, for each of the different scale MFCs. R</w:t>
      </w:r>
      <w:r w:rsidRPr="00026718">
        <w:rPr>
          <w:vertAlign w:val="subscript"/>
        </w:rPr>
        <w:t>INT</w:t>
      </w:r>
      <w:r w:rsidRPr="00026718">
        <w:t xml:space="preserve"> </w:t>
      </w:r>
      <w:r w:rsidR="00073E54">
        <w:t>was</w:t>
      </w:r>
      <w:r w:rsidRPr="00026718">
        <w:t xml:space="preserve"> therefore  determined by:</w:t>
      </w:r>
    </w:p>
    <w:p w:rsidR="00C74D45" w:rsidRPr="00026718" w:rsidRDefault="00C74D45" w:rsidP="00C74D45">
      <w:pPr>
        <w:jc w:val="center"/>
        <w:rPr>
          <w:sz w:val="24"/>
        </w:rPr>
      </w:pPr>
      <w:r>
        <w:rPr>
          <w:sz w:val="24"/>
        </w:rPr>
        <w:t xml:space="preserve">                                                         </w:t>
      </w:r>
      <w:r w:rsidRPr="00026718">
        <w:rPr>
          <w:position w:val="-32"/>
          <w:sz w:val="24"/>
        </w:rPr>
        <w:object w:dxaOrig="2060" w:dyaOrig="760">
          <v:shape id="_x0000_i1028" type="#_x0000_t75" style="width:103.25pt;height:38.05pt" o:ole="">
            <v:imagedata r:id="rId15" o:title=""/>
          </v:shape>
          <o:OLEObject Type="Embed" ProgID="Equation.3" ShapeID="_x0000_i1028" DrawAspect="Content" ObjectID="_1353995157" r:id="rId16"/>
        </w:object>
      </w:r>
      <w:r w:rsidRPr="00026718">
        <w:rPr>
          <w:sz w:val="24"/>
        </w:rPr>
        <w:t xml:space="preserve">      </w:t>
      </w:r>
      <w:r w:rsidR="00F423C0" w:rsidRPr="00026718">
        <w:rPr>
          <w:sz w:val="24"/>
        </w:rPr>
        <w:t>(1)</w:t>
      </w:r>
      <w:r w:rsidRPr="00026718">
        <w:rPr>
          <w:sz w:val="24"/>
        </w:rPr>
        <w:t xml:space="preserve">                                 </w:t>
      </w:r>
    </w:p>
    <w:p w:rsidR="00C74D45" w:rsidRPr="00026718" w:rsidRDefault="00C74D45" w:rsidP="00C74D45">
      <w:pPr>
        <w:jc w:val="both"/>
        <w:rPr>
          <w:sz w:val="24"/>
        </w:rPr>
      </w:pPr>
    </w:p>
    <w:p w:rsidR="00C74D45" w:rsidRDefault="00C74D45" w:rsidP="00C74D45">
      <w:pPr>
        <w:pStyle w:val="TAMainText"/>
        <w:spacing w:line="240" w:lineRule="auto"/>
        <w:jc w:val="both"/>
      </w:pPr>
      <w:r w:rsidRPr="00026718">
        <w:t>V</w:t>
      </w:r>
      <w:r w:rsidRPr="00026718">
        <w:rPr>
          <w:vertAlign w:val="subscript"/>
        </w:rPr>
        <w:t>o-c</w:t>
      </w:r>
      <w:r w:rsidRPr="00026718">
        <w:t xml:space="preserve"> is the open circuit of the MFC, I</w:t>
      </w:r>
      <w:r w:rsidRPr="00026718">
        <w:rPr>
          <w:vertAlign w:val="subscript"/>
        </w:rPr>
        <w:t>L</w:t>
      </w:r>
      <w:r w:rsidRPr="00026718">
        <w:t xml:space="preserve"> is the current under a load and R</w:t>
      </w:r>
      <w:r w:rsidRPr="00026718">
        <w:rPr>
          <w:vertAlign w:val="subscript"/>
        </w:rPr>
        <w:t>L</w:t>
      </w:r>
      <w:r w:rsidRPr="00026718">
        <w:t xml:space="preserve"> is </w:t>
      </w:r>
      <w:r>
        <w:t>the value of the load resistor.</w:t>
      </w:r>
    </w:p>
    <w:p w:rsidR="00C74D45" w:rsidRPr="00026718" w:rsidRDefault="00C74D45" w:rsidP="00C74D45">
      <w:pPr>
        <w:pStyle w:val="TAMainText"/>
        <w:spacing w:line="240" w:lineRule="auto"/>
        <w:jc w:val="both"/>
      </w:pPr>
    </w:p>
    <w:p w:rsidR="00C74D45" w:rsidRPr="002144AF" w:rsidRDefault="00C74D45" w:rsidP="00C74D45">
      <w:pPr>
        <w:pStyle w:val="TAMainText"/>
        <w:tabs>
          <w:tab w:val="num" w:pos="720"/>
        </w:tabs>
        <w:spacing w:after="120" w:line="240" w:lineRule="auto"/>
        <w:ind w:firstLine="0"/>
        <w:jc w:val="both"/>
        <w:rPr>
          <w:i/>
        </w:rPr>
      </w:pPr>
      <w:r>
        <w:rPr>
          <w:i/>
        </w:rPr>
        <w:t xml:space="preserve">2.7. </w:t>
      </w:r>
      <w:r w:rsidRPr="002144AF">
        <w:rPr>
          <w:i/>
        </w:rPr>
        <w:t xml:space="preserve">Maximum power transfer versus maximum efficiency η. </w:t>
      </w:r>
    </w:p>
    <w:p w:rsidR="00C74D45" w:rsidRPr="00026718" w:rsidRDefault="00C74D45" w:rsidP="00B55DF6">
      <w:pPr>
        <w:pStyle w:val="TAMainText"/>
        <w:spacing w:line="240" w:lineRule="auto"/>
        <w:ind w:firstLine="0"/>
        <w:jc w:val="both"/>
      </w:pPr>
      <w:r w:rsidRPr="00026718">
        <w:t>The maximum power transfer theorem (also known as Jacobi’s law) can be defined as the maximum level of power that a source with a fixed R</w:t>
      </w:r>
      <w:r w:rsidRPr="00026718">
        <w:rPr>
          <w:vertAlign w:val="subscript"/>
        </w:rPr>
        <w:t>INT</w:t>
      </w:r>
      <w:r w:rsidRPr="00026718">
        <w:t xml:space="preserve"> can deliver across a load and it is not synonymous with </w:t>
      </w:r>
      <w:r w:rsidRPr="00026718">
        <w:lastRenderedPageBreak/>
        <w:t>maximum efficiency. Maximum power transfer, is actually the equivalent of 50% efficiency and is achieved when R</w:t>
      </w:r>
      <w:r w:rsidRPr="00026718">
        <w:rPr>
          <w:vertAlign w:val="subscript"/>
        </w:rPr>
        <w:t>L</w:t>
      </w:r>
      <w:r w:rsidRPr="00026718">
        <w:t xml:space="preserve"> = R</w:t>
      </w:r>
      <w:r w:rsidRPr="00026718">
        <w:rPr>
          <w:vertAlign w:val="subscript"/>
        </w:rPr>
        <w:t>INT</w:t>
      </w:r>
      <w:r w:rsidRPr="00026718">
        <w:t xml:space="preserve"> (impedance matching), which occurs when V</w:t>
      </w:r>
      <w:r w:rsidRPr="00026718">
        <w:rPr>
          <w:vertAlign w:val="subscript"/>
        </w:rPr>
        <w:t>L</w:t>
      </w:r>
      <w:r w:rsidRPr="00026718">
        <w:t xml:space="preserve"> = ½ V</w:t>
      </w:r>
      <w:r w:rsidRPr="00026718">
        <w:rPr>
          <w:vertAlign w:val="subscript"/>
        </w:rPr>
        <w:t>O-C</w:t>
      </w:r>
      <w:r w:rsidRPr="00026718">
        <w:t>. Maximum efficiency on the other hand is achieved as R</w:t>
      </w:r>
      <w:r w:rsidRPr="00026718">
        <w:rPr>
          <w:vertAlign w:val="subscript"/>
        </w:rPr>
        <w:t>L</w:t>
      </w:r>
      <w:r w:rsidRPr="00026718">
        <w:t xml:space="preserve"> → ∞, since less power is dissipated </w:t>
      </w:r>
      <w:r w:rsidR="00073E54">
        <w:t xml:space="preserve">as heat </w:t>
      </w:r>
      <w:r w:rsidRPr="00026718">
        <w:t>across the external load and finally efficiency η → 0% as R</w:t>
      </w:r>
      <w:r w:rsidRPr="00026718">
        <w:rPr>
          <w:vertAlign w:val="subscript"/>
        </w:rPr>
        <w:t>L</w:t>
      </w:r>
      <w:r w:rsidRPr="00026718">
        <w:t xml:space="preserve"> → 0Ω.</w:t>
      </w:r>
      <w:r w:rsidR="00B55DF6">
        <w:t xml:space="preserve"> </w:t>
      </w:r>
    </w:p>
    <w:p w:rsidR="00C74D45" w:rsidRPr="002144AF" w:rsidRDefault="00C74D45" w:rsidP="00C74D45">
      <w:pPr>
        <w:numPr>
          <w:ilvl w:val="0"/>
          <w:numId w:val="45"/>
        </w:numPr>
        <w:spacing w:before="240" w:after="240"/>
        <w:ind w:left="714" w:hanging="357"/>
        <w:jc w:val="center"/>
        <w:rPr>
          <w:sz w:val="24"/>
          <w:szCs w:val="24"/>
        </w:rPr>
      </w:pPr>
      <w:r w:rsidRPr="002144AF">
        <w:rPr>
          <w:sz w:val="24"/>
          <w:szCs w:val="24"/>
        </w:rPr>
        <w:t>R</w:t>
      </w:r>
      <w:r>
        <w:rPr>
          <w:sz w:val="24"/>
          <w:szCs w:val="24"/>
        </w:rPr>
        <w:t>ESULTS AND DISCUSSION</w:t>
      </w:r>
    </w:p>
    <w:p w:rsidR="00C74D45" w:rsidRPr="002144AF" w:rsidRDefault="00C74D45" w:rsidP="00C74D45">
      <w:pPr>
        <w:pStyle w:val="TAMainText"/>
        <w:tabs>
          <w:tab w:val="num" w:pos="720"/>
        </w:tabs>
        <w:spacing w:after="120" w:line="240" w:lineRule="auto"/>
        <w:ind w:firstLine="0"/>
        <w:jc w:val="both"/>
        <w:rPr>
          <w:i/>
        </w:rPr>
      </w:pPr>
      <w:r>
        <w:rPr>
          <w:i/>
        </w:rPr>
        <w:t xml:space="preserve">3.1. </w:t>
      </w:r>
      <w:r w:rsidRPr="002144AF">
        <w:rPr>
          <w:i/>
        </w:rPr>
        <w:t>Polarization curves for small, medium and large MFC in continuous flow</w:t>
      </w:r>
    </w:p>
    <w:p w:rsidR="00C74D45" w:rsidRPr="00026718" w:rsidRDefault="00C74D45" w:rsidP="00C74D45">
      <w:pPr>
        <w:pStyle w:val="TAMainText"/>
        <w:spacing w:line="240" w:lineRule="auto"/>
        <w:ind w:firstLine="0"/>
        <w:jc w:val="both"/>
      </w:pPr>
      <w:r w:rsidRPr="00026718">
        <w:t>The data presented in Figure 2 show the polari</w:t>
      </w:r>
      <w:r>
        <w:t>s</w:t>
      </w:r>
      <w:r w:rsidRPr="00026718">
        <w:t>ation curve for each type of MFC.</w:t>
      </w:r>
    </w:p>
    <w:p w:rsidR="00C74D45" w:rsidRDefault="00B55DF6" w:rsidP="0045261A">
      <w:pPr>
        <w:pStyle w:val="TAMainText"/>
        <w:spacing w:line="240" w:lineRule="auto"/>
        <w:ind w:firstLine="0"/>
        <w:jc w:val="center"/>
        <w:rPr>
          <w:sz w:val="22"/>
          <w:szCs w:val="22"/>
        </w:rPr>
      </w:pPr>
      <w:r w:rsidRPr="00026718">
        <w:object w:dxaOrig="10695" w:dyaOrig="7320">
          <v:shape id="_x0000_i1029" type="#_x0000_t75" style="width:260.15pt;height:178.65pt" o:ole="">
            <v:imagedata r:id="rId17" o:title=""/>
          </v:shape>
          <o:OLEObject Type="Embed" ProgID="Prism4.Document" ShapeID="_x0000_i1029" DrawAspect="Content" ObjectID="_1353995158" r:id="rId18"/>
        </w:object>
      </w:r>
      <w:proofErr w:type="gramStart"/>
      <w:r w:rsidR="00C74D45" w:rsidRPr="0085690B">
        <w:rPr>
          <w:sz w:val="22"/>
          <w:szCs w:val="22"/>
        </w:rPr>
        <w:t>Figure 2.</w:t>
      </w:r>
      <w:proofErr w:type="gramEnd"/>
      <w:r w:rsidR="00C74D45" w:rsidRPr="0085690B">
        <w:rPr>
          <w:sz w:val="22"/>
          <w:szCs w:val="22"/>
        </w:rPr>
        <w:t xml:space="preserve"> </w:t>
      </w:r>
      <w:proofErr w:type="gramStart"/>
      <w:r w:rsidR="00C74D45" w:rsidRPr="0085690B">
        <w:rPr>
          <w:sz w:val="22"/>
          <w:szCs w:val="22"/>
        </w:rPr>
        <w:t>Power density vs. current density relationship for the three MFC sizes.</w:t>
      </w:r>
      <w:proofErr w:type="gramEnd"/>
      <w:r w:rsidR="00C74D45" w:rsidRPr="0085690B">
        <w:rPr>
          <w:sz w:val="22"/>
          <w:szCs w:val="22"/>
        </w:rPr>
        <w:t xml:space="preserve"> The small scale MFC data are represented by (</w:t>
      </w:r>
      <w:r w:rsidR="00C74D45" w:rsidRPr="0085690B">
        <w:rPr>
          <w:sz w:val="22"/>
          <w:szCs w:val="22"/>
        </w:rPr>
        <w:sym w:font="Symbol" w:char="F0E0"/>
      </w:r>
      <w:r w:rsidR="00C74D45" w:rsidRPr="0085690B">
        <w:rPr>
          <w:sz w:val="22"/>
          <w:szCs w:val="22"/>
        </w:rPr>
        <w:t>), medium scale MFC by (□) and large MFC by (○). Dotted lines illustrate 2</w:t>
      </w:r>
      <w:r w:rsidR="00C74D45" w:rsidRPr="0085690B">
        <w:rPr>
          <w:sz w:val="22"/>
          <w:szCs w:val="22"/>
          <w:vertAlign w:val="superscript"/>
        </w:rPr>
        <w:t>nd</w:t>
      </w:r>
      <w:r w:rsidR="00C74D45" w:rsidRPr="0085690B">
        <w:rPr>
          <w:sz w:val="22"/>
          <w:szCs w:val="22"/>
        </w:rPr>
        <w:t xml:space="preserve"> order non-linear regression fit.</w:t>
      </w:r>
    </w:p>
    <w:p w:rsidR="0017539E" w:rsidRPr="0017539E" w:rsidRDefault="0017539E" w:rsidP="0017539E"/>
    <w:p w:rsidR="00C74D45" w:rsidRPr="00026718" w:rsidRDefault="00C74D45" w:rsidP="00C74D45">
      <w:pPr>
        <w:pStyle w:val="TAMainText"/>
        <w:spacing w:line="240" w:lineRule="auto"/>
        <w:jc w:val="both"/>
      </w:pPr>
      <w:r w:rsidRPr="00026718">
        <w:t>For the small scale MFC maximum power transfer was achieved at ½V</w:t>
      </w:r>
      <w:r w:rsidRPr="00026718">
        <w:rPr>
          <w:vertAlign w:val="subscript"/>
        </w:rPr>
        <w:t>O-C</w:t>
      </w:r>
      <w:r w:rsidRPr="00026718">
        <w:t xml:space="preserve"> reaching 0.41mW/m</w:t>
      </w:r>
      <w:r w:rsidRPr="00026718">
        <w:rPr>
          <w:vertAlign w:val="superscript"/>
        </w:rPr>
        <w:t>2</w:t>
      </w:r>
      <w:r w:rsidRPr="00026718">
        <w:t xml:space="preserve"> (442mW/m</w:t>
      </w:r>
      <w:r w:rsidRPr="00026718">
        <w:rPr>
          <w:vertAlign w:val="superscript"/>
        </w:rPr>
        <w:t>3</w:t>
      </w:r>
      <w:r w:rsidRPr="00026718">
        <w:t>) with a corresponding current density of 3mA/m</w:t>
      </w:r>
      <w:r w:rsidRPr="00026718">
        <w:rPr>
          <w:vertAlign w:val="superscript"/>
        </w:rPr>
        <w:t>2</w:t>
      </w:r>
      <w:r w:rsidRPr="00026718">
        <w:t xml:space="preserve"> (3.24A/m</w:t>
      </w:r>
      <w:r w:rsidRPr="00026718">
        <w:rPr>
          <w:vertAlign w:val="superscript"/>
        </w:rPr>
        <w:t>3</w:t>
      </w:r>
      <w:r w:rsidRPr="00026718">
        <w:t>). The cell open circuit voltage was in line with the other MFC sizes (i.e. ~440mV). From the voltage curve (see Figure 3), it was shown that activation losses and mass transfer losses occurred at the lower and higher ends of the current density (I</w:t>
      </w:r>
      <w:r w:rsidRPr="00026718">
        <w:rPr>
          <w:vertAlign w:val="subscript"/>
        </w:rPr>
        <w:t>D</w:t>
      </w:r>
      <w:r w:rsidRPr="00026718">
        <w:t>) spectrum respectively, whereas ohmic losses were dominant for the middle range values.</w:t>
      </w:r>
    </w:p>
    <w:p w:rsidR="00C74D45" w:rsidRPr="00026718" w:rsidRDefault="00C74D45" w:rsidP="00C74D45">
      <w:pPr>
        <w:pStyle w:val="TAMainText"/>
        <w:spacing w:line="240" w:lineRule="auto"/>
        <w:jc w:val="both"/>
      </w:pPr>
      <w:r w:rsidRPr="00026718">
        <w:t>The power density (P</w:t>
      </w:r>
      <w:r w:rsidRPr="00026718">
        <w:rPr>
          <w:vertAlign w:val="subscript"/>
        </w:rPr>
        <w:t>D</w:t>
      </w:r>
      <w:r w:rsidRPr="00026718">
        <w:t>) produced from the medium size MFC at ½ V</w:t>
      </w:r>
      <w:r w:rsidRPr="00026718">
        <w:rPr>
          <w:vertAlign w:val="subscript"/>
        </w:rPr>
        <w:t>O-C</w:t>
      </w:r>
      <w:r w:rsidRPr="00026718">
        <w:t xml:space="preserve"> was 0.35mW/m</w:t>
      </w:r>
      <w:r w:rsidRPr="00026718">
        <w:rPr>
          <w:vertAlign w:val="superscript"/>
        </w:rPr>
        <w:t>2</w:t>
      </w:r>
      <w:r w:rsidRPr="00026718">
        <w:t xml:space="preserve"> (378mW/m</w:t>
      </w:r>
      <w:r w:rsidRPr="00026718">
        <w:rPr>
          <w:vertAlign w:val="superscript"/>
        </w:rPr>
        <w:t>3</w:t>
      </w:r>
      <w:r w:rsidRPr="00026718">
        <w:t>) with a corresponding I</w:t>
      </w:r>
      <w:r w:rsidRPr="00026718">
        <w:rPr>
          <w:vertAlign w:val="subscript"/>
        </w:rPr>
        <w:t>D</w:t>
      </w:r>
      <w:r w:rsidRPr="00026718">
        <w:t xml:space="preserve"> of 2.7mA/m</w:t>
      </w:r>
      <w:r w:rsidRPr="00026718">
        <w:rPr>
          <w:vertAlign w:val="superscript"/>
        </w:rPr>
        <w:t>2</w:t>
      </w:r>
      <w:r w:rsidRPr="00026718">
        <w:t xml:space="preserve"> (2.3A/m</w:t>
      </w:r>
      <w:r w:rsidRPr="00026718">
        <w:rPr>
          <w:vertAlign w:val="superscript"/>
        </w:rPr>
        <w:t>3</w:t>
      </w:r>
      <w:r w:rsidRPr="00026718">
        <w:t>). The maximum power (peak P</w:t>
      </w:r>
      <w:r w:rsidRPr="00026718">
        <w:rPr>
          <w:vertAlign w:val="subscript"/>
        </w:rPr>
        <w:t>D</w:t>
      </w:r>
      <w:r w:rsidRPr="00026718">
        <w:t>) was 0.44mW/m</w:t>
      </w:r>
      <w:r w:rsidRPr="00026718">
        <w:rPr>
          <w:vertAlign w:val="superscript"/>
        </w:rPr>
        <w:t>2</w:t>
      </w:r>
      <w:r w:rsidRPr="00026718">
        <w:t xml:space="preserve"> and current (peak I</w:t>
      </w:r>
      <w:r w:rsidRPr="00026718">
        <w:rPr>
          <w:vertAlign w:val="subscript"/>
        </w:rPr>
        <w:t>D</w:t>
      </w:r>
      <w:r w:rsidRPr="00026718">
        <w:t>) (5mA/m</w:t>
      </w:r>
      <w:r w:rsidRPr="00026718">
        <w:rPr>
          <w:vertAlign w:val="superscript"/>
        </w:rPr>
        <w:t>2</w:t>
      </w:r>
      <w:r w:rsidRPr="00026718">
        <w:t>) were produced at a lower than ½V</w:t>
      </w:r>
      <w:r w:rsidRPr="00026718">
        <w:rPr>
          <w:vertAlign w:val="subscript"/>
        </w:rPr>
        <w:t>O-C</w:t>
      </w:r>
      <w:r w:rsidRPr="00026718">
        <w:t xml:space="preserve"> cell potential (125mV). The open circuit voltage from this MFC was ~440mV. Compared to the small MFC, the P</w:t>
      </w:r>
      <w:r w:rsidRPr="00026718">
        <w:rPr>
          <w:vertAlign w:val="subscript"/>
        </w:rPr>
        <w:t>D</w:t>
      </w:r>
      <w:r w:rsidRPr="00026718">
        <w:t xml:space="preserve"> produced from the medium </w:t>
      </w:r>
      <w:r w:rsidRPr="00026718">
        <w:lastRenderedPageBreak/>
        <w:t>size MFC at ½ V</w:t>
      </w:r>
      <w:r w:rsidRPr="00026718">
        <w:rPr>
          <w:vertAlign w:val="subscript"/>
        </w:rPr>
        <w:t>O-C</w:t>
      </w:r>
      <w:r w:rsidRPr="00026718">
        <w:t xml:space="preserve"> was 1.2-fold lower, whereas the maximum P</w:t>
      </w:r>
      <w:r w:rsidRPr="00026718">
        <w:rPr>
          <w:vertAlign w:val="subscript"/>
        </w:rPr>
        <w:t>D</w:t>
      </w:r>
      <w:r w:rsidRPr="00026718">
        <w:t xml:space="preserve"> was similar. The voltage curve (Figure 3) suggests that activation losses were prevailing for I</w:t>
      </w:r>
      <w:r w:rsidRPr="00026718">
        <w:rPr>
          <w:vertAlign w:val="subscript"/>
        </w:rPr>
        <w:t>D</w:t>
      </w:r>
      <w:r w:rsidRPr="00026718">
        <w:t xml:space="preserve"> values from 0→3.5mA/m</w:t>
      </w:r>
      <w:r w:rsidRPr="00026718">
        <w:rPr>
          <w:vertAlign w:val="superscript"/>
        </w:rPr>
        <w:t>2</w:t>
      </w:r>
      <w:r w:rsidRPr="00026718">
        <w:t>, whereas for the I</w:t>
      </w:r>
      <w:r w:rsidRPr="00026718">
        <w:rPr>
          <w:vertAlign w:val="subscript"/>
        </w:rPr>
        <w:t>D</w:t>
      </w:r>
      <w:r w:rsidRPr="00026718">
        <w:t xml:space="preserve"> range from 5.2→8mA/m</w:t>
      </w:r>
      <w:r w:rsidRPr="00026718">
        <w:rPr>
          <w:vertAlign w:val="superscript"/>
        </w:rPr>
        <w:t>2</w:t>
      </w:r>
      <w:r w:rsidRPr="00026718">
        <w:t xml:space="preserve"> mass transfer losses were more marked.</w:t>
      </w:r>
    </w:p>
    <w:p w:rsidR="00C74D45" w:rsidRPr="00026718" w:rsidRDefault="00C74D45" w:rsidP="00C74D45">
      <w:pPr>
        <w:pStyle w:val="TAMainText"/>
        <w:spacing w:line="240" w:lineRule="auto"/>
        <w:jc w:val="both"/>
      </w:pPr>
      <w:r w:rsidRPr="00026718">
        <w:t>The maximum P</w:t>
      </w:r>
      <w:r w:rsidRPr="00026718">
        <w:rPr>
          <w:vertAlign w:val="subscript"/>
        </w:rPr>
        <w:t>D</w:t>
      </w:r>
      <w:r w:rsidRPr="00026718">
        <w:t xml:space="preserve"> produced from the large scale MFC was 0.21mW/m</w:t>
      </w:r>
      <w:r w:rsidRPr="00026718">
        <w:rPr>
          <w:vertAlign w:val="superscript"/>
        </w:rPr>
        <w:t>2</w:t>
      </w:r>
      <w:r w:rsidRPr="00026718">
        <w:t xml:space="preserve"> (226.8mW/m</w:t>
      </w:r>
      <w:r w:rsidRPr="00026718">
        <w:rPr>
          <w:vertAlign w:val="superscript"/>
        </w:rPr>
        <w:t>3</w:t>
      </w:r>
      <w:r w:rsidRPr="00026718">
        <w:t>). The corresponding I</w:t>
      </w:r>
      <w:r w:rsidRPr="00026718">
        <w:rPr>
          <w:vertAlign w:val="subscript"/>
        </w:rPr>
        <w:t>D</w:t>
      </w:r>
      <w:r w:rsidRPr="00026718">
        <w:t xml:space="preserve"> was 1.7mA/m</w:t>
      </w:r>
      <w:r w:rsidRPr="00026718">
        <w:rPr>
          <w:vertAlign w:val="superscript"/>
        </w:rPr>
        <w:t>2</w:t>
      </w:r>
      <w:r w:rsidRPr="00026718">
        <w:t xml:space="preserve"> (1.83A/m</w:t>
      </w:r>
      <w:r w:rsidRPr="00026718">
        <w:rPr>
          <w:vertAlign w:val="superscript"/>
        </w:rPr>
        <w:t>3</w:t>
      </w:r>
      <w:r w:rsidRPr="00026718">
        <w:t>). These values were almost half the peak P</w:t>
      </w:r>
      <w:r w:rsidRPr="00026718">
        <w:rPr>
          <w:vertAlign w:val="subscript"/>
        </w:rPr>
        <w:t>D</w:t>
      </w:r>
      <w:r w:rsidRPr="00026718">
        <w:t xml:space="preserve"> values produced from the small and medium size MFCs. The open circuit voltage was in line with the smaller size MFCs (~450mV). As can be seen from the large cell voltage curve (Figure 3), for most of the I</w:t>
      </w:r>
      <w:r w:rsidRPr="00026718">
        <w:rPr>
          <w:vertAlign w:val="subscript"/>
        </w:rPr>
        <w:t>D</w:t>
      </w:r>
      <w:r w:rsidRPr="00026718">
        <w:t xml:space="preserve"> spectrum, ohmic losses were predominant and only minimal levels of activation losses were recorded at low I</w:t>
      </w:r>
      <w:r w:rsidRPr="00026718">
        <w:rPr>
          <w:vertAlign w:val="subscript"/>
        </w:rPr>
        <w:t>D</w:t>
      </w:r>
      <w:r w:rsidRPr="00026718">
        <w:t xml:space="preserve"> values. Notably, there </w:t>
      </w:r>
      <w:proofErr w:type="gramStart"/>
      <w:r w:rsidRPr="00026718">
        <w:t>were</w:t>
      </w:r>
      <w:proofErr w:type="gramEnd"/>
      <w:r w:rsidRPr="00026718">
        <w:t xml:space="preserve"> no mass transfer losses recorded.</w:t>
      </w:r>
    </w:p>
    <w:p w:rsidR="00C74D45" w:rsidRDefault="00B55DF6" w:rsidP="0045261A">
      <w:pPr>
        <w:pStyle w:val="TAMainText"/>
        <w:spacing w:after="240" w:line="240" w:lineRule="auto"/>
        <w:ind w:firstLine="0"/>
        <w:jc w:val="center"/>
      </w:pPr>
      <w:r w:rsidRPr="00026718">
        <w:object w:dxaOrig="10695" w:dyaOrig="7410">
          <v:shape id="_x0000_i1030" type="#_x0000_t75" style="width:266.95pt;height:185.45pt" o:ole="">
            <v:imagedata r:id="rId19" o:title=""/>
          </v:shape>
          <o:OLEObject Type="Embed" ProgID="Prism4.Document" ShapeID="_x0000_i1030" DrawAspect="Content" ObjectID="_1353995159" r:id="rId20"/>
        </w:object>
      </w:r>
      <w:proofErr w:type="gramStart"/>
      <w:r w:rsidR="00C74D45" w:rsidRPr="0085690B">
        <w:rPr>
          <w:sz w:val="22"/>
          <w:szCs w:val="22"/>
        </w:rPr>
        <w:t>Figure 3.</w:t>
      </w:r>
      <w:proofErr w:type="gramEnd"/>
      <w:r w:rsidR="00C74D45" w:rsidRPr="0085690B">
        <w:rPr>
          <w:sz w:val="22"/>
          <w:szCs w:val="22"/>
        </w:rPr>
        <w:t xml:space="preserve"> </w:t>
      </w:r>
      <w:r w:rsidR="0085690B" w:rsidRPr="0085690B">
        <w:rPr>
          <w:sz w:val="22"/>
          <w:szCs w:val="22"/>
        </w:rPr>
        <w:t xml:space="preserve">Polarisation </w:t>
      </w:r>
      <w:proofErr w:type="gramStart"/>
      <w:r w:rsidR="0085690B" w:rsidRPr="0085690B">
        <w:rPr>
          <w:sz w:val="22"/>
          <w:szCs w:val="22"/>
        </w:rPr>
        <w:t xml:space="preserve">data </w:t>
      </w:r>
      <w:r w:rsidR="00C74D45" w:rsidRPr="0085690B">
        <w:rPr>
          <w:sz w:val="22"/>
          <w:szCs w:val="22"/>
        </w:rPr>
        <w:t xml:space="preserve"> for</w:t>
      </w:r>
      <w:proofErr w:type="gramEnd"/>
      <w:r w:rsidR="00C74D45" w:rsidRPr="0085690B">
        <w:rPr>
          <w:sz w:val="22"/>
          <w:szCs w:val="22"/>
        </w:rPr>
        <w:t xml:space="preserve"> the three MFC sizes. The small scale MFC data are represented by (■), medium scale MFC by (▲) and large MFC by (●). Dotted lines illustrate 2</w:t>
      </w:r>
      <w:r w:rsidR="00C74D45" w:rsidRPr="0085690B">
        <w:rPr>
          <w:sz w:val="22"/>
          <w:szCs w:val="22"/>
          <w:vertAlign w:val="superscript"/>
        </w:rPr>
        <w:t>nd</w:t>
      </w:r>
      <w:r w:rsidR="00C74D45" w:rsidRPr="0085690B">
        <w:rPr>
          <w:sz w:val="22"/>
          <w:szCs w:val="22"/>
        </w:rPr>
        <w:t xml:space="preserve"> order non-linear regression fit</w:t>
      </w:r>
      <w:r w:rsidR="00C74D45" w:rsidRPr="00026718">
        <w:t>.</w:t>
      </w:r>
    </w:p>
    <w:p w:rsidR="001959CA" w:rsidRPr="001959CA" w:rsidRDefault="001959CA" w:rsidP="001959CA"/>
    <w:p w:rsidR="00C74D45" w:rsidRDefault="00C74D45" w:rsidP="00C74D45">
      <w:pPr>
        <w:ind w:firstLine="204"/>
        <w:jc w:val="both"/>
        <w:rPr>
          <w:sz w:val="24"/>
        </w:rPr>
      </w:pPr>
      <w:r>
        <w:rPr>
          <w:sz w:val="24"/>
        </w:rPr>
        <w:t>The V</w:t>
      </w:r>
      <w:r w:rsidRPr="003B718B">
        <w:rPr>
          <w:sz w:val="24"/>
          <w:vertAlign w:val="subscript"/>
        </w:rPr>
        <w:t>O-C</w:t>
      </w:r>
      <w:r>
        <w:rPr>
          <w:sz w:val="24"/>
        </w:rPr>
        <w:t xml:space="preserve"> from the individual MFCs was of the order of ~ 450mV, which is considerably lower than the typical V</w:t>
      </w:r>
      <w:r w:rsidRPr="003B718B">
        <w:rPr>
          <w:sz w:val="24"/>
          <w:vertAlign w:val="subscript"/>
        </w:rPr>
        <w:t>O-C</w:t>
      </w:r>
      <w:r>
        <w:rPr>
          <w:sz w:val="24"/>
        </w:rPr>
        <w:t xml:space="preserve"> reported from similar size MFCs over the years. This is probably down to the low O</w:t>
      </w:r>
      <w:r w:rsidRPr="003B718B">
        <w:rPr>
          <w:sz w:val="24"/>
          <w:vertAlign w:val="subscript"/>
        </w:rPr>
        <w:t>2</w:t>
      </w:r>
      <w:r>
        <w:rPr>
          <w:sz w:val="24"/>
        </w:rPr>
        <w:t xml:space="preserve"> diffusion rates due to the absence of any exotic catalytic mechanism from the MFC cathodic setup, i.e. unmodified carbon fibre veil electrodes. Open circuit voltage values of the order of 1V can be achieved when the cathode electrode is exposed to flowing oxygenated water, in an otherwise similar MFC setup [27].</w:t>
      </w:r>
    </w:p>
    <w:p w:rsidR="00C74D45" w:rsidRPr="008F3B42" w:rsidRDefault="00C74D45" w:rsidP="00C74D45">
      <w:pPr>
        <w:pStyle w:val="TAMainText"/>
        <w:tabs>
          <w:tab w:val="num" w:pos="720"/>
        </w:tabs>
        <w:spacing w:after="120" w:line="240" w:lineRule="auto"/>
        <w:ind w:firstLine="0"/>
        <w:jc w:val="both"/>
        <w:rPr>
          <w:bCs/>
        </w:rPr>
      </w:pPr>
    </w:p>
    <w:p w:rsidR="00C74D45" w:rsidRPr="002144AF" w:rsidRDefault="00C74D45" w:rsidP="00C74D45">
      <w:pPr>
        <w:pStyle w:val="TAMainText"/>
        <w:tabs>
          <w:tab w:val="num" w:pos="720"/>
        </w:tabs>
        <w:spacing w:after="120" w:line="240" w:lineRule="auto"/>
        <w:ind w:firstLine="0"/>
        <w:jc w:val="both"/>
        <w:rPr>
          <w:rFonts w:ascii="Arial" w:hAnsi="Arial" w:cs="Arial"/>
          <w:i/>
        </w:rPr>
      </w:pPr>
      <w:r>
        <w:rPr>
          <w:bCs/>
          <w:i/>
        </w:rPr>
        <w:t xml:space="preserve">3.2. </w:t>
      </w:r>
      <w:r w:rsidRPr="002144AF">
        <w:rPr>
          <w:bCs/>
          <w:i/>
        </w:rPr>
        <w:t xml:space="preserve">Polarization </w:t>
      </w:r>
      <w:r>
        <w:rPr>
          <w:bCs/>
          <w:i/>
        </w:rPr>
        <w:t>data</w:t>
      </w:r>
      <w:r w:rsidRPr="002144AF">
        <w:rPr>
          <w:bCs/>
          <w:i/>
        </w:rPr>
        <w:t xml:space="preserve"> for multiple small MFCs connected in series, parallel and</w:t>
      </w:r>
      <w:r w:rsidRPr="00026718">
        <w:rPr>
          <w:b/>
          <w:bCs/>
        </w:rPr>
        <w:t xml:space="preserve"> </w:t>
      </w:r>
      <w:r w:rsidRPr="002144AF">
        <w:rPr>
          <w:bCs/>
          <w:i/>
        </w:rPr>
        <w:t>series/parallel</w:t>
      </w:r>
      <w:r>
        <w:rPr>
          <w:bCs/>
          <w:i/>
        </w:rPr>
        <w:t xml:space="preserve"> configurations</w:t>
      </w:r>
    </w:p>
    <w:p w:rsidR="00C74D45" w:rsidRPr="00026718" w:rsidRDefault="00C74D45" w:rsidP="00C74D45">
      <w:pPr>
        <w:pStyle w:val="TAMainText"/>
        <w:spacing w:line="240" w:lineRule="auto"/>
        <w:ind w:firstLine="0"/>
        <w:jc w:val="both"/>
      </w:pPr>
      <w:r w:rsidRPr="00026718">
        <w:lastRenderedPageBreak/>
        <w:t>Figure 4 shows the polarization data from 10 identical small-scale MFCs connected in series, parallel and series/parallel configurations. The latter was achieved by connecting pairs of MFCs in series and the 5 pairs in parallel. All three sets of experiments were conducted in continuous flow in which the 10 MFC units were fed from a common source bottle.</w:t>
      </w:r>
    </w:p>
    <w:p w:rsidR="00C74D45" w:rsidRPr="00026718" w:rsidRDefault="00C74D45" w:rsidP="00C74D45">
      <w:pPr>
        <w:pStyle w:val="TAMainText"/>
        <w:spacing w:line="240" w:lineRule="auto"/>
        <w:ind w:firstLine="0"/>
        <w:jc w:val="both"/>
      </w:pPr>
    </w:p>
    <w:p w:rsidR="00C74D45" w:rsidRDefault="00B55DF6" w:rsidP="001959CA">
      <w:pPr>
        <w:pStyle w:val="TAMainText"/>
        <w:spacing w:after="240" w:line="240" w:lineRule="auto"/>
        <w:ind w:firstLine="0"/>
        <w:jc w:val="center"/>
        <w:rPr>
          <w:rStyle w:val="VAFigureCaptionChar"/>
          <w:sz w:val="22"/>
          <w:szCs w:val="22"/>
        </w:rPr>
      </w:pPr>
      <w:r w:rsidRPr="00026718">
        <w:object w:dxaOrig="10740" w:dyaOrig="7470">
          <v:shape id="_x0000_i1031" type="#_x0000_t75" style="width:264.9pt;height:184.1pt" o:ole="">
            <v:imagedata r:id="rId21" o:title=""/>
          </v:shape>
          <o:OLEObject Type="Embed" ProgID="Prism4.Document" ShapeID="_x0000_i1031" DrawAspect="Content" ObjectID="_1353995160" r:id="rId22"/>
        </w:object>
      </w:r>
      <w:proofErr w:type="gramStart"/>
      <w:r w:rsidR="00C74D45" w:rsidRPr="0085690B">
        <w:rPr>
          <w:rStyle w:val="VAFigureCaptionChar"/>
          <w:sz w:val="22"/>
          <w:szCs w:val="22"/>
        </w:rPr>
        <w:t>Figure 4.</w:t>
      </w:r>
      <w:proofErr w:type="gramEnd"/>
      <w:r w:rsidR="00C74D45" w:rsidRPr="0085690B">
        <w:rPr>
          <w:rStyle w:val="VAFigureCaptionChar"/>
          <w:sz w:val="22"/>
          <w:szCs w:val="22"/>
        </w:rPr>
        <w:t xml:space="preserve"> Power </w:t>
      </w:r>
      <w:proofErr w:type="gramStart"/>
      <w:r w:rsidR="0085690B" w:rsidRPr="0085690B">
        <w:rPr>
          <w:rStyle w:val="VAFigureCaptionChar"/>
          <w:sz w:val="22"/>
          <w:szCs w:val="22"/>
        </w:rPr>
        <w:t xml:space="preserve">curves </w:t>
      </w:r>
      <w:r w:rsidR="00C74D45" w:rsidRPr="0085690B">
        <w:rPr>
          <w:rStyle w:val="VAFigureCaptionChar"/>
          <w:sz w:val="22"/>
          <w:szCs w:val="22"/>
        </w:rPr>
        <w:t xml:space="preserve"> for</w:t>
      </w:r>
      <w:proofErr w:type="gramEnd"/>
      <w:r w:rsidR="00C74D45" w:rsidRPr="0085690B">
        <w:rPr>
          <w:rStyle w:val="VAFigureCaptionChar"/>
          <w:sz w:val="22"/>
          <w:szCs w:val="22"/>
        </w:rPr>
        <w:t xml:space="preserve"> the four multiple MFC configurations. The series connection data are represented by (■), parallel connection by (●), </w:t>
      </w:r>
      <w:proofErr w:type="gramStart"/>
      <w:r w:rsidR="00C74D45" w:rsidRPr="0085690B">
        <w:rPr>
          <w:rStyle w:val="VAFigureCaptionChar"/>
          <w:sz w:val="22"/>
          <w:szCs w:val="22"/>
        </w:rPr>
        <w:t>series</w:t>
      </w:r>
      <w:proofErr w:type="gramEnd"/>
      <w:r w:rsidR="00C74D45" w:rsidRPr="0085690B">
        <w:rPr>
          <w:rStyle w:val="VAFigureCaptionChar"/>
          <w:sz w:val="22"/>
          <w:szCs w:val="22"/>
        </w:rPr>
        <w:t>-parallel by (♦) and series-parallel fluidically isolated by (◊). Dotted lines illustrate 2</w:t>
      </w:r>
      <w:r w:rsidR="00C74D45" w:rsidRPr="0085690B">
        <w:rPr>
          <w:rStyle w:val="VAFigureCaptionChar"/>
          <w:sz w:val="22"/>
          <w:szCs w:val="22"/>
          <w:vertAlign w:val="superscript"/>
        </w:rPr>
        <w:t xml:space="preserve">nd </w:t>
      </w:r>
      <w:r w:rsidR="00C74D45" w:rsidRPr="0085690B">
        <w:rPr>
          <w:rStyle w:val="VAFigureCaptionChar"/>
          <w:sz w:val="22"/>
          <w:szCs w:val="22"/>
        </w:rPr>
        <w:t>order non-linear regression fit.</w:t>
      </w:r>
    </w:p>
    <w:p w:rsidR="001959CA" w:rsidRPr="001959CA" w:rsidRDefault="001959CA" w:rsidP="001959CA"/>
    <w:p w:rsidR="00C74D45" w:rsidRPr="00026718" w:rsidRDefault="00C74D45" w:rsidP="00C74D45">
      <w:pPr>
        <w:pStyle w:val="TAMainText"/>
        <w:spacing w:line="240" w:lineRule="auto"/>
        <w:jc w:val="both"/>
        <w:rPr>
          <w:b/>
          <w:color w:val="0000FF"/>
        </w:rPr>
      </w:pPr>
      <w:r w:rsidRPr="00026718">
        <w:t>The peak P</w:t>
      </w:r>
      <w:r w:rsidRPr="00026718">
        <w:rPr>
          <w:vertAlign w:val="subscript"/>
        </w:rPr>
        <w:t>D</w:t>
      </w:r>
      <w:r w:rsidRPr="00026718">
        <w:t xml:space="preserve"> from the 10 MFCs connected in series was 4.2mW/m</w:t>
      </w:r>
      <w:r w:rsidRPr="00026718">
        <w:rPr>
          <w:vertAlign w:val="superscript"/>
        </w:rPr>
        <w:t>2</w:t>
      </w:r>
      <w:r w:rsidRPr="00026718">
        <w:t xml:space="preserve"> (4.5W/m</w:t>
      </w:r>
      <w:r w:rsidRPr="00026718">
        <w:rPr>
          <w:vertAlign w:val="superscript"/>
        </w:rPr>
        <w:t>3</w:t>
      </w:r>
      <w:r w:rsidRPr="00026718">
        <w:t>) with a corresponding I</w:t>
      </w:r>
      <w:r w:rsidRPr="00026718">
        <w:rPr>
          <w:vertAlign w:val="subscript"/>
        </w:rPr>
        <w:t>D</w:t>
      </w:r>
      <w:r w:rsidRPr="00026718">
        <w:t xml:space="preserve"> of 6.7mA/m</w:t>
      </w:r>
      <w:r w:rsidRPr="00026718">
        <w:rPr>
          <w:vertAlign w:val="superscript"/>
        </w:rPr>
        <w:t>2</w:t>
      </w:r>
      <w:r w:rsidRPr="00026718">
        <w:t xml:space="preserve"> (7.2A/m</w:t>
      </w:r>
      <w:r w:rsidRPr="00026718">
        <w:rPr>
          <w:vertAlign w:val="superscript"/>
        </w:rPr>
        <w:t>3</w:t>
      </w:r>
      <w:r w:rsidRPr="00026718">
        <w:t>). Compared to the single small scale MFC, the V</w:t>
      </w:r>
      <w:r w:rsidRPr="00026718">
        <w:rPr>
          <w:vertAlign w:val="subscript"/>
        </w:rPr>
        <w:t>O-C</w:t>
      </w:r>
      <w:r w:rsidRPr="00026718">
        <w:t xml:space="preserve"> recorded from this experiment was approximately 1400mV (3.2-fold higher). This value was below the predicted theoretical figure, which (for 10 units in series) would be expected to be 4400mV (10 </w:t>
      </w:r>
      <w:r w:rsidRPr="00026718">
        <w:rPr>
          <w:rFonts w:ascii="Arial" w:hAnsi="Arial" w:cs="Arial"/>
        </w:rPr>
        <w:t xml:space="preserve">x </w:t>
      </w:r>
      <w:r w:rsidRPr="00026718">
        <w:t>440mV). In terms of P</w:t>
      </w:r>
      <w:r w:rsidRPr="00026718">
        <w:rPr>
          <w:vertAlign w:val="subscript"/>
        </w:rPr>
        <w:t>D</w:t>
      </w:r>
      <w:r w:rsidRPr="00026718">
        <w:t>, the level produced from this stack was in line with the theoretical projection i.e. 10-fold higher. The cell voltage curve (Figure 5) suggests that the stack of 10 MFCs in series was mainly limited by ohmic losses.</w:t>
      </w:r>
    </w:p>
    <w:p w:rsidR="00C74D45" w:rsidRPr="00026718" w:rsidRDefault="00C74D45" w:rsidP="00C74D45">
      <w:pPr>
        <w:pStyle w:val="TAMainText"/>
        <w:spacing w:line="240" w:lineRule="auto"/>
        <w:jc w:val="both"/>
      </w:pPr>
      <w:r w:rsidRPr="00026718">
        <w:t>When the 10 MFCs were connected in parallel (Figure 4), the peak P</w:t>
      </w:r>
      <w:r w:rsidRPr="00026718">
        <w:rPr>
          <w:vertAlign w:val="subscript"/>
        </w:rPr>
        <w:t>D</w:t>
      </w:r>
      <w:r w:rsidRPr="00026718">
        <w:t xml:space="preserve"> produced was 7.5mW/m</w:t>
      </w:r>
      <w:r w:rsidRPr="00026718">
        <w:rPr>
          <w:vertAlign w:val="superscript"/>
        </w:rPr>
        <w:t>2</w:t>
      </w:r>
      <w:r w:rsidRPr="00026718">
        <w:t xml:space="preserve"> (8.1W/m</w:t>
      </w:r>
      <w:r w:rsidRPr="00026718">
        <w:rPr>
          <w:vertAlign w:val="superscript"/>
        </w:rPr>
        <w:t>3</w:t>
      </w:r>
      <w:r w:rsidRPr="00026718">
        <w:t>). The corresponding I</w:t>
      </w:r>
      <w:r w:rsidRPr="00026718">
        <w:rPr>
          <w:vertAlign w:val="subscript"/>
        </w:rPr>
        <w:t>D</w:t>
      </w:r>
      <w:r w:rsidRPr="00026718">
        <w:t xml:space="preserve"> was 39mA/m</w:t>
      </w:r>
      <w:r w:rsidRPr="00026718">
        <w:rPr>
          <w:vertAlign w:val="superscript"/>
        </w:rPr>
        <w:t>2</w:t>
      </w:r>
      <w:r w:rsidRPr="00026718">
        <w:t xml:space="preserve"> (42A/m</w:t>
      </w:r>
      <w:r w:rsidRPr="00026718">
        <w:rPr>
          <w:vertAlign w:val="superscript"/>
        </w:rPr>
        <w:t>3</w:t>
      </w:r>
      <w:r w:rsidRPr="00026718">
        <w:t>). Compared to the single small scale MFC the V</w:t>
      </w:r>
      <w:r w:rsidRPr="00026718">
        <w:rPr>
          <w:vertAlign w:val="subscript"/>
        </w:rPr>
        <w:t>O-C</w:t>
      </w:r>
      <w:r w:rsidRPr="00026718">
        <w:t xml:space="preserve"> value was identical (~440mV), the P</w:t>
      </w:r>
      <w:r w:rsidRPr="00026718">
        <w:rPr>
          <w:vertAlign w:val="subscript"/>
        </w:rPr>
        <w:t>D</w:t>
      </w:r>
      <w:r w:rsidRPr="00026718">
        <w:t xml:space="preserve"> was 18-fold higher and the I</w:t>
      </w:r>
      <w:r w:rsidRPr="00026718">
        <w:rPr>
          <w:vertAlign w:val="subscript"/>
        </w:rPr>
        <w:t>D</w:t>
      </w:r>
      <w:r w:rsidRPr="00026718">
        <w:t xml:space="preserve"> was 13-fold higher. Compared to the single medium size MFC the V</w:t>
      </w:r>
      <w:r w:rsidRPr="00026718">
        <w:rPr>
          <w:vertAlign w:val="subscript"/>
        </w:rPr>
        <w:t>O-C</w:t>
      </w:r>
      <w:r w:rsidRPr="00026718">
        <w:t xml:space="preserve"> was again identical, and the P</w:t>
      </w:r>
      <w:r w:rsidRPr="00026718">
        <w:rPr>
          <w:vertAlign w:val="subscript"/>
        </w:rPr>
        <w:t>D</w:t>
      </w:r>
      <w:r w:rsidRPr="00026718">
        <w:t xml:space="preserve"> and I</w:t>
      </w:r>
      <w:r w:rsidRPr="00026718">
        <w:rPr>
          <w:vertAlign w:val="subscript"/>
        </w:rPr>
        <w:t>D</w:t>
      </w:r>
      <w:r w:rsidRPr="00026718">
        <w:t xml:space="preserve"> produced from the stack were 18-fold and 8-fold higher. The P</w:t>
      </w:r>
      <w:r w:rsidRPr="00026718">
        <w:rPr>
          <w:vertAlign w:val="subscript"/>
        </w:rPr>
        <w:t>D</w:t>
      </w:r>
      <w:r w:rsidRPr="00026718">
        <w:t xml:space="preserve"> and I</w:t>
      </w:r>
      <w:r w:rsidRPr="00026718">
        <w:rPr>
          <w:vertAlign w:val="subscript"/>
        </w:rPr>
        <w:t>D</w:t>
      </w:r>
      <w:r w:rsidRPr="00026718">
        <w:t xml:space="preserve"> produced from the stack were 34-fold and 23-fold higher when compared to the single large size MFC. The cell voltage curve (Figure 5) suggests that </w:t>
      </w:r>
      <w:r w:rsidRPr="00026718">
        <w:lastRenderedPageBreak/>
        <w:t>although the main losses covering the wider I</w:t>
      </w:r>
      <w:r w:rsidRPr="00026718">
        <w:rPr>
          <w:vertAlign w:val="subscript"/>
        </w:rPr>
        <w:t>D</w:t>
      </w:r>
      <w:r w:rsidRPr="00026718">
        <w:t xml:space="preserve"> range were ohmic, the stack also suffered from activation and mass transfer losses.</w:t>
      </w:r>
    </w:p>
    <w:p w:rsidR="00C74D45" w:rsidRPr="00026718" w:rsidRDefault="00C74D45" w:rsidP="00C74D45">
      <w:pPr>
        <w:pStyle w:val="TAMainText"/>
        <w:spacing w:line="240" w:lineRule="auto"/>
        <w:jc w:val="both"/>
      </w:pPr>
      <w:r w:rsidRPr="00026718">
        <w:t>When the same 10 small MFCs were connected in the same series/parallel configuration, but fed from individual lines, i.e. fluidically isolated (Figure 4, open symbols), the P</w:t>
      </w:r>
      <w:r w:rsidRPr="00026718">
        <w:rPr>
          <w:vertAlign w:val="subscript"/>
        </w:rPr>
        <w:t>D</w:t>
      </w:r>
      <w:r w:rsidRPr="00026718">
        <w:t xml:space="preserve"> produced was 2.5-fold higher than that recorded from the same configuration in which the MFCs were fluidically bridged</w:t>
      </w:r>
      <w:r>
        <w:t xml:space="preserve"> (Figure 4 closed rhombus symbols)</w:t>
      </w:r>
      <w:r w:rsidRPr="00026718">
        <w:t>. The V</w:t>
      </w:r>
      <w:r w:rsidRPr="00026718">
        <w:rPr>
          <w:vertAlign w:val="subscript"/>
        </w:rPr>
        <w:t>O-C</w:t>
      </w:r>
      <w:r w:rsidRPr="00026718">
        <w:t xml:space="preserve"> was ~900mV, which is in line with the theoretical 2 </w:t>
      </w:r>
      <w:r w:rsidRPr="00026718">
        <w:rPr>
          <w:rFonts w:ascii="Arial" w:hAnsi="Arial" w:cs="Arial"/>
          <w:sz w:val="20"/>
        </w:rPr>
        <w:t>x</w:t>
      </w:r>
      <w:r w:rsidRPr="00026718">
        <w:t xml:space="preserve"> 440mV. The P</w:t>
      </w:r>
      <w:r w:rsidRPr="00026718">
        <w:rPr>
          <w:vertAlign w:val="subscript"/>
        </w:rPr>
        <w:t>D</w:t>
      </w:r>
      <w:r w:rsidRPr="00026718">
        <w:t xml:space="preserve"> at ½V</w:t>
      </w:r>
      <w:r w:rsidRPr="00026718">
        <w:rPr>
          <w:vertAlign w:val="subscript"/>
        </w:rPr>
        <w:t>O-C</w:t>
      </w:r>
      <w:r w:rsidRPr="00026718">
        <w:t xml:space="preserve"> was 11.5mW/m</w:t>
      </w:r>
      <w:r w:rsidRPr="00026718">
        <w:rPr>
          <w:vertAlign w:val="superscript"/>
        </w:rPr>
        <w:t>2</w:t>
      </w:r>
      <w:r w:rsidRPr="00026718">
        <w:t xml:space="preserve"> (12.4W/m</w:t>
      </w:r>
      <w:r w:rsidRPr="00026718">
        <w:rPr>
          <w:vertAlign w:val="superscript"/>
        </w:rPr>
        <w:t>3</w:t>
      </w:r>
      <w:r w:rsidRPr="00026718">
        <w:t>) with a corresponding I</w:t>
      </w:r>
      <w:r w:rsidRPr="00026718">
        <w:rPr>
          <w:vertAlign w:val="subscript"/>
        </w:rPr>
        <w:t>D</w:t>
      </w:r>
      <w:r w:rsidRPr="00026718">
        <w:t xml:space="preserve"> of 23mA/m</w:t>
      </w:r>
      <w:r w:rsidRPr="00026718">
        <w:rPr>
          <w:vertAlign w:val="superscript"/>
        </w:rPr>
        <w:t>2</w:t>
      </w:r>
      <w:r w:rsidRPr="00026718">
        <w:t xml:space="preserve"> (24.8A/m</w:t>
      </w:r>
      <w:r w:rsidRPr="00026718">
        <w:rPr>
          <w:vertAlign w:val="superscript"/>
        </w:rPr>
        <w:t>3</w:t>
      </w:r>
      <w:r w:rsidRPr="00026718">
        <w:t>). The peak P</w:t>
      </w:r>
      <w:r w:rsidRPr="00026718">
        <w:rPr>
          <w:vertAlign w:val="subscript"/>
        </w:rPr>
        <w:t>D</w:t>
      </w:r>
      <w:r w:rsidRPr="00026718">
        <w:t xml:space="preserve"> produced was slightly higher at 12.5mW/m</w:t>
      </w:r>
      <w:r w:rsidRPr="00026718">
        <w:rPr>
          <w:vertAlign w:val="superscript"/>
        </w:rPr>
        <w:t>2</w:t>
      </w:r>
      <w:r w:rsidRPr="00026718">
        <w:t xml:space="preserve"> (13.5W/m</w:t>
      </w:r>
      <w:r w:rsidRPr="00026718">
        <w:rPr>
          <w:vertAlign w:val="superscript"/>
        </w:rPr>
        <w:t>3</w:t>
      </w:r>
      <w:r w:rsidRPr="00026718">
        <w:t>) at an I</w:t>
      </w:r>
      <w:r w:rsidRPr="00026718">
        <w:rPr>
          <w:vertAlign w:val="subscript"/>
        </w:rPr>
        <w:t>D</w:t>
      </w:r>
      <w:r w:rsidRPr="00026718">
        <w:t xml:space="preserve"> of 29mA/m</w:t>
      </w:r>
      <w:r w:rsidRPr="00026718">
        <w:rPr>
          <w:vertAlign w:val="superscript"/>
        </w:rPr>
        <w:t>2</w:t>
      </w:r>
      <w:r w:rsidRPr="00026718">
        <w:t xml:space="preserve"> (31.3A/m</w:t>
      </w:r>
      <w:r w:rsidRPr="00026718">
        <w:rPr>
          <w:vertAlign w:val="superscript"/>
        </w:rPr>
        <w:t>3</w:t>
      </w:r>
      <w:r w:rsidRPr="00026718">
        <w:t>). When compared against the single small scale MFC, this stack produced a P</w:t>
      </w:r>
      <w:r w:rsidRPr="00026718">
        <w:rPr>
          <w:vertAlign w:val="subscript"/>
        </w:rPr>
        <w:t>D</w:t>
      </w:r>
      <w:r w:rsidRPr="00026718">
        <w:t xml:space="preserve"> that was 27.4-fold higher.</w:t>
      </w:r>
    </w:p>
    <w:p w:rsidR="00C74D45" w:rsidRPr="00026718" w:rsidRDefault="00C74D45" w:rsidP="00C74D45">
      <w:pPr>
        <w:pStyle w:val="TAMainText"/>
        <w:spacing w:line="240" w:lineRule="auto"/>
        <w:jc w:val="both"/>
      </w:pPr>
      <w:r w:rsidRPr="00026718">
        <w:rPr>
          <w:color w:val="000000"/>
        </w:rPr>
        <w:t>For the series/parallel configuration (Figure 5)</w:t>
      </w:r>
      <w:r w:rsidRPr="00026718">
        <w:t>, the V</w:t>
      </w:r>
      <w:r w:rsidRPr="00026718">
        <w:rPr>
          <w:vertAlign w:val="subscript"/>
        </w:rPr>
        <w:t>O-C</w:t>
      </w:r>
      <w:r w:rsidRPr="00026718">
        <w:t xml:space="preserve"> was ~700mV, which was lower than the expected </w:t>
      </w:r>
      <w:r w:rsidRPr="00026718">
        <w:rPr>
          <w:color w:val="000000"/>
        </w:rPr>
        <w:t>880mV</w:t>
      </w:r>
      <w:r w:rsidRPr="00026718">
        <w:rPr>
          <w:color w:val="FF0000"/>
        </w:rPr>
        <w:t xml:space="preserve"> </w:t>
      </w:r>
      <w:r w:rsidRPr="00026718">
        <w:t xml:space="preserve">(2 </w:t>
      </w:r>
      <w:r w:rsidRPr="00026718">
        <w:rPr>
          <w:rFonts w:ascii="Arial" w:hAnsi="Arial" w:cs="Arial"/>
        </w:rPr>
        <w:t>x</w:t>
      </w:r>
      <w:r w:rsidRPr="00026718">
        <w:t xml:space="preserve"> 440mV). The peak P</w:t>
      </w:r>
      <w:r w:rsidRPr="00026718">
        <w:rPr>
          <w:vertAlign w:val="subscript"/>
        </w:rPr>
        <w:t>D</w:t>
      </w:r>
      <w:r w:rsidRPr="00026718">
        <w:t xml:space="preserve"> (Figure 4) was recorded at a cell voltage of 250mV, which was lower than ½V</w:t>
      </w:r>
      <w:r w:rsidRPr="00026718">
        <w:rPr>
          <w:vertAlign w:val="subscript"/>
        </w:rPr>
        <w:t>O-C</w:t>
      </w:r>
      <w:r w:rsidRPr="00026718">
        <w:t xml:space="preserve"> and was found to be 5.2mW/m</w:t>
      </w:r>
      <w:r w:rsidRPr="00026718">
        <w:rPr>
          <w:vertAlign w:val="superscript"/>
        </w:rPr>
        <w:t>2</w:t>
      </w:r>
      <w:r w:rsidRPr="00026718">
        <w:t xml:space="preserve"> (5.6W/m</w:t>
      </w:r>
      <w:r w:rsidRPr="00026718">
        <w:rPr>
          <w:vertAlign w:val="superscript"/>
        </w:rPr>
        <w:t>3</w:t>
      </w:r>
      <w:r w:rsidRPr="00026718">
        <w:t>). This was higher by 5% than the P</w:t>
      </w:r>
      <w:r w:rsidRPr="00026718">
        <w:rPr>
          <w:vertAlign w:val="subscript"/>
        </w:rPr>
        <w:t>D</w:t>
      </w:r>
      <w:r w:rsidRPr="00026718">
        <w:t xml:space="preserve"> produced at ½V</w:t>
      </w:r>
      <w:r w:rsidRPr="00026718">
        <w:rPr>
          <w:vertAlign w:val="subscript"/>
        </w:rPr>
        <w:t>O-C</w:t>
      </w:r>
      <w:r w:rsidRPr="00026718">
        <w:t>, which was 4.9mW/m</w:t>
      </w:r>
      <w:r w:rsidRPr="00026718">
        <w:rPr>
          <w:vertAlign w:val="superscript"/>
        </w:rPr>
        <w:t>2</w:t>
      </w:r>
      <w:r w:rsidRPr="00026718">
        <w:t xml:space="preserve"> (5.3W/m</w:t>
      </w:r>
      <w:r w:rsidRPr="00026718">
        <w:rPr>
          <w:vertAlign w:val="superscript"/>
        </w:rPr>
        <w:t>3</w:t>
      </w:r>
      <w:r w:rsidRPr="00026718">
        <w:t>). The peak P</w:t>
      </w:r>
      <w:r w:rsidRPr="00026718">
        <w:rPr>
          <w:vertAlign w:val="subscript"/>
        </w:rPr>
        <w:t>D</w:t>
      </w:r>
      <w:r w:rsidRPr="00026718">
        <w:t xml:space="preserve"> was 12-fold, 11-fold and 24-fold higher when compared to those derived from the single small, medium and large size MFCs, respectively. When compared against the alternative stack configurations, P</w:t>
      </w:r>
      <w:r w:rsidRPr="00026718">
        <w:rPr>
          <w:vertAlign w:val="subscript"/>
        </w:rPr>
        <w:t>D</w:t>
      </w:r>
      <w:r w:rsidRPr="00026718">
        <w:t xml:space="preserve"> from this stack was 1.2-fold higher than that produced from the purely in-series and approximately 30% of the value derived from the purely in-parallel configuration</w:t>
      </w:r>
      <w:r w:rsidRPr="00026718">
        <w:rPr>
          <w:color w:val="000000"/>
        </w:rPr>
        <w:t>s</w:t>
      </w:r>
      <w:r w:rsidRPr="00026718">
        <w:t>.</w:t>
      </w:r>
    </w:p>
    <w:p w:rsidR="00C74D45" w:rsidRDefault="00B55DF6" w:rsidP="0045261A">
      <w:pPr>
        <w:pStyle w:val="TAMainText"/>
        <w:spacing w:after="240" w:line="240" w:lineRule="auto"/>
        <w:ind w:firstLine="0"/>
        <w:jc w:val="center"/>
        <w:rPr>
          <w:sz w:val="22"/>
          <w:szCs w:val="22"/>
        </w:rPr>
      </w:pPr>
      <w:r w:rsidRPr="00026718">
        <w:object w:dxaOrig="10905" w:dyaOrig="7470">
          <v:shape id="_x0000_i1032" type="#_x0000_t75" style="width:263.55pt;height:180pt" o:ole="">
            <v:imagedata r:id="rId23" o:title=""/>
          </v:shape>
          <o:OLEObject Type="Embed" ProgID="Prism4.Document" ShapeID="_x0000_i1032" DrawAspect="Content" ObjectID="_1353995161" r:id="rId24"/>
        </w:object>
      </w:r>
      <w:proofErr w:type="gramStart"/>
      <w:r w:rsidR="00C74D45" w:rsidRPr="0017539E">
        <w:rPr>
          <w:sz w:val="22"/>
          <w:szCs w:val="22"/>
        </w:rPr>
        <w:t>Figure 5.</w:t>
      </w:r>
      <w:proofErr w:type="gramEnd"/>
      <w:r w:rsidR="00C74D45" w:rsidRPr="0017539E">
        <w:rPr>
          <w:sz w:val="22"/>
          <w:szCs w:val="22"/>
        </w:rPr>
        <w:t xml:space="preserve"> </w:t>
      </w:r>
      <w:proofErr w:type="gramStart"/>
      <w:r w:rsidR="00C74D45" w:rsidRPr="0017539E">
        <w:rPr>
          <w:sz w:val="22"/>
          <w:szCs w:val="22"/>
        </w:rPr>
        <w:t>Cell voltage vs. current density relationship for multiple MFC configurations of 10 small units.</w:t>
      </w:r>
      <w:proofErr w:type="gramEnd"/>
      <w:r w:rsidR="00C74D45" w:rsidRPr="0017539E">
        <w:rPr>
          <w:sz w:val="22"/>
          <w:szCs w:val="22"/>
        </w:rPr>
        <w:t xml:space="preserve"> The series connected MFC data are represented by (■), series-parallel MFCs (♦) and parallel connected MFCs by (▲). The open symbols set of data represents the series-parallel configuration during which the units were fluidically isolated. Dotted lines illustrate 2</w:t>
      </w:r>
      <w:r w:rsidR="00C74D45" w:rsidRPr="0017539E">
        <w:rPr>
          <w:sz w:val="22"/>
          <w:szCs w:val="22"/>
          <w:vertAlign w:val="superscript"/>
        </w:rPr>
        <w:t>nd</w:t>
      </w:r>
      <w:r w:rsidR="00C74D45" w:rsidRPr="0017539E">
        <w:rPr>
          <w:sz w:val="22"/>
          <w:szCs w:val="22"/>
        </w:rPr>
        <w:t xml:space="preserve"> order non-linear regression fit.</w:t>
      </w:r>
    </w:p>
    <w:p w:rsidR="0017539E" w:rsidRPr="0017539E" w:rsidRDefault="0017539E" w:rsidP="0017539E"/>
    <w:p w:rsidR="00C74D45" w:rsidRPr="00026718" w:rsidRDefault="00C74D45" w:rsidP="00C74D45">
      <w:pPr>
        <w:pStyle w:val="TAMainText"/>
        <w:spacing w:line="240" w:lineRule="auto"/>
        <w:jc w:val="both"/>
      </w:pPr>
      <w:r w:rsidRPr="00026718">
        <w:rPr>
          <w:color w:val="000000"/>
        </w:rPr>
        <w:t>Figure 6 illustrates the V</w:t>
      </w:r>
      <w:r w:rsidRPr="00026718">
        <w:rPr>
          <w:color w:val="000000"/>
          <w:vertAlign w:val="subscript"/>
        </w:rPr>
        <w:t>O-C</w:t>
      </w:r>
      <w:r w:rsidRPr="00026718">
        <w:rPr>
          <w:color w:val="000000"/>
        </w:rPr>
        <w:t xml:space="preserve"> output from two stacks in which the MFCs were successively connected in series. In one stack the units were fluidically bridged, whilst in the other they were fluidically isolated.</w:t>
      </w:r>
    </w:p>
    <w:p w:rsidR="00C74D45" w:rsidRPr="00026718" w:rsidRDefault="0045261A" w:rsidP="00C74D45">
      <w:pPr>
        <w:jc w:val="center"/>
      </w:pPr>
      <w:r w:rsidRPr="00026718">
        <w:object w:dxaOrig="10905" w:dyaOrig="7650">
          <v:shape id="_x0000_i1033" type="#_x0000_t75" style="width:243.85pt;height:149.45pt" o:ole="">
            <v:imagedata r:id="rId25" o:title=""/>
          </v:shape>
          <o:OLEObject Type="Embed" ProgID="Prism4.Document" ShapeID="_x0000_i1033" DrawAspect="Content" ObjectID="_1353995162" r:id="rId26"/>
        </w:object>
      </w:r>
    </w:p>
    <w:p w:rsidR="00C74D45" w:rsidRPr="0017539E" w:rsidRDefault="00C74D45" w:rsidP="0017539E">
      <w:pPr>
        <w:pStyle w:val="VAFigureCaption"/>
        <w:spacing w:line="240" w:lineRule="auto"/>
        <w:jc w:val="center"/>
        <w:rPr>
          <w:sz w:val="22"/>
          <w:szCs w:val="22"/>
        </w:rPr>
      </w:pPr>
      <w:proofErr w:type="gramStart"/>
      <w:r w:rsidRPr="0017539E">
        <w:rPr>
          <w:sz w:val="22"/>
          <w:szCs w:val="22"/>
        </w:rPr>
        <w:t>Figure 6.</w:t>
      </w:r>
      <w:proofErr w:type="gramEnd"/>
      <w:r w:rsidRPr="0017539E">
        <w:rPr>
          <w:sz w:val="22"/>
          <w:szCs w:val="22"/>
        </w:rPr>
        <w:t xml:space="preserve"> </w:t>
      </w:r>
      <w:proofErr w:type="gramStart"/>
      <w:r w:rsidRPr="0017539E">
        <w:rPr>
          <w:sz w:val="22"/>
          <w:szCs w:val="22"/>
        </w:rPr>
        <w:t>V</w:t>
      </w:r>
      <w:r w:rsidRPr="0017539E">
        <w:rPr>
          <w:sz w:val="22"/>
          <w:szCs w:val="22"/>
          <w:vertAlign w:val="subscript"/>
        </w:rPr>
        <w:t>O-C</w:t>
      </w:r>
      <w:r w:rsidRPr="0017539E">
        <w:rPr>
          <w:sz w:val="22"/>
          <w:szCs w:val="22"/>
        </w:rPr>
        <w:t xml:space="preserve"> for increasing number of MFCs connected in series, when the units were bridged (fed from the same bottle) or isolated (fed with individual lines).</w:t>
      </w:r>
      <w:proofErr w:type="gramEnd"/>
      <w:r w:rsidRPr="0017539E">
        <w:rPr>
          <w:sz w:val="22"/>
          <w:szCs w:val="22"/>
        </w:rPr>
        <w:t xml:space="preserve"> Error bars indicate maxima and minima for n = 3, and curve fitting was performed using the 2</w:t>
      </w:r>
      <w:r w:rsidRPr="0017539E">
        <w:rPr>
          <w:sz w:val="22"/>
          <w:szCs w:val="22"/>
          <w:vertAlign w:val="superscript"/>
        </w:rPr>
        <w:t>nd</w:t>
      </w:r>
      <w:r w:rsidRPr="0017539E">
        <w:rPr>
          <w:sz w:val="22"/>
          <w:szCs w:val="22"/>
        </w:rPr>
        <w:t xml:space="preserve"> order polynomial non-linear regression fit method.</w:t>
      </w:r>
    </w:p>
    <w:p w:rsidR="00C74D45" w:rsidRPr="00026718" w:rsidRDefault="00C74D45" w:rsidP="00C74D45">
      <w:pPr>
        <w:pStyle w:val="TAMainText"/>
        <w:spacing w:line="240" w:lineRule="auto"/>
        <w:jc w:val="both"/>
      </w:pPr>
    </w:p>
    <w:p w:rsidR="00C74D45" w:rsidRDefault="00C74D45" w:rsidP="00C74D45">
      <w:pPr>
        <w:pStyle w:val="TAMainText"/>
        <w:spacing w:line="240" w:lineRule="auto"/>
        <w:jc w:val="both"/>
      </w:pPr>
      <w:r w:rsidRPr="00026718">
        <w:t>As can be seen from these data, the V</w:t>
      </w:r>
      <w:r w:rsidRPr="00026718">
        <w:rPr>
          <w:vertAlign w:val="subscript"/>
        </w:rPr>
        <w:t>O-C</w:t>
      </w:r>
      <w:r w:rsidRPr="00026718">
        <w:t xml:space="preserve"> from the fluidically isolated configuration was in general higher than that produced from the fluidically bridged arrangement, which appeared to be suffering from shunt losses. The output from the isolated units was 1.3-fold, 1.8-fold and 2.4-fold higher for 2, 5 and 10 units respectively, than that produced from the fluidically bridged units. However, it was also noticed that even in the case of the isolated units, the stack voltage produced from 6 or more MFCs connected together was lower than the anticipated theoretical value. For example, for 10 MFCs the stack voltage was 3,600mV rather than the theoretical 4,400mV.</w:t>
      </w:r>
    </w:p>
    <w:p w:rsidR="007F08FA" w:rsidRPr="008B25F9" w:rsidRDefault="007F08FA" w:rsidP="007F08FA">
      <w:pPr>
        <w:numPr>
          <w:ilvl w:val="0"/>
          <w:numId w:val="45"/>
        </w:numPr>
        <w:spacing w:before="240" w:after="240"/>
        <w:jc w:val="center"/>
        <w:rPr>
          <w:color w:val="000000"/>
          <w:sz w:val="24"/>
          <w:szCs w:val="24"/>
        </w:rPr>
      </w:pPr>
      <w:r>
        <w:rPr>
          <w:color w:val="000000"/>
          <w:sz w:val="24"/>
          <w:szCs w:val="24"/>
        </w:rPr>
        <w:t>GENERAL DISCUSSION</w:t>
      </w:r>
    </w:p>
    <w:p w:rsidR="00885499" w:rsidRDefault="007F08FA" w:rsidP="00885499">
      <w:pPr>
        <w:autoSpaceDE w:val="0"/>
        <w:autoSpaceDN w:val="0"/>
        <w:adjustRightInd w:val="0"/>
        <w:ind w:firstLine="204"/>
        <w:jc w:val="both"/>
        <w:rPr>
          <w:sz w:val="24"/>
          <w:szCs w:val="24"/>
        </w:rPr>
      </w:pPr>
      <w:r w:rsidRPr="007F08FA">
        <w:rPr>
          <w:sz w:val="24"/>
          <w:szCs w:val="24"/>
        </w:rPr>
        <w:t xml:space="preserve">It is widely known that in conventional chemical fuel cells, electrochemical impedance spectroscopy (EIS) and current interrupt methods are standard practice, and it is now almost becoming standard practice in Microbial Fuel Cell work as well. Yet the length of time used to record the data points for calculating the internal resistance is often insufficient, as this does not allow for true steady states to be reached, which for an MFC can be up to </w:t>
      </w:r>
      <w:r>
        <w:rPr>
          <w:sz w:val="24"/>
          <w:szCs w:val="24"/>
        </w:rPr>
        <w:t>several</w:t>
      </w:r>
      <w:r w:rsidRPr="007F08FA">
        <w:rPr>
          <w:sz w:val="24"/>
          <w:szCs w:val="24"/>
        </w:rPr>
        <w:t xml:space="preserve"> minutes rather than a few milliseconds</w:t>
      </w:r>
      <w:r>
        <w:rPr>
          <w:sz w:val="24"/>
          <w:szCs w:val="24"/>
        </w:rPr>
        <w:t>,</w:t>
      </w:r>
      <w:r w:rsidRPr="007F08FA">
        <w:rPr>
          <w:sz w:val="24"/>
          <w:szCs w:val="24"/>
        </w:rPr>
        <w:t xml:space="preserve"> which is typical for conventional chemical fuel cells. During this very short period of time, the </w:t>
      </w:r>
      <w:r w:rsidR="00C11AF3">
        <w:rPr>
          <w:sz w:val="24"/>
          <w:szCs w:val="24"/>
        </w:rPr>
        <w:t>MFC</w:t>
      </w:r>
      <w:r w:rsidRPr="007F08FA">
        <w:rPr>
          <w:sz w:val="24"/>
          <w:szCs w:val="24"/>
        </w:rPr>
        <w:t xml:space="preserve"> is still in transition settling from its open-circuit (or loaded) to </w:t>
      </w:r>
      <w:r w:rsidRPr="007F08FA">
        <w:rPr>
          <w:sz w:val="24"/>
          <w:szCs w:val="24"/>
        </w:rPr>
        <w:lastRenderedPageBreak/>
        <w:t xml:space="preserve">its loaded (or open-circuit) state, and therefore its internal resistance is varying. </w:t>
      </w:r>
      <w:r>
        <w:rPr>
          <w:sz w:val="24"/>
          <w:szCs w:val="24"/>
        </w:rPr>
        <w:t xml:space="preserve">The internal resistance measured by </w:t>
      </w:r>
      <w:r w:rsidR="00C11AF3">
        <w:rPr>
          <w:sz w:val="24"/>
          <w:szCs w:val="24"/>
        </w:rPr>
        <w:t>electrochemical impedance spectroscopy (</w:t>
      </w:r>
      <w:r>
        <w:rPr>
          <w:sz w:val="24"/>
          <w:szCs w:val="24"/>
        </w:rPr>
        <w:t>EIS</w:t>
      </w:r>
      <w:r w:rsidR="00C11AF3">
        <w:rPr>
          <w:sz w:val="24"/>
          <w:szCs w:val="24"/>
        </w:rPr>
        <w:t>)</w:t>
      </w:r>
      <w:r>
        <w:rPr>
          <w:sz w:val="24"/>
          <w:szCs w:val="24"/>
        </w:rPr>
        <w:t xml:space="preserve"> using a potentiostat with </w:t>
      </w:r>
      <w:r w:rsidR="00C11AF3">
        <w:rPr>
          <w:sz w:val="24"/>
          <w:szCs w:val="24"/>
        </w:rPr>
        <w:t xml:space="preserve">a frequency response analyser module </w:t>
      </w:r>
      <w:r>
        <w:rPr>
          <w:sz w:val="24"/>
          <w:szCs w:val="24"/>
        </w:rPr>
        <w:t>(</w:t>
      </w:r>
      <w:r w:rsidRPr="007F08FA">
        <w:rPr>
          <w:sz w:val="24"/>
          <w:szCs w:val="24"/>
        </w:rPr>
        <w:t>Versastat</w:t>
      </w:r>
      <w:r w:rsidRPr="007F08FA">
        <w:rPr>
          <w:sz w:val="24"/>
          <w:szCs w:val="24"/>
          <w:vertAlign w:val="superscript"/>
        </w:rPr>
        <w:t>3</w:t>
      </w:r>
      <w:r w:rsidR="00C11AF3" w:rsidRPr="00C11AF3">
        <w:rPr>
          <w:b/>
          <w:sz w:val="24"/>
          <w:szCs w:val="24"/>
        </w:rPr>
        <w:t>-</w:t>
      </w:r>
      <w:r w:rsidR="00C11AF3">
        <w:rPr>
          <w:sz w:val="24"/>
          <w:szCs w:val="24"/>
        </w:rPr>
        <w:t>4</w:t>
      </w:r>
      <w:r w:rsidRPr="007F08FA">
        <w:rPr>
          <w:sz w:val="24"/>
          <w:szCs w:val="24"/>
        </w:rPr>
        <w:t>00 with FRA</w:t>
      </w:r>
      <w:r>
        <w:rPr>
          <w:sz w:val="24"/>
          <w:szCs w:val="24"/>
        </w:rPr>
        <w:t xml:space="preserve">, results </w:t>
      </w:r>
      <w:r w:rsidRPr="007F08FA">
        <w:rPr>
          <w:sz w:val="24"/>
          <w:szCs w:val="24"/>
        </w:rPr>
        <w:t xml:space="preserve">not </w:t>
      </w:r>
      <w:r>
        <w:rPr>
          <w:sz w:val="24"/>
          <w:szCs w:val="24"/>
        </w:rPr>
        <w:t xml:space="preserve">shown) </w:t>
      </w:r>
      <w:r w:rsidRPr="007F08FA">
        <w:rPr>
          <w:sz w:val="24"/>
          <w:szCs w:val="24"/>
        </w:rPr>
        <w:t>w</w:t>
      </w:r>
      <w:r>
        <w:rPr>
          <w:sz w:val="24"/>
          <w:szCs w:val="24"/>
        </w:rPr>
        <w:t>as</w:t>
      </w:r>
      <w:r w:rsidRPr="007F08FA">
        <w:rPr>
          <w:sz w:val="24"/>
          <w:szCs w:val="24"/>
        </w:rPr>
        <w:t xml:space="preserve"> found to be 12</w:t>
      </w:r>
      <w:r w:rsidRPr="007F08FA">
        <w:rPr>
          <w:rFonts w:ascii="Symbol" w:hAnsi="Symbol"/>
          <w:sz w:val="24"/>
          <w:szCs w:val="24"/>
        </w:rPr>
        <w:t></w:t>
      </w:r>
      <w:r w:rsidR="00C11AF3">
        <w:rPr>
          <w:sz w:val="24"/>
          <w:szCs w:val="24"/>
        </w:rPr>
        <w:t xml:space="preserve"> compared to the R</w:t>
      </w:r>
      <w:r w:rsidR="00C11AF3" w:rsidRPr="00C11AF3">
        <w:rPr>
          <w:sz w:val="24"/>
          <w:szCs w:val="24"/>
          <w:vertAlign w:val="subscript"/>
        </w:rPr>
        <w:t>INT</w:t>
      </w:r>
      <w:r w:rsidR="00C11AF3">
        <w:rPr>
          <w:sz w:val="24"/>
          <w:szCs w:val="24"/>
        </w:rPr>
        <w:t xml:space="preserve"> value of 1.3k</w:t>
      </w:r>
      <w:r w:rsidR="00C11AF3" w:rsidRPr="007F08FA">
        <w:rPr>
          <w:rFonts w:ascii="Symbol" w:hAnsi="Symbol"/>
          <w:sz w:val="24"/>
          <w:szCs w:val="24"/>
        </w:rPr>
        <w:t></w:t>
      </w:r>
      <w:r w:rsidR="00C11AF3">
        <w:rPr>
          <w:rFonts w:ascii="Symbol" w:hAnsi="Symbol"/>
          <w:sz w:val="24"/>
          <w:szCs w:val="24"/>
        </w:rPr>
        <w:t></w:t>
      </w:r>
      <w:r w:rsidR="00C11AF3">
        <w:rPr>
          <w:sz w:val="24"/>
          <w:szCs w:val="24"/>
        </w:rPr>
        <w:t>already calculated using Equation 1</w:t>
      </w:r>
      <w:r w:rsidRPr="007F08FA">
        <w:rPr>
          <w:sz w:val="24"/>
          <w:szCs w:val="24"/>
        </w:rPr>
        <w:t>. If th</w:t>
      </w:r>
      <w:r w:rsidR="00C11AF3">
        <w:rPr>
          <w:sz w:val="24"/>
          <w:szCs w:val="24"/>
        </w:rPr>
        <w:t xml:space="preserve">e </w:t>
      </w:r>
      <w:r w:rsidR="00252B36">
        <w:rPr>
          <w:sz w:val="24"/>
          <w:szCs w:val="24"/>
        </w:rPr>
        <w:t>R</w:t>
      </w:r>
      <w:r w:rsidR="00252B36" w:rsidRPr="00C11AF3">
        <w:rPr>
          <w:sz w:val="24"/>
          <w:szCs w:val="24"/>
          <w:vertAlign w:val="subscript"/>
        </w:rPr>
        <w:t>INT</w:t>
      </w:r>
      <w:r w:rsidR="00C11AF3">
        <w:rPr>
          <w:sz w:val="24"/>
          <w:szCs w:val="24"/>
        </w:rPr>
        <w:t xml:space="preserve"> value</w:t>
      </w:r>
      <w:r>
        <w:rPr>
          <w:sz w:val="24"/>
          <w:szCs w:val="24"/>
        </w:rPr>
        <w:t xml:space="preserve"> w</w:t>
      </w:r>
      <w:r w:rsidR="00C11AF3">
        <w:rPr>
          <w:sz w:val="24"/>
          <w:szCs w:val="24"/>
        </w:rPr>
        <w:t>as</w:t>
      </w:r>
      <w:r>
        <w:rPr>
          <w:sz w:val="24"/>
          <w:szCs w:val="24"/>
        </w:rPr>
        <w:t xml:space="preserve"> </w:t>
      </w:r>
      <w:r w:rsidR="00C11AF3">
        <w:rPr>
          <w:sz w:val="24"/>
          <w:szCs w:val="24"/>
        </w:rPr>
        <w:t>really only 12</w:t>
      </w:r>
      <w:r w:rsidR="00C11AF3" w:rsidRPr="00C11AF3">
        <w:rPr>
          <w:rFonts w:ascii="Symbol" w:hAnsi="Symbol"/>
          <w:sz w:val="24"/>
          <w:szCs w:val="24"/>
        </w:rPr>
        <w:t></w:t>
      </w:r>
      <w:r w:rsidR="00C11AF3">
        <w:rPr>
          <w:sz w:val="24"/>
          <w:szCs w:val="24"/>
        </w:rPr>
        <w:t xml:space="preserve"> </w:t>
      </w:r>
      <w:r w:rsidRPr="007F08FA">
        <w:rPr>
          <w:sz w:val="24"/>
          <w:szCs w:val="24"/>
        </w:rPr>
        <w:t xml:space="preserve">then </w:t>
      </w:r>
      <w:r>
        <w:rPr>
          <w:sz w:val="24"/>
          <w:szCs w:val="24"/>
        </w:rPr>
        <w:t xml:space="preserve">the current output from the medium size MFC should have been </w:t>
      </w:r>
      <w:r w:rsidRPr="007F08FA">
        <w:rPr>
          <w:sz w:val="24"/>
          <w:szCs w:val="24"/>
        </w:rPr>
        <w:t>approximately 20mA</w:t>
      </w:r>
      <w:r w:rsidR="00C11AF3">
        <w:rPr>
          <w:sz w:val="24"/>
          <w:szCs w:val="24"/>
        </w:rPr>
        <w:t>,</w:t>
      </w:r>
      <w:r>
        <w:rPr>
          <w:sz w:val="24"/>
          <w:szCs w:val="24"/>
        </w:rPr>
        <w:t xml:space="preserve"> </w:t>
      </w:r>
      <w:r w:rsidR="00C11AF3">
        <w:rPr>
          <w:sz w:val="24"/>
          <w:szCs w:val="24"/>
        </w:rPr>
        <w:t>a figure of 2 orders of ma</w:t>
      </w:r>
      <w:r w:rsidR="00252B36">
        <w:rPr>
          <w:sz w:val="24"/>
          <w:szCs w:val="24"/>
        </w:rPr>
        <w:t xml:space="preserve">gnitude higher than </w:t>
      </w:r>
      <w:r w:rsidR="000D7515">
        <w:rPr>
          <w:sz w:val="24"/>
          <w:szCs w:val="24"/>
        </w:rPr>
        <w:t>ever</w:t>
      </w:r>
      <w:r w:rsidR="00252B36">
        <w:rPr>
          <w:sz w:val="24"/>
          <w:szCs w:val="24"/>
        </w:rPr>
        <w:t xml:space="preserve"> </w:t>
      </w:r>
      <w:r w:rsidR="00C11AF3">
        <w:rPr>
          <w:sz w:val="24"/>
          <w:szCs w:val="24"/>
        </w:rPr>
        <w:t>achieved</w:t>
      </w:r>
      <w:r w:rsidR="00252B36">
        <w:rPr>
          <w:sz w:val="24"/>
          <w:szCs w:val="24"/>
        </w:rPr>
        <w:t xml:space="preserve"> by any type of MFC reported in </w:t>
      </w:r>
      <w:r w:rsidR="000D7515">
        <w:rPr>
          <w:sz w:val="24"/>
          <w:szCs w:val="24"/>
        </w:rPr>
        <w:t xml:space="preserve">the </w:t>
      </w:r>
      <w:r w:rsidR="00252B36">
        <w:rPr>
          <w:sz w:val="24"/>
          <w:szCs w:val="24"/>
        </w:rPr>
        <w:t>literature</w:t>
      </w:r>
      <w:r w:rsidR="00C11AF3">
        <w:rPr>
          <w:sz w:val="24"/>
          <w:szCs w:val="24"/>
        </w:rPr>
        <w:t>.</w:t>
      </w:r>
      <w:r w:rsidRPr="007F08FA">
        <w:rPr>
          <w:sz w:val="24"/>
          <w:szCs w:val="24"/>
        </w:rPr>
        <w:t xml:space="preserve"> </w:t>
      </w:r>
      <w:r w:rsidR="00885499">
        <w:rPr>
          <w:sz w:val="24"/>
          <w:szCs w:val="24"/>
        </w:rPr>
        <w:t>This</w:t>
      </w:r>
      <w:r w:rsidRPr="007F08FA">
        <w:rPr>
          <w:sz w:val="24"/>
          <w:szCs w:val="24"/>
        </w:rPr>
        <w:t xml:space="preserve"> implies that the internal resistance is really much closer to the value calculated using Equation 1.</w:t>
      </w:r>
    </w:p>
    <w:p w:rsidR="007F08FA" w:rsidRDefault="000D7515" w:rsidP="001959CA">
      <w:pPr>
        <w:autoSpaceDE w:val="0"/>
        <w:autoSpaceDN w:val="0"/>
        <w:adjustRightInd w:val="0"/>
        <w:ind w:firstLine="204"/>
        <w:jc w:val="both"/>
        <w:rPr>
          <w:sz w:val="24"/>
          <w:szCs w:val="24"/>
        </w:rPr>
      </w:pPr>
      <w:r>
        <w:rPr>
          <w:sz w:val="24"/>
          <w:szCs w:val="24"/>
        </w:rPr>
        <w:t>Likewise, t</w:t>
      </w:r>
      <w:r w:rsidR="007F08FA" w:rsidRPr="007F08FA">
        <w:rPr>
          <w:sz w:val="24"/>
          <w:szCs w:val="24"/>
        </w:rPr>
        <w:t xml:space="preserve">he current interrupt method </w:t>
      </w:r>
      <w:r w:rsidR="00252B36">
        <w:rPr>
          <w:sz w:val="24"/>
          <w:szCs w:val="24"/>
        </w:rPr>
        <w:t>also produces low R</w:t>
      </w:r>
      <w:r w:rsidR="00252B36" w:rsidRPr="00252B36">
        <w:rPr>
          <w:sz w:val="24"/>
          <w:szCs w:val="24"/>
          <w:vertAlign w:val="subscript"/>
        </w:rPr>
        <w:t>INT</w:t>
      </w:r>
      <w:r w:rsidR="00252B36">
        <w:rPr>
          <w:sz w:val="24"/>
          <w:szCs w:val="24"/>
        </w:rPr>
        <w:t xml:space="preserve"> values unless steady state conditions are first established</w:t>
      </w:r>
      <w:r w:rsidR="007F08FA" w:rsidRPr="007F08FA">
        <w:rPr>
          <w:sz w:val="24"/>
          <w:szCs w:val="24"/>
        </w:rPr>
        <w:t>.</w:t>
      </w:r>
      <w:r w:rsidR="00252B36">
        <w:rPr>
          <w:sz w:val="24"/>
          <w:szCs w:val="24"/>
        </w:rPr>
        <w:t xml:space="preserve"> Steady state conditions and </w:t>
      </w:r>
      <w:r>
        <w:rPr>
          <w:sz w:val="24"/>
          <w:szCs w:val="24"/>
        </w:rPr>
        <w:t>R</w:t>
      </w:r>
      <w:r w:rsidRPr="000D7515">
        <w:rPr>
          <w:sz w:val="24"/>
          <w:szCs w:val="24"/>
          <w:vertAlign w:val="subscript"/>
        </w:rPr>
        <w:t>INT</w:t>
      </w:r>
      <w:r>
        <w:rPr>
          <w:sz w:val="24"/>
          <w:szCs w:val="24"/>
        </w:rPr>
        <w:t xml:space="preserve"> measurements are quickly achieved (within milliseconds) in a conventional fuel cell but take much longer with MFC</w:t>
      </w:r>
      <w:r w:rsidR="00FD58C6">
        <w:rPr>
          <w:sz w:val="24"/>
          <w:szCs w:val="24"/>
        </w:rPr>
        <w:t>s,</w:t>
      </w:r>
      <w:r>
        <w:rPr>
          <w:sz w:val="24"/>
          <w:szCs w:val="24"/>
        </w:rPr>
        <w:t xml:space="preserve"> which operat</w:t>
      </w:r>
      <w:r w:rsidR="00FD58C6">
        <w:rPr>
          <w:sz w:val="24"/>
          <w:szCs w:val="24"/>
        </w:rPr>
        <w:t>e at much lower reaction rates. Unless steady state conditions have been established (taking up to 30 minutes), the full picture of the MFC internal resistance losses cannot be produced.</w:t>
      </w:r>
    </w:p>
    <w:p w:rsidR="001959CA" w:rsidRPr="001959CA" w:rsidRDefault="00C74D45" w:rsidP="001959CA">
      <w:pPr>
        <w:autoSpaceDE w:val="0"/>
        <w:autoSpaceDN w:val="0"/>
        <w:adjustRightInd w:val="0"/>
        <w:ind w:firstLine="204"/>
        <w:jc w:val="both"/>
        <w:rPr>
          <w:sz w:val="24"/>
          <w:szCs w:val="24"/>
        </w:rPr>
      </w:pPr>
      <w:r w:rsidRPr="001959CA">
        <w:rPr>
          <w:sz w:val="24"/>
          <w:szCs w:val="24"/>
        </w:rPr>
        <w:t xml:space="preserve">Connecting multiple MFCs in continuous flow requires the units to be fluidically joined to an inflow and an outflow stream. As shown in Figure 3, in order to get the maximum power out of the system, the units need to be fluidically isolated, since high shunt losses are incurred due to the ‘short-circuit’ phenomenon. The stack of 10 fluidically bridged MFCs produced 1,250mV (~3 </w:t>
      </w:r>
      <w:r w:rsidRPr="001959CA">
        <w:rPr>
          <w:rFonts w:ascii="Arial" w:hAnsi="Arial" w:cs="Arial"/>
          <w:sz w:val="24"/>
          <w:szCs w:val="24"/>
        </w:rPr>
        <w:t>x</w:t>
      </w:r>
      <w:r w:rsidRPr="001959CA">
        <w:rPr>
          <w:sz w:val="24"/>
          <w:szCs w:val="24"/>
        </w:rPr>
        <w:t xml:space="preserve"> V</w:t>
      </w:r>
      <w:r w:rsidRPr="001959CA">
        <w:rPr>
          <w:sz w:val="24"/>
          <w:szCs w:val="24"/>
          <w:vertAlign w:val="subscript"/>
        </w:rPr>
        <w:t>O-C</w:t>
      </w:r>
      <w:r w:rsidRPr="001959CA">
        <w:rPr>
          <w:sz w:val="24"/>
          <w:szCs w:val="24"/>
        </w:rPr>
        <w:t xml:space="preserve">) instead of the theoretical 4,400V (10 </w:t>
      </w:r>
      <w:r w:rsidRPr="001959CA">
        <w:rPr>
          <w:rFonts w:ascii="Arial" w:hAnsi="Arial" w:cs="Arial"/>
          <w:sz w:val="24"/>
          <w:szCs w:val="24"/>
        </w:rPr>
        <w:t>x</w:t>
      </w:r>
      <w:r w:rsidRPr="001959CA">
        <w:rPr>
          <w:sz w:val="24"/>
          <w:szCs w:val="24"/>
        </w:rPr>
        <w:t xml:space="preserve"> V</w:t>
      </w:r>
      <w:r w:rsidRPr="001959CA">
        <w:rPr>
          <w:sz w:val="24"/>
          <w:szCs w:val="24"/>
          <w:vertAlign w:val="subscript"/>
        </w:rPr>
        <w:t>O-C</w:t>
      </w:r>
      <w:r w:rsidRPr="001959CA">
        <w:rPr>
          <w:sz w:val="24"/>
          <w:szCs w:val="24"/>
        </w:rPr>
        <w:t>). When the units were isolated, the V</w:t>
      </w:r>
      <w:r w:rsidRPr="001959CA">
        <w:rPr>
          <w:sz w:val="24"/>
          <w:szCs w:val="24"/>
          <w:vertAlign w:val="subscript"/>
        </w:rPr>
        <w:t>O-C</w:t>
      </w:r>
      <w:r w:rsidRPr="001959CA">
        <w:rPr>
          <w:sz w:val="24"/>
          <w:szCs w:val="24"/>
        </w:rPr>
        <w:t xml:space="preserve"> (3,600mV) although still 20% lower than the theoretical maximum, was nearly 3-fold higher than that from the fluid-linked stack. </w:t>
      </w:r>
      <w:r w:rsidR="001959CA" w:rsidRPr="001959CA">
        <w:rPr>
          <w:sz w:val="24"/>
          <w:szCs w:val="24"/>
        </w:rPr>
        <w:t xml:space="preserve">Approximately 20% of the voltage lost </w:t>
      </w:r>
      <w:r w:rsidR="007F08FA">
        <w:rPr>
          <w:sz w:val="24"/>
          <w:szCs w:val="24"/>
        </w:rPr>
        <w:t xml:space="preserve">was due to the </w:t>
      </w:r>
      <w:r w:rsidR="001959CA" w:rsidRPr="001959CA">
        <w:rPr>
          <w:sz w:val="24"/>
          <w:szCs w:val="24"/>
        </w:rPr>
        <w:t>the instrumentation input impedance (1M</w:t>
      </w:r>
      <w:r w:rsidR="001959CA" w:rsidRPr="001959CA">
        <w:rPr>
          <w:rFonts w:ascii="Symbol" w:hAnsi="Symbol"/>
          <w:sz w:val="24"/>
          <w:szCs w:val="24"/>
        </w:rPr>
        <w:t></w:t>
      </w:r>
      <w:r w:rsidR="001959CA" w:rsidRPr="001959CA">
        <w:rPr>
          <w:sz w:val="24"/>
          <w:szCs w:val="24"/>
        </w:rPr>
        <w:t xml:space="preserve">) and a further 5% </w:t>
      </w:r>
      <w:r w:rsidR="007F08FA">
        <w:rPr>
          <w:sz w:val="24"/>
          <w:szCs w:val="24"/>
        </w:rPr>
        <w:t xml:space="preserve">to </w:t>
      </w:r>
      <w:r w:rsidR="001959CA" w:rsidRPr="001959CA">
        <w:rPr>
          <w:sz w:val="24"/>
          <w:szCs w:val="24"/>
        </w:rPr>
        <w:t xml:space="preserve">the instrumentation accuracy (0.2%). But the remaining 75% was </w:t>
      </w:r>
      <w:r w:rsidR="007F08FA">
        <w:rPr>
          <w:sz w:val="24"/>
          <w:szCs w:val="24"/>
        </w:rPr>
        <w:t xml:space="preserve">probably </w:t>
      </w:r>
      <w:r w:rsidR="001959CA" w:rsidRPr="001959CA">
        <w:rPr>
          <w:sz w:val="24"/>
          <w:szCs w:val="24"/>
        </w:rPr>
        <w:t>due to the electrical leakage on the outside of the MFCs due to the humid/wet conditions coupled with the hygroscopic properties of the plastics/polymers employed in manu</w:t>
      </w:r>
      <w:r w:rsidR="007F08FA">
        <w:rPr>
          <w:sz w:val="24"/>
          <w:szCs w:val="24"/>
        </w:rPr>
        <w:t>facturing.</w:t>
      </w:r>
    </w:p>
    <w:p w:rsidR="00C74D45" w:rsidRPr="00026718" w:rsidRDefault="001959CA" w:rsidP="001959CA">
      <w:pPr>
        <w:pStyle w:val="TAMainText"/>
        <w:spacing w:line="240" w:lineRule="auto"/>
        <w:ind w:firstLine="204"/>
        <w:jc w:val="both"/>
      </w:pPr>
      <w:r w:rsidRPr="001959CA">
        <w:rPr>
          <w:szCs w:val="24"/>
        </w:rPr>
        <w:t xml:space="preserve">Electrode potentials </w:t>
      </w:r>
      <w:r w:rsidR="007F08FA">
        <w:rPr>
          <w:szCs w:val="24"/>
        </w:rPr>
        <w:t xml:space="preserve">can also be </w:t>
      </w:r>
      <w:r w:rsidRPr="001959CA">
        <w:rPr>
          <w:szCs w:val="24"/>
        </w:rPr>
        <w:t xml:space="preserve">affected by pH, </w:t>
      </w:r>
      <w:r w:rsidR="007F08FA">
        <w:rPr>
          <w:szCs w:val="24"/>
        </w:rPr>
        <w:t xml:space="preserve">and for this reason, </w:t>
      </w:r>
      <w:r w:rsidRPr="001959CA">
        <w:rPr>
          <w:szCs w:val="24"/>
        </w:rPr>
        <w:t>during the experiments it was ensured that the solutions (anolyte and liquid hydrating the cathode) were of the same neutral pH</w:t>
      </w:r>
      <w:r>
        <w:t xml:space="preserve">. </w:t>
      </w:r>
    </w:p>
    <w:p w:rsidR="007F08FA" w:rsidRDefault="00C74D45" w:rsidP="00C74D45">
      <w:pPr>
        <w:pStyle w:val="TAMainText"/>
        <w:spacing w:line="240" w:lineRule="auto"/>
        <w:jc w:val="both"/>
      </w:pPr>
      <w:r w:rsidRPr="00026718">
        <w:t xml:space="preserve">Fluidic conductance is less of a problem for a parallel connected stack, in which the anodes and cathodes are already electrically joined together. </w:t>
      </w:r>
      <w:r w:rsidRPr="00026718">
        <w:lastRenderedPageBreak/>
        <w:t>However, for a series connected stack, in which the anodes and cathodes need to remain isolated, fluidic conductance can have detrimental effects (see Fig</w:t>
      </w:r>
      <w:r>
        <w:t>ures</w:t>
      </w:r>
      <w:r w:rsidRPr="00026718">
        <w:t xml:space="preserve"> 5 and 6). This was found to be more marked when the fluid medium contained higher levels of salt electrolyte (results not presented). The parallel connected stack offers high amperage but low voltage whereas the series connected stack offers high voltage but low amperage. The trade-off between the two appears to be a series/parallel configuration, in which even if there is fluidic conductance, shunt losses are less severe. But even in this case, as Figure 4 illustrates, the P</w:t>
      </w:r>
      <w:r w:rsidRPr="00026718">
        <w:rPr>
          <w:vertAlign w:val="subscript"/>
        </w:rPr>
        <w:t>D</w:t>
      </w:r>
      <w:r w:rsidRPr="00026718">
        <w:t xml:space="preserve"> can be further increased by 2.5-fold if the units are kept fluidically isolated. This is further strengthened by the data presented in Tables </w:t>
      </w:r>
      <w:r w:rsidR="007F08FA">
        <w:t>I</w:t>
      </w:r>
      <w:r w:rsidR="007F08FA" w:rsidRPr="00026718">
        <w:t xml:space="preserve"> </w:t>
      </w:r>
      <w:proofErr w:type="gramStart"/>
      <w:r w:rsidRPr="00026718">
        <w:t xml:space="preserve">and </w:t>
      </w:r>
      <w:r w:rsidR="007F08FA">
        <w:t xml:space="preserve"> II</w:t>
      </w:r>
      <w:proofErr w:type="gramEnd"/>
      <w:r w:rsidR="007F08FA" w:rsidRPr="00026718">
        <w:t xml:space="preserve"> </w:t>
      </w:r>
      <w:r w:rsidRPr="00026718">
        <w:t xml:space="preserve">which show the increase in the mean power output and power density from connecting multiple units together. Data in Table </w:t>
      </w:r>
      <w:r w:rsidR="007F08FA">
        <w:t>II</w:t>
      </w:r>
      <w:r w:rsidR="007F08FA" w:rsidRPr="00026718">
        <w:t xml:space="preserve"> </w:t>
      </w:r>
      <w:r w:rsidRPr="00026718">
        <w:t>suggest that the collective power density from stacks of parallel units increases with numbers of units joined together up to 6-8 units. Further addition of units did not result in any further power density increases. This suggests that for multiple unit networks, there may be an optimum number of cells that can be connected in parallel (i.e. in one configuration), before stacks are joined in series (i.e. in another configuration).</w:t>
      </w:r>
      <w:r>
        <w:t xml:space="preserve"> Based on power output from 10 small units, a theoretical projection to 80 small units (giving the same equivalent anodic volume of 500mL as the large unit) gave a projected output of 10W/m</w:t>
      </w:r>
      <w:r w:rsidRPr="00067B30">
        <w:rPr>
          <w:vertAlign w:val="superscript"/>
        </w:rPr>
        <w:t>3</w:t>
      </w:r>
      <w:r>
        <w:t>, which is 48 times higher than the actual output produced by the large MFC.</w:t>
      </w:r>
    </w:p>
    <w:p w:rsidR="00C74D45" w:rsidRPr="00026718" w:rsidRDefault="003F75F1" w:rsidP="00C74D45">
      <w:pPr>
        <w:pStyle w:val="TAMainText"/>
        <w:spacing w:line="240" w:lineRule="auto"/>
        <w:jc w:val="both"/>
        <w:rPr>
          <w:b/>
        </w:rPr>
      </w:pPr>
      <w:r>
        <w:t xml:space="preserve">System efficiency has been described in terms of maximum power transfer (see Section 2.7). However, efficiency </w:t>
      </w:r>
      <w:r w:rsidR="007F08FA">
        <w:t>can also be expressed in terms of the energy output/energy input ratio</w:t>
      </w:r>
      <w:r>
        <w:t xml:space="preserve"> which is relevant to the fuel utilisation efficiency</w:t>
      </w:r>
      <w:r w:rsidR="007F08FA">
        <w:t xml:space="preserve">. The </w:t>
      </w:r>
      <w:r w:rsidR="00FD2399">
        <w:t xml:space="preserve">fuel utilisation </w:t>
      </w:r>
      <w:r w:rsidR="007F08FA">
        <w:t xml:space="preserve">efficiency of the medium size MFC for exemplar substrates has already been reported [4]. Although both definitions of efficiency can be used to </w:t>
      </w:r>
      <w:r w:rsidR="00FD2399">
        <w:t xml:space="preserve">express </w:t>
      </w:r>
      <w:r w:rsidR="007F08FA">
        <w:t xml:space="preserve">the </w:t>
      </w:r>
      <w:r w:rsidR="00FD2399">
        <w:t xml:space="preserve">behaviour </w:t>
      </w:r>
      <w:r>
        <w:t>of MFCs</w:t>
      </w:r>
      <w:r w:rsidR="007F08FA">
        <w:t xml:space="preserve">, </w:t>
      </w:r>
      <w:r>
        <w:t>however the former is the most useful for predicting power requirements of real applications</w:t>
      </w:r>
      <w:r w:rsidR="007F08FA">
        <w:t>.</w:t>
      </w:r>
      <w:r w:rsidR="00C74D45" w:rsidRPr="00026718">
        <w:t xml:space="preserve"> </w:t>
      </w:r>
    </w:p>
    <w:p w:rsidR="00B55DF6" w:rsidRPr="00026718" w:rsidRDefault="00C74D45" w:rsidP="007F08FA">
      <w:pPr>
        <w:pStyle w:val="TAMainText"/>
        <w:spacing w:line="240" w:lineRule="auto"/>
        <w:jc w:val="both"/>
      </w:pPr>
      <w:r w:rsidRPr="00026718">
        <w:t xml:space="preserve">With regards to the MFC power output, based on a carbon veil electrode and the limits of scale that we tested, it is clear from our data that scale-up results in a decrease </w:t>
      </w:r>
      <w:r>
        <w:t>of</w:t>
      </w:r>
      <w:r w:rsidRPr="00026718">
        <w:t xml:space="preserve"> power per unit volume (or weight). Since all sizes of MFC produce the same open circuit voltage, and power is a function of voltage (V) </w:t>
      </w:r>
      <w:r w:rsidRPr="00026718">
        <w:rPr>
          <w:rFonts w:ascii="Arial" w:hAnsi="Arial" w:cs="Arial"/>
          <w:sz w:val="20"/>
        </w:rPr>
        <w:t>x</w:t>
      </w:r>
      <w:r w:rsidRPr="00026718">
        <w:t xml:space="preserve"> current (I), for MPT conditions, the current (and hence power) is determined by R</w:t>
      </w:r>
      <w:r w:rsidRPr="00026718">
        <w:rPr>
          <w:vertAlign w:val="subscript"/>
        </w:rPr>
        <w:t>INT</w:t>
      </w:r>
      <w:r w:rsidRPr="00026718">
        <w:t xml:space="preserve"> + R</w:t>
      </w:r>
      <w:r w:rsidRPr="00026718">
        <w:rPr>
          <w:vertAlign w:val="subscript"/>
        </w:rPr>
        <w:t>L</w:t>
      </w:r>
      <w:r w:rsidRPr="00026718">
        <w:t xml:space="preserve">. Therefore, the most likely explanation for this loss of power </w:t>
      </w:r>
      <w:r w:rsidRPr="00026718">
        <w:lastRenderedPageBreak/>
        <w:t>upon scale up is the increase of R</w:t>
      </w:r>
      <w:r w:rsidRPr="00026718">
        <w:rPr>
          <w:vertAlign w:val="subscript"/>
        </w:rPr>
        <w:t>INT</w:t>
      </w:r>
      <w:r w:rsidRPr="00026718">
        <w:t xml:space="preserve"> of the anodic chamber. There are several contributing factors that affect the overall R</w:t>
      </w:r>
      <w:r w:rsidRPr="00026718">
        <w:rPr>
          <w:vertAlign w:val="subscript"/>
        </w:rPr>
        <w:t>INT</w:t>
      </w:r>
      <w:r w:rsidRPr="00026718">
        <w:t xml:space="preserve"> including electrode and electrolyte resistivity and proton path length. Considering the electrode, then R</w:t>
      </w:r>
      <w:r w:rsidRPr="00026718">
        <w:rPr>
          <w:vertAlign w:val="subscript"/>
        </w:rPr>
        <w:t>INT</w:t>
      </w:r>
      <w:r w:rsidRPr="00026718">
        <w:t xml:space="preserve"> depends on the quantity and conductivity of the material as well as its shape and composition. A solid block of a highly conducting anode when scaled up in volume would have a lower resistance since this is directly proportional to the material resistivity (</w:t>
      </w:r>
      <w:r w:rsidRPr="00026718">
        <w:rPr>
          <w:rFonts w:ascii="Symbol" w:hAnsi="Symbol"/>
        </w:rPr>
        <w:t></w:t>
      </w:r>
      <w:r w:rsidRPr="00026718">
        <w:rPr>
          <w:rFonts w:ascii="Symbol" w:hAnsi="Symbol"/>
        </w:rPr>
        <w:t></w:t>
      </w:r>
      <w:r w:rsidRPr="00026718">
        <w:t xml:space="preserve"> and material length (</w:t>
      </w:r>
      <w:r w:rsidRPr="00026718">
        <w:rPr>
          <w:rFonts w:ascii="Symbol" w:hAnsi="Symbol"/>
        </w:rPr>
        <w:t></w:t>
      </w:r>
      <w:r w:rsidRPr="00026718">
        <w:t>), but inversely proportional to the material surface area (A) (i.e. R = (</w:t>
      </w:r>
      <w:bookmarkStart w:id="3" w:name="OLE_LINK1"/>
      <w:bookmarkStart w:id="4" w:name="OLE_LINK3"/>
      <w:r w:rsidRPr="00026718">
        <w:rPr>
          <w:rFonts w:ascii="Symbol" w:hAnsi="Symbol"/>
        </w:rPr>
        <w:t></w:t>
      </w:r>
      <w:bookmarkEnd w:id="3"/>
      <w:bookmarkEnd w:id="4"/>
      <w:r w:rsidRPr="00026718">
        <w:t xml:space="preserve"> x </w:t>
      </w:r>
      <w:r w:rsidRPr="00026718">
        <w:rPr>
          <w:rFonts w:ascii="Symbol" w:hAnsi="Symbol"/>
        </w:rPr>
        <w:t></w:t>
      </w:r>
      <w:r w:rsidRPr="00026718">
        <w:t>)/A). However, a block of anode is inadequate for encouraging microbe-electrode interactions, which require a large surface area interface. The volume to surface area ratio for a solid block of anode is poor on scale up since volume (and weight) of the electrode increase to the cubic power of the size measurements (n</w:t>
      </w:r>
      <w:r w:rsidRPr="00026718">
        <w:rPr>
          <w:vertAlign w:val="superscript"/>
        </w:rPr>
        <w:t>3</w:t>
      </w:r>
      <w:r w:rsidRPr="00026718">
        <w:t>) whilst the surface area increases only to the square (n</w:t>
      </w:r>
      <w:r w:rsidRPr="00026718">
        <w:rPr>
          <w:vertAlign w:val="superscript"/>
        </w:rPr>
        <w:t>2</w:t>
      </w:r>
      <w:r w:rsidRPr="00026718">
        <w:t xml:space="preserve">). In order to improve surface area for the same unit volume of electrode the shape or surface must be highly convoluted. For these reasons, carbon-fibre veil electrodes are often selected by researchers as a suitable, well-convoluted electrode material since it provides a high surface area within a small volume and yet allows permeation and interpenetration of fluids and fluid transport (mass flow and diffusion) to the cells. Electrodes made from flat materials (convoluted or mesh) need to be folded into blocks of conducting material and as they increase in size </w:t>
      </w:r>
      <w:proofErr w:type="gramStart"/>
      <w:r w:rsidRPr="00026718">
        <w:t>they</w:t>
      </w:r>
      <w:proofErr w:type="gramEnd"/>
      <w:r w:rsidRPr="00026718">
        <w:t xml:space="preserve"> tend to increase in resistance (since the resistance increases with length whether measured in the weft or the weave directions of the sheet).</w:t>
      </w:r>
    </w:p>
    <w:p w:rsidR="00C74D45" w:rsidRPr="00026718" w:rsidRDefault="00C74D45" w:rsidP="00C74D45">
      <w:pPr>
        <w:pStyle w:val="TAMainText"/>
        <w:spacing w:line="240" w:lineRule="auto"/>
        <w:jc w:val="both"/>
      </w:pPr>
      <w:r w:rsidRPr="00026718">
        <w:t>A second possible reason for increased R</w:t>
      </w:r>
      <w:r w:rsidRPr="00026718">
        <w:rPr>
          <w:vertAlign w:val="subscript"/>
        </w:rPr>
        <w:t>INT</w:t>
      </w:r>
      <w:r w:rsidRPr="00026718">
        <w:t xml:space="preserve"> on scale-up is in relation with the properties of the fluid electrolyte rather than the electrode; the resistance increases with electrolyte volume. In addition and as previously described, the shorter the distance between the working electrodes and the PEM, the higher is the power output </w:t>
      </w:r>
      <w:r>
        <w:t>[30]</w:t>
      </w:r>
      <w:r w:rsidRPr="00026718">
        <w:t>. In large anodic chambers, it is more likely that a percentage of the microbial activity and proton formation will be taking place "some distance" away from the interface between microbes and the PEM window. Microbes will most probably be metabolizing by fermentation or respiration with alternative end terminal electron acceptors (such as oxygen, ferric/ferrous, nitrate/nitrite and other redox systems if present) that do not contribute to the power output. In MFCs, R</w:t>
      </w:r>
      <w:r w:rsidRPr="00026718">
        <w:rPr>
          <w:vertAlign w:val="subscript"/>
        </w:rPr>
        <w:t>INT</w:t>
      </w:r>
      <w:r w:rsidRPr="00026718">
        <w:t xml:space="preserve"> may also be affected by the microbes themselves (which are resistive by nature) and their metabolic reaction rates, which influences the conductivity of the anolyte.</w:t>
      </w:r>
    </w:p>
    <w:p w:rsidR="00C74D45" w:rsidRDefault="00C74D45" w:rsidP="00C74D45">
      <w:pPr>
        <w:pStyle w:val="TAMainText"/>
        <w:spacing w:line="240" w:lineRule="auto"/>
        <w:jc w:val="both"/>
      </w:pPr>
      <w:r w:rsidRPr="00026718">
        <w:lastRenderedPageBreak/>
        <w:t>Another reason largely independent of R</w:t>
      </w:r>
      <w:r w:rsidRPr="00026718">
        <w:rPr>
          <w:vertAlign w:val="subscript"/>
        </w:rPr>
        <w:t>INT</w:t>
      </w:r>
      <w:r w:rsidRPr="00026718">
        <w:t xml:space="preserve"> may also be given for power loss on scale up relating to mass flow and diffusion. In a small anodic chamber the fluid transfer through the electrode matrix is not problematic since the matrix is thin layered and highly porous. However, in a much larger electrode system the flow distances are greater and more restrictive on the flow rate, depriving electrode middle regions from fuel supply. Diffusion limitation replaces mass flow as a limiting factor for electron production. This effect is observed if a large electrode surface area is compacted into the anodic chamber, regardless of volume.</w:t>
      </w:r>
    </w:p>
    <w:p w:rsidR="00C74D45" w:rsidRDefault="00C74D45" w:rsidP="00C74D45">
      <w:pPr>
        <w:pStyle w:val="TAMainText"/>
        <w:spacing w:line="240" w:lineRule="auto"/>
        <w:jc w:val="both"/>
      </w:pPr>
      <w:r w:rsidRPr="00026718">
        <w:t xml:space="preserve">Table </w:t>
      </w:r>
      <w:r>
        <w:t>I</w:t>
      </w:r>
      <w:r w:rsidRPr="00026718">
        <w:t xml:space="preserve"> is a comparative summary of the long term steady state power output from the three different sized MFCs measured as per MFC unit and as multiples of units for the cases of small and medium MFCs</w:t>
      </w:r>
      <w:r>
        <w:t xml:space="preserve"> only</w:t>
      </w:r>
      <w:r w:rsidRPr="00026718">
        <w:t>. The data are also expressed as power per m</w:t>
      </w:r>
      <w:r w:rsidRPr="00026718">
        <w:rPr>
          <w:vertAlign w:val="superscript"/>
        </w:rPr>
        <w:t>2</w:t>
      </w:r>
      <w:r w:rsidRPr="00026718">
        <w:t xml:space="preserve"> anode electrode area and power per m</w:t>
      </w:r>
      <w:r w:rsidRPr="00026718">
        <w:rPr>
          <w:vertAlign w:val="superscript"/>
        </w:rPr>
        <w:t>3</w:t>
      </w:r>
      <w:r w:rsidRPr="00026718">
        <w:t xml:space="preserve"> of anodic chamber volume.</w:t>
      </w:r>
      <w:r>
        <w:t xml:space="preserve"> </w:t>
      </w:r>
      <w:r w:rsidRPr="00026718">
        <w:t xml:space="preserve">In the present study, the optimum external resistor value was determined in two stages. Firstly, the cell polarization method was employed, which indicated the external load at which maximum power was produced. Then the three different external resistors, </w:t>
      </w:r>
      <w:r w:rsidRPr="00026718">
        <w:rPr>
          <w:color w:val="000000"/>
          <w:szCs w:val="24"/>
        </w:rPr>
        <w:t>430</w:t>
      </w:r>
      <w:r w:rsidRPr="00026718">
        <w:rPr>
          <w:rFonts w:ascii="Symbol" w:hAnsi="Symbol"/>
          <w:color w:val="000000"/>
          <w:szCs w:val="24"/>
        </w:rPr>
        <w:t></w:t>
      </w:r>
      <w:r w:rsidRPr="00026718">
        <w:rPr>
          <w:rFonts w:ascii="Symbol" w:hAnsi="Symbol"/>
          <w:color w:val="000000"/>
          <w:szCs w:val="24"/>
        </w:rPr>
        <w:t></w:t>
      </w:r>
      <w:r w:rsidRPr="00026718">
        <w:rPr>
          <w:rFonts w:ascii="Symbol" w:hAnsi="Symbol"/>
          <w:color w:val="000000"/>
          <w:szCs w:val="24"/>
        </w:rPr>
        <w:t></w:t>
      </w:r>
      <w:r w:rsidRPr="00026718">
        <w:rPr>
          <w:color w:val="000000"/>
          <w:szCs w:val="24"/>
        </w:rPr>
        <w:t>small), 1.3k</w:t>
      </w:r>
      <w:r w:rsidRPr="00026718">
        <w:rPr>
          <w:rFonts w:ascii="Symbol" w:hAnsi="Symbol"/>
          <w:color w:val="000000"/>
          <w:szCs w:val="24"/>
        </w:rPr>
        <w:t></w:t>
      </w:r>
      <w:r w:rsidRPr="00026718">
        <w:rPr>
          <w:color w:val="000000"/>
          <w:szCs w:val="24"/>
        </w:rPr>
        <w:t xml:space="preserve"> (medium) and 3k</w:t>
      </w:r>
      <w:r w:rsidRPr="00026718">
        <w:rPr>
          <w:rFonts w:ascii="Symbol" w:hAnsi="Symbol"/>
          <w:color w:val="000000"/>
          <w:szCs w:val="24"/>
        </w:rPr>
        <w:t></w:t>
      </w:r>
      <w:r w:rsidRPr="00026718">
        <w:rPr>
          <w:rFonts w:ascii="Symbol" w:hAnsi="Symbol"/>
          <w:color w:val="000000"/>
          <w:szCs w:val="24"/>
        </w:rPr>
        <w:t></w:t>
      </w:r>
      <w:r w:rsidRPr="00026718">
        <w:rPr>
          <w:rFonts w:ascii="Symbol" w:hAnsi="Symbol"/>
          <w:color w:val="000000"/>
          <w:szCs w:val="24"/>
        </w:rPr>
        <w:t></w:t>
      </w:r>
      <w:r w:rsidRPr="00026718">
        <w:rPr>
          <w:color w:val="000000"/>
          <w:szCs w:val="24"/>
        </w:rPr>
        <w:t xml:space="preserve">large) </w:t>
      </w:r>
      <w:r w:rsidRPr="00026718">
        <w:t>were connected to the respective MFCs to examine the performance under steady state conditions (see Table 1). During these long-term experiments and in the cases where there was no second MFC running under open-circuit conditions (e.g. large MFC), the current interrupt method was employed to measure V</w:t>
      </w:r>
      <w:r w:rsidRPr="00026718">
        <w:rPr>
          <w:vertAlign w:val="subscript"/>
        </w:rPr>
        <w:t>O-C</w:t>
      </w:r>
      <w:r w:rsidRPr="00026718">
        <w:t>. The R</w:t>
      </w:r>
      <w:r w:rsidRPr="00026718">
        <w:rPr>
          <w:vertAlign w:val="subscript"/>
        </w:rPr>
        <w:t>INT</w:t>
      </w:r>
      <w:r w:rsidRPr="00026718">
        <w:t xml:space="preserve"> was then recalculated and if necessary, the R</w:t>
      </w:r>
      <w:r w:rsidRPr="00026718">
        <w:rPr>
          <w:vertAlign w:val="subscript"/>
        </w:rPr>
        <w:t>L</w:t>
      </w:r>
      <w:r w:rsidRPr="00026718">
        <w:t xml:space="preserve"> was re-adjusted to match the new R</w:t>
      </w:r>
      <w:r w:rsidRPr="00026718">
        <w:rPr>
          <w:vertAlign w:val="subscript"/>
        </w:rPr>
        <w:t>INT</w:t>
      </w:r>
      <w:r w:rsidRPr="00026718">
        <w:t xml:space="preserve"> value. In all cases the new recalculated value was the same as or close to the original (within 5%).</w:t>
      </w:r>
      <w:r>
        <w:t xml:space="preserve"> </w:t>
      </w:r>
    </w:p>
    <w:p w:rsidR="00C74D45" w:rsidRDefault="00C74D45" w:rsidP="00C74D45">
      <w:pPr>
        <w:pStyle w:val="TAMainText"/>
        <w:spacing w:line="240" w:lineRule="auto"/>
        <w:jc w:val="both"/>
      </w:pPr>
      <w:r>
        <w:t>Table II is a summary of the power output from the process of consecutively connecting multiple small-scale MFCs in parallel. Some of the data also appear in Table I, however Table II is used to break down the output parameters from the stack configurations, thereby emphasising and justifying the increase in power density as the number of units increases (up to the optimum point).</w:t>
      </w:r>
    </w:p>
    <w:p w:rsidR="00C74D45" w:rsidRDefault="00C74D45" w:rsidP="00C74D45">
      <w:pPr>
        <w:pStyle w:val="TAMainText"/>
        <w:spacing w:line="240" w:lineRule="auto"/>
        <w:jc w:val="both"/>
        <w:rPr>
          <w:szCs w:val="24"/>
        </w:rPr>
      </w:pPr>
    </w:p>
    <w:p w:rsidR="00C74D45" w:rsidRPr="00026718" w:rsidRDefault="00C74D45" w:rsidP="00C74D45">
      <w:pPr>
        <w:pStyle w:val="TAMainText"/>
        <w:spacing w:line="240" w:lineRule="auto"/>
        <w:jc w:val="both"/>
        <w:rPr>
          <w:szCs w:val="24"/>
        </w:rPr>
      </w:pPr>
    </w:p>
    <w:p w:rsidR="00C74D45" w:rsidRPr="006D016B" w:rsidRDefault="00C74D45" w:rsidP="00C74D45">
      <w:pPr>
        <w:rPr>
          <w:sz w:val="24"/>
          <w:szCs w:val="24"/>
        </w:rPr>
      </w:pPr>
      <w:r w:rsidRPr="006D016B">
        <w:rPr>
          <w:sz w:val="24"/>
          <w:szCs w:val="24"/>
        </w:rPr>
        <w:t>Table I</w:t>
      </w:r>
      <w:r>
        <w:rPr>
          <w:sz w:val="24"/>
          <w:szCs w:val="24"/>
        </w:rPr>
        <w:t>.</w:t>
      </w:r>
      <w:r w:rsidRPr="006D016B">
        <w:rPr>
          <w:sz w:val="24"/>
          <w:szCs w:val="24"/>
        </w:rPr>
        <w:t xml:space="preserve"> Comparative data for the small-scale MFC as an individual unit and stacks of 5 and 10 units in parallel, medium-scale MFC as an individual unit and stacks of 5 units in parallel and large-scale MFC as an individual unit under optimum load conditions.</w:t>
      </w:r>
    </w:p>
    <w:p w:rsidR="00C74D45" w:rsidRPr="006D016B" w:rsidRDefault="00C74D45" w:rsidP="00C74D45">
      <w:pPr>
        <w:ind w:left="357"/>
        <w:rPr>
          <w:sz w:val="24"/>
          <w:szCs w:val="24"/>
        </w:rPr>
      </w:pPr>
    </w:p>
    <w:p w:rsidR="00C74D45" w:rsidRPr="00026718" w:rsidRDefault="00C74D45" w:rsidP="00C74D45">
      <w:pPr>
        <w:spacing w:before="240" w:after="120"/>
        <w:jc w:val="both"/>
        <w:rPr>
          <w:sz w:val="24"/>
          <w:szCs w:val="24"/>
        </w:rPr>
      </w:pPr>
      <w:r>
        <w:rPr>
          <w:sz w:val="24"/>
          <w:szCs w:val="24"/>
        </w:rPr>
        <w:lastRenderedPageBreak/>
        <w:t xml:space="preserve">Table II. </w:t>
      </w:r>
      <w:r w:rsidRPr="00026718">
        <w:rPr>
          <w:sz w:val="24"/>
          <w:szCs w:val="24"/>
        </w:rPr>
        <w:t>Comparative data for the small size MFCs connected consecutively in parallel, under optimum load conditions.</w:t>
      </w:r>
    </w:p>
    <w:p w:rsidR="00C74D45" w:rsidRPr="002144AF" w:rsidRDefault="00C74D45" w:rsidP="007F08FA">
      <w:pPr>
        <w:numPr>
          <w:ilvl w:val="0"/>
          <w:numId w:val="45"/>
        </w:numPr>
        <w:spacing w:before="240" w:after="240"/>
        <w:ind w:left="714" w:hanging="357"/>
        <w:jc w:val="center"/>
        <w:rPr>
          <w:sz w:val="24"/>
          <w:szCs w:val="24"/>
        </w:rPr>
      </w:pPr>
      <w:r>
        <w:rPr>
          <w:sz w:val="24"/>
          <w:szCs w:val="24"/>
        </w:rPr>
        <w:t>CONCLUSIONS</w:t>
      </w:r>
    </w:p>
    <w:p w:rsidR="00C74D45" w:rsidRPr="00026718" w:rsidRDefault="00C74D45" w:rsidP="00C74D45">
      <w:pPr>
        <w:pStyle w:val="TAMainText"/>
        <w:spacing w:line="240" w:lineRule="auto"/>
        <w:ind w:firstLine="0"/>
        <w:jc w:val="both"/>
      </w:pPr>
      <w:r>
        <w:t xml:space="preserve">The novelty of the present study lies in the demonstration that for a given volume, compartmentalisation into as many units as possible, with a concomitant decrease of the individual unit size, results in a more efficient microbial-power harvesting system that could produce higher energy density levels, provided that potential power losses </w:t>
      </w:r>
      <w:r w:rsidRPr="00026718">
        <w:t>from the multiple unit inter</w:t>
      </w:r>
      <w:r>
        <w:t>-</w:t>
      </w:r>
      <w:r w:rsidRPr="00026718">
        <w:t>connections</w:t>
      </w:r>
      <w:r>
        <w:t xml:space="preserve"> are </w:t>
      </w:r>
      <w:r w:rsidRPr="00026718">
        <w:t xml:space="preserve">kept at a minimum. This first part of our investigation naturally led to the second aim of this work which was to study the way that collectives of small units may best be joined electrically to produce useful amounts of power (sufficient to drive small robots). </w:t>
      </w:r>
    </w:p>
    <w:p w:rsidR="00C74D45" w:rsidRPr="00026718" w:rsidRDefault="00C74D45" w:rsidP="00C74D45">
      <w:pPr>
        <w:pStyle w:val="TAMainText"/>
        <w:spacing w:line="240" w:lineRule="auto"/>
        <w:jc w:val="both"/>
      </w:pPr>
      <w:r w:rsidRPr="00026718">
        <w:t xml:space="preserve">The term optimal load has been used in the contexts of efficiency, longevity and actual power output, by different groups of workers. </w:t>
      </w:r>
      <w:r>
        <w:t>For energis</w:t>
      </w:r>
      <w:r w:rsidRPr="00026718">
        <w:t>ing real-world applications it is far more important to deliver maximum power across the load than it is to be highly efficient. Therefore in this study, the term is used from the perspective of sustainable maximum power transfer (MPT), which is achieved when the resistive part of the internal impedance is matched by the external resistive load.</w:t>
      </w:r>
    </w:p>
    <w:p w:rsidR="00C74D45" w:rsidRPr="00026718" w:rsidRDefault="00C74D45" w:rsidP="00C74D45">
      <w:pPr>
        <w:pStyle w:val="TAMainText"/>
        <w:spacing w:line="240" w:lineRule="auto"/>
        <w:jc w:val="both"/>
      </w:pPr>
      <w:r>
        <w:t xml:space="preserve">Internal resistance, </w:t>
      </w:r>
      <w:r w:rsidRPr="00026718">
        <w:t>R</w:t>
      </w:r>
      <w:r w:rsidRPr="00026718">
        <w:rPr>
          <w:vertAlign w:val="subscript"/>
        </w:rPr>
        <w:t>INT</w:t>
      </w:r>
      <w:r>
        <w:t xml:space="preserve">, </w:t>
      </w:r>
      <w:r w:rsidRPr="00026718">
        <w:t xml:space="preserve">is a significant parameter of MFCs, as previously identified by numerous workers </w:t>
      </w:r>
      <w:r>
        <w:t xml:space="preserve">[11, 18, 23, 20, </w:t>
      </w:r>
      <w:proofErr w:type="gramStart"/>
      <w:r>
        <w:t>30</w:t>
      </w:r>
      <w:proofErr w:type="gramEnd"/>
      <w:r>
        <w:t>]</w:t>
      </w:r>
      <w:r w:rsidRPr="00026718">
        <w:t>. Equation 1</w:t>
      </w:r>
      <w:r>
        <w:t xml:space="preserve"> is a well established formula in the field of physics</w:t>
      </w:r>
      <w:r w:rsidRPr="00026718">
        <w:t xml:space="preserve"> </w:t>
      </w:r>
      <w:r>
        <w:t xml:space="preserve">and </w:t>
      </w:r>
      <w:r w:rsidRPr="00026718">
        <w:t>shows a good method of estimating the overall internal losses for impedance matching to achieve maximum power output</w:t>
      </w:r>
      <w:r>
        <w:t>. Furthermore it emphasises</w:t>
      </w:r>
      <w:r w:rsidRPr="00026718">
        <w:t xml:space="preserve"> the importance of the open-circuit voltage (V</w:t>
      </w:r>
      <w:r w:rsidRPr="00026718">
        <w:rPr>
          <w:vertAlign w:val="subscript"/>
        </w:rPr>
        <w:t>O-C</w:t>
      </w:r>
      <w:r w:rsidRPr="00026718">
        <w:t>)</w:t>
      </w:r>
      <w:r>
        <w:t>, as an essential parameter for calculating R</w:t>
      </w:r>
      <w:r w:rsidRPr="00CE5E98">
        <w:rPr>
          <w:vertAlign w:val="subscript"/>
        </w:rPr>
        <w:t>INT</w:t>
      </w:r>
      <w:r w:rsidRPr="00026718">
        <w:t>. V</w:t>
      </w:r>
      <w:r w:rsidRPr="00026718">
        <w:rPr>
          <w:vertAlign w:val="subscript"/>
        </w:rPr>
        <w:t>O-C</w:t>
      </w:r>
      <w:r w:rsidRPr="00026718">
        <w:t xml:space="preserve"> is an indication of the difference between the standard redox potentials (E</w:t>
      </w:r>
      <w:r w:rsidRPr="00026718">
        <w:rPr>
          <w:vertAlign w:val="subscript"/>
        </w:rPr>
        <w:t>0</w:t>
      </w:r>
      <w:r w:rsidRPr="00026718">
        <w:t>’) of the anolyte and catholyte and defines the force with which electrons will flow through the circuit</w:t>
      </w:r>
      <w:r>
        <w:t xml:space="preserve">. </w:t>
      </w:r>
      <w:r w:rsidRPr="00026718">
        <w:t xml:space="preserve">As shown in Table </w:t>
      </w:r>
      <w:r w:rsidR="003F75F1">
        <w:t>I</w:t>
      </w:r>
      <w:r w:rsidRPr="00026718">
        <w:t xml:space="preserve">, </w:t>
      </w:r>
      <w:r>
        <w:t>it</w:t>
      </w:r>
      <w:r w:rsidRPr="00026718">
        <w:t xml:space="preserve"> is independent of volume and size and therefore the same number of units – regardless of size – </w:t>
      </w:r>
      <w:r>
        <w:t xml:space="preserve">would be </w:t>
      </w:r>
      <w:r w:rsidRPr="00026718">
        <w:t xml:space="preserve">necessary to meet the minimum requirements of </w:t>
      </w:r>
      <w:r w:rsidR="003F75F1">
        <w:t>application circuitry</w:t>
      </w:r>
      <w:r w:rsidRPr="00026718">
        <w:t>.</w:t>
      </w:r>
      <w:r>
        <w:t xml:space="preserve"> </w:t>
      </w:r>
      <w:r w:rsidRPr="00026718">
        <w:t>For</w:t>
      </w:r>
      <w:r>
        <w:t xml:space="preserve"> applications such as</w:t>
      </w:r>
      <w:r w:rsidRPr="00026718">
        <w:t xml:space="preserve"> mobile robots, </w:t>
      </w:r>
      <w:r>
        <w:t xml:space="preserve">this is very important as </w:t>
      </w:r>
      <w:r w:rsidRPr="00026718">
        <w:t xml:space="preserve">weight (mass payload) including that of the onboard power supply is a critical constraint that must be kept to a minimum. </w:t>
      </w:r>
    </w:p>
    <w:p w:rsidR="00C74D45" w:rsidRDefault="00C74D45" w:rsidP="00C74D45">
      <w:pPr>
        <w:pStyle w:val="TAMainText"/>
        <w:spacing w:line="240" w:lineRule="auto"/>
        <w:jc w:val="both"/>
      </w:pPr>
      <w:r w:rsidRPr="00026718">
        <w:t xml:space="preserve">With a plurality of small units, series connection can be used to step up voltage above the level (ca. </w:t>
      </w:r>
      <w:r w:rsidRPr="00026718">
        <w:lastRenderedPageBreak/>
        <w:t>1.8V) required to energize real world electrical or electronic applications. Although this has been previously demonstrated using periodically fed batch culture MFC this is the first study to show the advantages of stacks of small sized MFCs working in continuous-flow mode. However, the advantages of further scale-down and plurality have yet to be studied.</w:t>
      </w:r>
    </w:p>
    <w:p w:rsidR="00C74D45" w:rsidRDefault="00C74D45" w:rsidP="00C74D45">
      <w:pPr>
        <w:pStyle w:val="TAMainText"/>
        <w:spacing w:before="240" w:after="240" w:line="240" w:lineRule="auto"/>
        <w:ind w:firstLine="204"/>
        <w:jc w:val="center"/>
        <w:rPr>
          <w:sz w:val="20"/>
        </w:rPr>
      </w:pPr>
      <w:r>
        <w:rPr>
          <w:sz w:val="20"/>
        </w:rPr>
        <w:t>ACKNOWLEDGMENTS</w:t>
      </w:r>
    </w:p>
    <w:p w:rsidR="00C74D45" w:rsidRPr="00B65B86" w:rsidRDefault="00C74D45" w:rsidP="00C74D45">
      <w:pPr>
        <w:pStyle w:val="TAMainText"/>
        <w:spacing w:line="240" w:lineRule="auto"/>
        <w:ind w:firstLine="0"/>
        <w:jc w:val="both"/>
        <w:rPr>
          <w:sz w:val="20"/>
        </w:rPr>
      </w:pPr>
      <w:r>
        <w:rPr>
          <w:sz w:val="20"/>
        </w:rPr>
        <w:t xml:space="preserve">The authors would like to thank the EPSRC for the financial support of this work through the EP/D027403/1 project, Engineering and Physical Sciences Research Council, </w:t>
      </w:r>
      <w:smartTag w:uri="urn:schemas-microsoft-com:office:smarttags" w:element="place">
        <w:smartTag w:uri="urn:schemas-microsoft-com:office:smarttags" w:element="country-region">
          <w:r>
            <w:rPr>
              <w:sz w:val="20"/>
            </w:rPr>
            <w:t>UK</w:t>
          </w:r>
        </w:smartTag>
      </w:smartTag>
      <w:r>
        <w:rPr>
          <w:sz w:val="20"/>
        </w:rPr>
        <w:t xml:space="preserve"> database </w:t>
      </w:r>
      <w:r w:rsidRPr="00B65B86">
        <w:rPr>
          <w:sz w:val="20"/>
        </w:rPr>
        <w:t>http://gow.epsrc.ac.uk/ViewGrant.aspx?Grant</w:t>
      </w:r>
      <w:r>
        <w:rPr>
          <w:sz w:val="20"/>
        </w:rPr>
        <w:t>-</w:t>
      </w:r>
      <w:r w:rsidRPr="00B65B86">
        <w:rPr>
          <w:sz w:val="20"/>
        </w:rPr>
        <w:t>Ref=EP/D027403/1</w:t>
      </w:r>
      <w:r>
        <w:rPr>
          <w:sz w:val="20"/>
        </w:rPr>
        <w:t>.</w:t>
      </w:r>
    </w:p>
    <w:p w:rsidR="00C74D45" w:rsidRPr="000B290E" w:rsidRDefault="00C74D45" w:rsidP="00C74D45">
      <w:pPr>
        <w:spacing w:before="240" w:after="120"/>
        <w:jc w:val="center"/>
        <w:rPr>
          <w:color w:val="000000"/>
        </w:rPr>
      </w:pPr>
      <w:r w:rsidRPr="000B290E">
        <w:rPr>
          <w:color w:val="000000"/>
        </w:rPr>
        <w:t>REFERENCES</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Potter MC. Electrical effects accompanying the Decomposition of Organic Compounds. </w:t>
      </w:r>
      <w:r w:rsidRPr="001959CA">
        <w:rPr>
          <w:i/>
          <w:sz w:val="20"/>
        </w:rPr>
        <w:t>Proceedings of the Royal Society London, Series B</w:t>
      </w:r>
      <w:r w:rsidRPr="001959CA">
        <w:rPr>
          <w:sz w:val="20"/>
        </w:rPr>
        <w:t xml:space="preserve"> 1912; </w:t>
      </w:r>
      <w:r w:rsidRPr="001959CA">
        <w:rPr>
          <w:b/>
          <w:sz w:val="20"/>
        </w:rPr>
        <w:t>84</w:t>
      </w:r>
      <w:r w:rsidRPr="001959CA">
        <w:rPr>
          <w:sz w:val="20"/>
        </w:rPr>
        <w:t>:260–276.</w:t>
      </w:r>
    </w:p>
    <w:p w:rsidR="00C74D45" w:rsidRPr="001959CA" w:rsidRDefault="00C74D45" w:rsidP="00C74D45">
      <w:pPr>
        <w:pStyle w:val="TFReferencesSection"/>
        <w:numPr>
          <w:ilvl w:val="0"/>
          <w:numId w:val="42"/>
        </w:numPr>
        <w:spacing w:line="240" w:lineRule="auto"/>
        <w:jc w:val="both"/>
        <w:rPr>
          <w:sz w:val="20"/>
        </w:rPr>
      </w:pPr>
      <w:r w:rsidRPr="001959CA">
        <w:rPr>
          <w:iCs/>
          <w:sz w:val="20"/>
        </w:rPr>
        <w:t xml:space="preserve">Wilkinson S. “Gastronome” – A Pioneering Food Powered Mobile Robot. </w:t>
      </w:r>
      <w:r w:rsidRPr="001959CA">
        <w:rPr>
          <w:i/>
          <w:iCs/>
          <w:sz w:val="20"/>
        </w:rPr>
        <w:t>Proceedings of the International Conference on Robotics and Applications</w:t>
      </w:r>
      <w:r w:rsidRPr="001959CA">
        <w:rPr>
          <w:iCs/>
          <w:sz w:val="20"/>
        </w:rPr>
        <w:t xml:space="preserve">, Honolulu Hawaii, 14-16 August </w:t>
      </w:r>
      <w:r w:rsidRPr="001959CA">
        <w:rPr>
          <w:sz w:val="20"/>
        </w:rPr>
        <w:t>2000</w:t>
      </w:r>
      <w:r w:rsidRPr="001959CA">
        <w:rPr>
          <w:iCs/>
          <w:sz w:val="20"/>
        </w:rPr>
        <w:t>,</w:t>
      </w:r>
      <w:r w:rsidRPr="001959CA">
        <w:rPr>
          <w:sz w:val="20"/>
        </w:rPr>
        <w:t xml:space="preserve"> </w:t>
      </w:r>
      <w:r w:rsidRPr="001959CA">
        <w:rPr>
          <w:iCs/>
          <w:sz w:val="20"/>
        </w:rPr>
        <w:t>IASTED-2000</w:t>
      </w:r>
      <w:r w:rsidRPr="001959CA">
        <w:rPr>
          <w:sz w:val="20"/>
        </w:rPr>
        <w:t>.</w:t>
      </w:r>
    </w:p>
    <w:p w:rsidR="00C74D45" w:rsidRPr="001959CA" w:rsidRDefault="00C74D45" w:rsidP="00C74D45">
      <w:pPr>
        <w:pStyle w:val="TFReferencesSection"/>
        <w:numPr>
          <w:ilvl w:val="0"/>
          <w:numId w:val="42"/>
        </w:numPr>
        <w:spacing w:line="240" w:lineRule="auto"/>
        <w:jc w:val="both"/>
        <w:rPr>
          <w:sz w:val="20"/>
        </w:rPr>
      </w:pPr>
      <w:r w:rsidRPr="001959CA">
        <w:rPr>
          <w:rStyle w:val="Strong"/>
          <w:b w:val="0"/>
          <w:sz w:val="20"/>
        </w:rPr>
        <w:t>Ieropoulos I, Greenman J, Melhuish C</w:t>
      </w:r>
      <w:r w:rsidRPr="001959CA">
        <w:rPr>
          <w:sz w:val="20"/>
        </w:rPr>
        <w:t xml:space="preserve">. Imitating Metabolism: Energy Autonomy in Biologically Inspired Robotics. </w:t>
      </w:r>
      <w:r w:rsidRPr="001959CA">
        <w:rPr>
          <w:i/>
          <w:iCs/>
          <w:sz w:val="20"/>
        </w:rPr>
        <w:t>Proceedings of Second International Symposium on Imitation in Animals and Artifacts</w:t>
      </w:r>
      <w:r w:rsidRPr="001959CA">
        <w:rPr>
          <w:sz w:val="20"/>
        </w:rPr>
        <w:t xml:space="preserve">, </w:t>
      </w:r>
      <w:r w:rsidRPr="001959CA">
        <w:rPr>
          <w:i/>
          <w:sz w:val="20"/>
        </w:rPr>
        <w:t>SSAISB</w:t>
      </w:r>
      <w:r w:rsidRPr="001959CA">
        <w:rPr>
          <w:sz w:val="20"/>
        </w:rPr>
        <w:t xml:space="preserve">, Aberystwyth, Wales, 7-11 April 2003, </w:t>
      </w:r>
      <w:r w:rsidRPr="001959CA">
        <w:rPr>
          <w:iCs/>
          <w:sz w:val="20"/>
        </w:rPr>
        <w:t>AISB-03</w:t>
      </w:r>
      <w:r w:rsidRPr="001959CA">
        <w:rPr>
          <w:sz w:val="20"/>
        </w:rPr>
        <w:t>.</w:t>
      </w:r>
    </w:p>
    <w:p w:rsidR="00C74D45" w:rsidRPr="001959CA" w:rsidRDefault="00C74D45" w:rsidP="00C74D45">
      <w:pPr>
        <w:pStyle w:val="TFReferencesSection"/>
        <w:numPr>
          <w:ilvl w:val="0"/>
          <w:numId w:val="42"/>
        </w:numPr>
        <w:spacing w:line="240" w:lineRule="auto"/>
        <w:jc w:val="both"/>
        <w:rPr>
          <w:rStyle w:val="stil20"/>
          <w:sz w:val="20"/>
        </w:rPr>
      </w:pPr>
      <w:r w:rsidRPr="001959CA">
        <w:rPr>
          <w:rStyle w:val="stil20"/>
          <w:sz w:val="20"/>
        </w:rPr>
        <w:t xml:space="preserve">Melhuish C, Ieropoulos I, Greenman J, Horsfield I. Energetically autonomous robots: Food for thought. </w:t>
      </w:r>
      <w:r w:rsidRPr="001959CA">
        <w:rPr>
          <w:rStyle w:val="Emphasis"/>
          <w:sz w:val="20"/>
        </w:rPr>
        <w:t>Autonomous Robots</w:t>
      </w:r>
      <w:r w:rsidRPr="001959CA">
        <w:rPr>
          <w:rStyle w:val="Emphasis"/>
          <w:i w:val="0"/>
          <w:sz w:val="20"/>
        </w:rPr>
        <w:t xml:space="preserve"> </w:t>
      </w:r>
      <w:r w:rsidRPr="001959CA">
        <w:rPr>
          <w:rStyle w:val="stil20"/>
          <w:sz w:val="20"/>
        </w:rPr>
        <w:t xml:space="preserve">2006; </w:t>
      </w:r>
      <w:r w:rsidRPr="001959CA">
        <w:rPr>
          <w:rStyle w:val="stil20"/>
          <w:b/>
          <w:sz w:val="20"/>
        </w:rPr>
        <w:t>21</w:t>
      </w:r>
      <w:r w:rsidRPr="001959CA">
        <w:rPr>
          <w:rStyle w:val="stil20"/>
          <w:sz w:val="20"/>
        </w:rPr>
        <w:t xml:space="preserve">:187–198, DOI: </w:t>
      </w:r>
      <w:r w:rsidRPr="001959CA">
        <w:rPr>
          <w:color w:val="000025"/>
          <w:sz w:val="20"/>
        </w:rPr>
        <w:t>10.1007/s10514-006-6574-5</w:t>
      </w:r>
      <w:r w:rsidRPr="001959CA">
        <w:rPr>
          <w:rStyle w:val="stil20"/>
          <w:sz w:val="20"/>
        </w:rPr>
        <w:t>.</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Stirling JL, Bennetto HP, Delaney GM, Mason JR, Roller SD, Tanaka K, Thurston, CF. Microbial fuel cells. </w:t>
      </w:r>
      <w:r w:rsidRPr="001959CA">
        <w:rPr>
          <w:i/>
          <w:sz w:val="20"/>
        </w:rPr>
        <w:t>Journal of the Biochemical Society Transactions</w:t>
      </w:r>
      <w:r w:rsidRPr="001959CA">
        <w:rPr>
          <w:sz w:val="20"/>
        </w:rPr>
        <w:t xml:space="preserve"> 1983; </w:t>
      </w:r>
      <w:r w:rsidRPr="001959CA">
        <w:rPr>
          <w:b/>
          <w:sz w:val="20"/>
        </w:rPr>
        <w:t>11:</w:t>
      </w:r>
      <w:r w:rsidRPr="001959CA">
        <w:rPr>
          <w:sz w:val="20"/>
        </w:rPr>
        <w:t>451–453.</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Bennetto HP, Delaney GM, Mason JR, Roller SD, Stirling JL, Thurston CF. An electrochemical bioreactor for treatment of carbohydrate wastes and effluents. In </w:t>
      </w:r>
      <w:r w:rsidRPr="001959CA">
        <w:rPr>
          <w:i/>
          <w:sz w:val="20"/>
        </w:rPr>
        <w:t>Alternative Energy Sources VII, 4, Bioconversion/Hydrogen</w:t>
      </w:r>
      <w:r w:rsidRPr="001959CA">
        <w:rPr>
          <w:sz w:val="20"/>
        </w:rPr>
        <w:t xml:space="preserve"> Hemisphere Publishing Corporation, NY, 1984; 143–157.</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Bennetto HP, Delaney GM, Mason JR, Roller SD, Stirling JL, Thurston CF. The Sucrose Fuel Cell: Efficient Biomass Conversion using a Microbial Catalyst. </w:t>
      </w:r>
      <w:r w:rsidRPr="001959CA">
        <w:rPr>
          <w:i/>
          <w:sz w:val="20"/>
        </w:rPr>
        <w:t>Biotechnology Letters</w:t>
      </w:r>
      <w:r w:rsidRPr="001959CA">
        <w:rPr>
          <w:sz w:val="20"/>
        </w:rPr>
        <w:t xml:space="preserve"> 1985; </w:t>
      </w:r>
      <w:r w:rsidRPr="001959CA">
        <w:rPr>
          <w:b/>
          <w:sz w:val="20"/>
        </w:rPr>
        <w:t>7:</w:t>
      </w:r>
      <w:r w:rsidRPr="001959CA">
        <w:rPr>
          <w:sz w:val="20"/>
        </w:rPr>
        <w:t>699–704.</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Palmore GTR, Whitesides GM. Microbial and Enzymatic Biofuel Cells. In </w:t>
      </w:r>
      <w:r w:rsidRPr="001959CA">
        <w:rPr>
          <w:i/>
          <w:sz w:val="20"/>
        </w:rPr>
        <w:t>Enzymatic Conversion of Biomass for Fuels Production</w:t>
      </w:r>
      <w:r w:rsidRPr="001959CA">
        <w:rPr>
          <w:sz w:val="20"/>
        </w:rPr>
        <w:t xml:space="preserve">; Himmel ME, Baker JO, Overend RP. Eds. American Chemical Society Symposium, Series 566, Oxford University Press, 1994; 271–290 </w:t>
      </w:r>
      <w:r w:rsidRPr="001959CA">
        <w:rPr>
          <w:rStyle w:val="formattedisbn13"/>
          <w:color w:val="000000"/>
          <w:sz w:val="20"/>
        </w:rPr>
        <w:t>ISBN13: 9780841229563</w:t>
      </w:r>
      <w:r w:rsidRPr="001959CA">
        <w:rPr>
          <w:sz w:val="20"/>
        </w:rPr>
        <w:t>.</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Habermann W, Pommer EH. Biological fuel cells with sulphide storage capacity. </w:t>
      </w:r>
      <w:r w:rsidRPr="001959CA">
        <w:rPr>
          <w:i/>
          <w:sz w:val="20"/>
        </w:rPr>
        <w:t>Applied Microbiology and Biotechnology</w:t>
      </w:r>
      <w:r w:rsidRPr="001959CA">
        <w:rPr>
          <w:sz w:val="20"/>
        </w:rPr>
        <w:t xml:space="preserve"> 1991; </w:t>
      </w:r>
      <w:r w:rsidRPr="001959CA">
        <w:rPr>
          <w:b/>
          <w:sz w:val="20"/>
        </w:rPr>
        <w:t>35</w:t>
      </w:r>
      <w:r w:rsidRPr="001959CA">
        <w:rPr>
          <w:sz w:val="20"/>
        </w:rPr>
        <w:t>:128–133.</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Gil GC, Chang IS, Kim BH, Kim M, Jang JK, Park H, S.; Kim HJ. Operational parameters affecting the </w:t>
      </w:r>
      <w:r w:rsidRPr="001959CA">
        <w:rPr>
          <w:sz w:val="20"/>
        </w:rPr>
        <w:lastRenderedPageBreak/>
        <w:t xml:space="preserve">performance of a mediator-less microbial fuel cell. </w:t>
      </w:r>
      <w:r w:rsidRPr="001959CA">
        <w:rPr>
          <w:i/>
          <w:sz w:val="20"/>
        </w:rPr>
        <w:t>Biosensors and Bioelectronics</w:t>
      </w:r>
      <w:r w:rsidRPr="001959CA">
        <w:rPr>
          <w:sz w:val="20"/>
        </w:rPr>
        <w:t xml:space="preserve"> 2003; </w:t>
      </w:r>
      <w:r w:rsidRPr="001959CA">
        <w:rPr>
          <w:b/>
          <w:sz w:val="20"/>
        </w:rPr>
        <w:t>18</w:t>
      </w:r>
      <w:r w:rsidRPr="001959CA">
        <w:rPr>
          <w:sz w:val="20"/>
        </w:rPr>
        <w:t>:327–334.</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Park DH, Zeikus JG. Improved cell and electrode designs for producing electricity from microbial degradation. </w:t>
      </w:r>
      <w:r w:rsidRPr="001959CA">
        <w:rPr>
          <w:i/>
          <w:sz w:val="20"/>
        </w:rPr>
        <w:t>Biotechnology and Bioengineering</w:t>
      </w:r>
      <w:r w:rsidRPr="001959CA">
        <w:rPr>
          <w:sz w:val="20"/>
        </w:rPr>
        <w:t xml:space="preserve"> 2003; </w:t>
      </w:r>
      <w:r w:rsidRPr="001959CA">
        <w:rPr>
          <w:b/>
          <w:sz w:val="20"/>
        </w:rPr>
        <w:t>81</w:t>
      </w:r>
      <w:r w:rsidRPr="001959CA">
        <w:rPr>
          <w:sz w:val="20"/>
        </w:rPr>
        <w:t>:348–355.</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Rabaey K, Lissens G, Siciliano SD, Verstraete W. A microbial fuel cell capable of converting glucose to electricity at high rate and efficiency. </w:t>
      </w:r>
      <w:r w:rsidRPr="001959CA">
        <w:rPr>
          <w:i/>
          <w:sz w:val="20"/>
        </w:rPr>
        <w:t>Biotechnology Letters</w:t>
      </w:r>
      <w:r w:rsidRPr="001959CA">
        <w:rPr>
          <w:sz w:val="20"/>
        </w:rPr>
        <w:t xml:space="preserve"> 2003; </w:t>
      </w:r>
      <w:r w:rsidRPr="001959CA">
        <w:rPr>
          <w:b/>
          <w:sz w:val="20"/>
        </w:rPr>
        <w:t>25</w:t>
      </w:r>
      <w:r w:rsidRPr="001959CA">
        <w:rPr>
          <w:sz w:val="20"/>
        </w:rPr>
        <w:t>:1531–1535.</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Liu H, Ramnarayanan R, Logan </w:t>
      </w:r>
      <w:proofErr w:type="gramStart"/>
      <w:r w:rsidRPr="001959CA">
        <w:rPr>
          <w:sz w:val="20"/>
        </w:rPr>
        <w:t>BE</w:t>
      </w:r>
      <w:proofErr w:type="gramEnd"/>
      <w:r w:rsidRPr="001959CA">
        <w:rPr>
          <w:sz w:val="20"/>
        </w:rPr>
        <w:t xml:space="preserve">. Production of electricity during wastewater treatment using a single chamber microbial fuel cell. </w:t>
      </w:r>
      <w:r w:rsidRPr="001959CA">
        <w:rPr>
          <w:i/>
          <w:sz w:val="20"/>
        </w:rPr>
        <w:t>Environmental Science and Technology</w:t>
      </w:r>
      <w:r w:rsidRPr="001959CA">
        <w:rPr>
          <w:sz w:val="20"/>
        </w:rPr>
        <w:t xml:space="preserve"> 2004; </w:t>
      </w:r>
      <w:r w:rsidRPr="001959CA">
        <w:rPr>
          <w:b/>
          <w:sz w:val="20"/>
        </w:rPr>
        <w:t>38:</w:t>
      </w:r>
      <w:r w:rsidRPr="001959CA">
        <w:rPr>
          <w:sz w:val="20"/>
        </w:rPr>
        <w:t xml:space="preserve">2281–2285, </w:t>
      </w:r>
      <w:r w:rsidRPr="001959CA">
        <w:rPr>
          <w:rStyle w:val="textsmall"/>
          <w:sz w:val="20"/>
        </w:rPr>
        <w:t xml:space="preserve">DOI: </w:t>
      </w:r>
      <w:r w:rsidRPr="001959CA">
        <w:rPr>
          <w:sz w:val="20"/>
        </w:rPr>
        <w:t>10.1021/es034923g.</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Logan </w:t>
      </w:r>
      <w:proofErr w:type="gramStart"/>
      <w:r w:rsidRPr="001959CA">
        <w:rPr>
          <w:sz w:val="20"/>
        </w:rPr>
        <w:t>BE</w:t>
      </w:r>
      <w:proofErr w:type="gramEnd"/>
      <w:r w:rsidRPr="001959CA">
        <w:rPr>
          <w:sz w:val="20"/>
        </w:rPr>
        <w:t xml:space="preserve">, Cassandro M, Scott K, Gray ND, Head IM. Electricity generation from cysteine in a microbial fuel cell. </w:t>
      </w:r>
      <w:r w:rsidRPr="001959CA">
        <w:rPr>
          <w:i/>
          <w:sz w:val="20"/>
        </w:rPr>
        <w:t>Water Research</w:t>
      </w:r>
      <w:r w:rsidRPr="001959CA">
        <w:rPr>
          <w:sz w:val="20"/>
        </w:rPr>
        <w:t xml:space="preserve"> 2005; </w:t>
      </w:r>
      <w:r w:rsidRPr="001959CA">
        <w:rPr>
          <w:b/>
          <w:sz w:val="20"/>
        </w:rPr>
        <w:t>39</w:t>
      </w:r>
      <w:r w:rsidRPr="001959CA">
        <w:rPr>
          <w:sz w:val="20"/>
        </w:rPr>
        <w:t>:942–952.</w:t>
      </w:r>
    </w:p>
    <w:p w:rsidR="00C74D45" w:rsidRPr="001959CA" w:rsidRDefault="00C74D45" w:rsidP="00C74D45">
      <w:pPr>
        <w:pStyle w:val="TFReferencesSection"/>
        <w:numPr>
          <w:ilvl w:val="0"/>
          <w:numId w:val="42"/>
        </w:numPr>
        <w:spacing w:line="240" w:lineRule="auto"/>
        <w:jc w:val="both"/>
        <w:rPr>
          <w:sz w:val="20"/>
        </w:rPr>
      </w:pPr>
      <w:r w:rsidRPr="001959CA">
        <w:rPr>
          <w:sz w:val="20"/>
        </w:rPr>
        <w:t>Ieropoulos IA. Ph.D. thesis, University of the West of England, Bristol, 2006.</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Bond DR, Lovley DR. Electricity Production by Geobacter sulfurreducens Attached to Electrodes. </w:t>
      </w:r>
      <w:r w:rsidRPr="001959CA">
        <w:rPr>
          <w:i/>
          <w:sz w:val="20"/>
        </w:rPr>
        <w:t>Applied and Environmental Microbiology</w:t>
      </w:r>
      <w:r w:rsidRPr="001959CA">
        <w:rPr>
          <w:sz w:val="20"/>
        </w:rPr>
        <w:t xml:space="preserve"> 2003; </w:t>
      </w:r>
      <w:r w:rsidRPr="001959CA">
        <w:rPr>
          <w:b/>
          <w:sz w:val="20"/>
        </w:rPr>
        <w:t>69</w:t>
      </w:r>
      <w:r w:rsidRPr="001959CA">
        <w:rPr>
          <w:sz w:val="20"/>
        </w:rPr>
        <w:t>:1548–1555.</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Chaudhuri SK, Lovley DR. Electricity generation by direct oxidation of glucose in mediatorless microbial fuel cells. </w:t>
      </w:r>
      <w:r w:rsidRPr="001959CA">
        <w:rPr>
          <w:i/>
          <w:sz w:val="20"/>
        </w:rPr>
        <w:t>Nature</w:t>
      </w:r>
      <w:r w:rsidRPr="001959CA">
        <w:rPr>
          <w:sz w:val="20"/>
        </w:rPr>
        <w:t xml:space="preserve"> </w:t>
      </w:r>
      <w:r w:rsidRPr="001959CA">
        <w:rPr>
          <w:i/>
          <w:sz w:val="20"/>
        </w:rPr>
        <w:t>Biotechnology</w:t>
      </w:r>
      <w:r w:rsidRPr="001959CA">
        <w:rPr>
          <w:sz w:val="20"/>
        </w:rPr>
        <w:t xml:space="preserve"> 2003; </w:t>
      </w:r>
      <w:r w:rsidRPr="001959CA">
        <w:rPr>
          <w:b/>
          <w:sz w:val="20"/>
        </w:rPr>
        <w:t>21</w:t>
      </w:r>
      <w:r w:rsidRPr="001959CA">
        <w:rPr>
          <w:sz w:val="20"/>
        </w:rPr>
        <w:t>:1229–1232.</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Jang JK, Pham TH, Chang IS, Kang KH, Moon H, Cho KS, Kim BH. Construction and operation of a novel mediator- and membrane-less microbial fuel cell. </w:t>
      </w:r>
      <w:r w:rsidRPr="001959CA">
        <w:rPr>
          <w:i/>
          <w:sz w:val="20"/>
        </w:rPr>
        <w:t>Process</w:t>
      </w:r>
      <w:r w:rsidRPr="001959CA">
        <w:rPr>
          <w:sz w:val="20"/>
        </w:rPr>
        <w:t xml:space="preserve"> </w:t>
      </w:r>
      <w:r w:rsidRPr="001959CA">
        <w:rPr>
          <w:i/>
          <w:sz w:val="20"/>
        </w:rPr>
        <w:t>Biochemistry</w:t>
      </w:r>
      <w:r w:rsidRPr="001959CA">
        <w:rPr>
          <w:sz w:val="20"/>
        </w:rPr>
        <w:t xml:space="preserve"> 2003; </w:t>
      </w:r>
      <w:r w:rsidRPr="001959CA">
        <w:rPr>
          <w:b/>
          <w:sz w:val="20"/>
        </w:rPr>
        <w:t>39:</w:t>
      </w:r>
      <w:r w:rsidRPr="001959CA">
        <w:rPr>
          <w:sz w:val="20"/>
        </w:rPr>
        <w:t>1007–1012.</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He Z, Minteer SD. and Angenent LT. Electricity generation from artificial wastewater using an upflow microbial fuel cell. </w:t>
      </w:r>
      <w:r w:rsidRPr="001959CA">
        <w:rPr>
          <w:i/>
          <w:sz w:val="20"/>
        </w:rPr>
        <w:t>Environmental Science and Technology</w:t>
      </w:r>
      <w:r w:rsidRPr="001959CA">
        <w:rPr>
          <w:sz w:val="20"/>
        </w:rPr>
        <w:t xml:space="preserve"> 2005; </w:t>
      </w:r>
      <w:r w:rsidRPr="001959CA">
        <w:rPr>
          <w:b/>
          <w:sz w:val="20"/>
        </w:rPr>
        <w:t>39</w:t>
      </w:r>
      <w:r w:rsidRPr="001959CA">
        <w:rPr>
          <w:sz w:val="20"/>
        </w:rPr>
        <w:t xml:space="preserve">:5262–5267, </w:t>
      </w:r>
      <w:r w:rsidRPr="001959CA">
        <w:rPr>
          <w:rStyle w:val="textsmall"/>
          <w:sz w:val="20"/>
        </w:rPr>
        <w:t xml:space="preserve">DOI: </w:t>
      </w:r>
      <w:r w:rsidRPr="001959CA">
        <w:rPr>
          <w:sz w:val="20"/>
        </w:rPr>
        <w:t>10.1021/es0502876.</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Rabaey K, Clauwaert P, Aelterman P, Verstraete W. Tubular Microbial Fuel Cells for efficient electricity generation. </w:t>
      </w:r>
      <w:r w:rsidRPr="001959CA">
        <w:rPr>
          <w:i/>
          <w:sz w:val="20"/>
        </w:rPr>
        <w:t>Environmental Science and Technology</w:t>
      </w:r>
      <w:r w:rsidRPr="001959CA">
        <w:rPr>
          <w:sz w:val="20"/>
        </w:rPr>
        <w:t xml:space="preserve"> 2005; </w:t>
      </w:r>
      <w:r w:rsidRPr="001959CA">
        <w:rPr>
          <w:b/>
          <w:sz w:val="20"/>
        </w:rPr>
        <w:t>39</w:t>
      </w:r>
      <w:r w:rsidRPr="001959CA">
        <w:rPr>
          <w:sz w:val="20"/>
        </w:rPr>
        <w:t xml:space="preserve">:8077–8082, </w:t>
      </w:r>
      <w:r w:rsidRPr="001959CA">
        <w:rPr>
          <w:rStyle w:val="textsmall"/>
          <w:sz w:val="20"/>
        </w:rPr>
        <w:t xml:space="preserve">DOI: </w:t>
      </w:r>
      <w:r w:rsidRPr="001959CA">
        <w:rPr>
          <w:sz w:val="20"/>
        </w:rPr>
        <w:t>10.1021/es050986i.</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Cheng S, Liu H, Logan </w:t>
      </w:r>
      <w:proofErr w:type="gramStart"/>
      <w:r w:rsidRPr="001959CA">
        <w:rPr>
          <w:sz w:val="20"/>
        </w:rPr>
        <w:t>BE</w:t>
      </w:r>
      <w:proofErr w:type="gramEnd"/>
      <w:r w:rsidRPr="001959CA">
        <w:rPr>
          <w:sz w:val="20"/>
        </w:rPr>
        <w:t xml:space="preserve">. Increased Power Generation in a Continuous Flow MFC with Advective Flow through the Porous Anode and Reduced Electrode Spacing. </w:t>
      </w:r>
      <w:r w:rsidRPr="001959CA">
        <w:rPr>
          <w:i/>
          <w:sz w:val="20"/>
        </w:rPr>
        <w:t>Environmental Science and Technology</w:t>
      </w:r>
      <w:r w:rsidRPr="001959CA">
        <w:rPr>
          <w:sz w:val="20"/>
        </w:rPr>
        <w:t xml:space="preserve"> 2006; </w:t>
      </w:r>
      <w:r w:rsidRPr="001959CA">
        <w:rPr>
          <w:b/>
          <w:sz w:val="20"/>
        </w:rPr>
        <w:t>40</w:t>
      </w:r>
      <w:r w:rsidRPr="001959CA">
        <w:rPr>
          <w:sz w:val="20"/>
        </w:rPr>
        <w:t xml:space="preserve">:2426–2432, </w:t>
      </w:r>
      <w:r w:rsidRPr="001959CA">
        <w:rPr>
          <w:rStyle w:val="textsmall"/>
          <w:sz w:val="20"/>
        </w:rPr>
        <w:t xml:space="preserve">DOI: </w:t>
      </w:r>
      <w:r w:rsidRPr="001959CA">
        <w:rPr>
          <w:sz w:val="20"/>
        </w:rPr>
        <w:t>10.1021/es051652w.</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Delaney GM, Bennetto HP, Mason JR, Roller SD, Stirling JL, Thurston CF. Electron-transfer coupling in microbial fuel cells. 2. Performance of fuel cells containing selected microorganism-mediator-substrate combinations. </w:t>
      </w:r>
      <w:r w:rsidRPr="001959CA">
        <w:rPr>
          <w:i/>
          <w:sz w:val="20"/>
        </w:rPr>
        <w:t>Journal of Chemical Technology and Biotechnology</w:t>
      </w:r>
      <w:r w:rsidRPr="001959CA">
        <w:rPr>
          <w:sz w:val="20"/>
        </w:rPr>
        <w:t xml:space="preserve"> 1984; </w:t>
      </w:r>
      <w:r w:rsidRPr="001959CA">
        <w:rPr>
          <w:b/>
          <w:sz w:val="20"/>
        </w:rPr>
        <w:t>34B</w:t>
      </w:r>
      <w:r w:rsidRPr="001959CA">
        <w:rPr>
          <w:sz w:val="20"/>
        </w:rPr>
        <w:t>:13–27.</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Oh S, Min B, Logan BE. Cathode performance as a factor in electricity generation in microbial fuel cells. </w:t>
      </w:r>
      <w:r w:rsidRPr="001959CA">
        <w:rPr>
          <w:i/>
          <w:sz w:val="20"/>
        </w:rPr>
        <w:t>Environmental Science and Technology</w:t>
      </w:r>
      <w:r w:rsidRPr="001959CA">
        <w:rPr>
          <w:sz w:val="20"/>
        </w:rPr>
        <w:t xml:space="preserve"> 2004; </w:t>
      </w:r>
      <w:r w:rsidRPr="001959CA">
        <w:rPr>
          <w:b/>
          <w:sz w:val="20"/>
        </w:rPr>
        <w:t>38</w:t>
      </w:r>
      <w:r w:rsidRPr="001959CA">
        <w:rPr>
          <w:sz w:val="20"/>
        </w:rPr>
        <w:t xml:space="preserve">:4900–4904, </w:t>
      </w:r>
      <w:r w:rsidRPr="001959CA">
        <w:rPr>
          <w:rStyle w:val="textsmall"/>
          <w:sz w:val="20"/>
        </w:rPr>
        <w:t xml:space="preserve">DOI: </w:t>
      </w:r>
      <w:r w:rsidRPr="001959CA">
        <w:rPr>
          <w:sz w:val="20"/>
        </w:rPr>
        <w:t>10.1021/es049422p.</w:t>
      </w:r>
    </w:p>
    <w:p w:rsidR="00C74D45" w:rsidRPr="001959CA" w:rsidRDefault="00C74D45" w:rsidP="00C74D45">
      <w:pPr>
        <w:pStyle w:val="TFReferencesSection"/>
        <w:numPr>
          <w:ilvl w:val="0"/>
          <w:numId w:val="42"/>
        </w:numPr>
        <w:spacing w:line="240" w:lineRule="auto"/>
        <w:jc w:val="both"/>
        <w:rPr>
          <w:sz w:val="20"/>
          <w:lang w:eastAsia="en-GB"/>
        </w:rPr>
      </w:pPr>
      <w:r w:rsidRPr="001959CA">
        <w:rPr>
          <w:sz w:val="20"/>
          <w:lang w:eastAsia="en-GB"/>
        </w:rPr>
        <w:t>Kang KH, Jang JK, Pham TH, Moon H, Chang IS, Kim BH.</w:t>
      </w:r>
      <w:r w:rsidRPr="001959CA">
        <w:rPr>
          <w:rFonts w:ascii="Times-Italic" w:hAnsi="Times-Italic" w:cs="Times-Italic"/>
          <w:iCs/>
          <w:sz w:val="20"/>
          <w:lang w:eastAsia="en-GB"/>
        </w:rPr>
        <w:t xml:space="preserve"> </w:t>
      </w:r>
      <w:r w:rsidRPr="001959CA">
        <w:rPr>
          <w:sz w:val="20"/>
          <w:lang w:eastAsia="en-GB"/>
        </w:rPr>
        <w:t xml:space="preserve">A microbial fuel cell with improved cathode </w:t>
      </w:r>
      <w:r w:rsidRPr="001959CA">
        <w:rPr>
          <w:sz w:val="20"/>
          <w:lang w:eastAsia="en-GB"/>
        </w:rPr>
        <w:lastRenderedPageBreak/>
        <w:t xml:space="preserve">reaction as a low biochemical oxygen demand sensor </w:t>
      </w:r>
      <w:r w:rsidRPr="001959CA">
        <w:rPr>
          <w:rFonts w:ascii="Times-Italic" w:hAnsi="Times-Italic" w:cs="Times-Italic"/>
          <w:i/>
          <w:iCs/>
          <w:sz w:val="20"/>
          <w:lang w:eastAsia="en-GB"/>
        </w:rPr>
        <w:t xml:space="preserve">Biotechnology Letters </w:t>
      </w:r>
      <w:r w:rsidRPr="001959CA">
        <w:rPr>
          <w:rFonts w:ascii="Times-Italic" w:hAnsi="Times-Italic" w:cs="Times-Italic"/>
          <w:iCs/>
          <w:sz w:val="20"/>
          <w:lang w:eastAsia="en-GB"/>
        </w:rPr>
        <w:t xml:space="preserve">2003; </w:t>
      </w:r>
      <w:r w:rsidRPr="001959CA">
        <w:rPr>
          <w:rFonts w:ascii="Times-Bold" w:hAnsi="Times-Bold" w:cs="Times-Bold"/>
          <w:b/>
          <w:bCs/>
          <w:sz w:val="20"/>
          <w:lang w:eastAsia="en-GB"/>
        </w:rPr>
        <w:t>25:</w:t>
      </w:r>
      <w:r w:rsidRPr="001959CA">
        <w:rPr>
          <w:sz w:val="20"/>
          <w:lang w:eastAsia="en-GB"/>
        </w:rPr>
        <w:t>1357–1361.</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Zuo Y, Cheng C, Call D, Logan BE. Tubular Membrane Cathodes for Scalable Power Generation in Microbial Fuel Cells. </w:t>
      </w:r>
      <w:r w:rsidRPr="001959CA">
        <w:rPr>
          <w:i/>
          <w:sz w:val="20"/>
        </w:rPr>
        <w:t>Environmental Science and Technology</w:t>
      </w:r>
      <w:r w:rsidRPr="001959CA">
        <w:rPr>
          <w:sz w:val="20"/>
        </w:rPr>
        <w:t xml:space="preserve"> 2007; </w:t>
      </w:r>
      <w:r w:rsidRPr="001959CA">
        <w:rPr>
          <w:b/>
          <w:sz w:val="20"/>
        </w:rPr>
        <w:t>41</w:t>
      </w:r>
      <w:r w:rsidRPr="001959CA">
        <w:rPr>
          <w:sz w:val="20"/>
        </w:rPr>
        <w:t xml:space="preserve">:3347–3353, </w:t>
      </w:r>
      <w:r w:rsidRPr="001959CA">
        <w:rPr>
          <w:rStyle w:val="textsmall"/>
          <w:sz w:val="20"/>
        </w:rPr>
        <w:t xml:space="preserve">DOI: </w:t>
      </w:r>
      <w:r w:rsidRPr="001959CA">
        <w:rPr>
          <w:sz w:val="20"/>
        </w:rPr>
        <w:t>10.1021/es0627601.</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Jong BC, Kim BH, Chang IS, Liew PWY, Choo YF, Kang GS. Enrichment, performance and microbial diversity of a thermophilic mediatorless microbial fuel cell. </w:t>
      </w:r>
      <w:r w:rsidRPr="001959CA">
        <w:rPr>
          <w:i/>
          <w:sz w:val="20"/>
        </w:rPr>
        <w:t>Environmental Science and Technology</w:t>
      </w:r>
      <w:r w:rsidRPr="001959CA">
        <w:rPr>
          <w:sz w:val="20"/>
        </w:rPr>
        <w:t xml:space="preserve"> 2006; </w:t>
      </w:r>
      <w:r w:rsidRPr="001959CA">
        <w:rPr>
          <w:b/>
          <w:sz w:val="20"/>
        </w:rPr>
        <w:t>40</w:t>
      </w:r>
      <w:r w:rsidRPr="001959CA">
        <w:rPr>
          <w:sz w:val="20"/>
        </w:rPr>
        <w:t xml:space="preserve">:6449–6454, </w:t>
      </w:r>
      <w:r w:rsidRPr="001959CA">
        <w:rPr>
          <w:rStyle w:val="textsmall"/>
          <w:sz w:val="20"/>
        </w:rPr>
        <w:t xml:space="preserve">DOI: </w:t>
      </w:r>
      <w:r w:rsidRPr="001959CA">
        <w:rPr>
          <w:sz w:val="20"/>
        </w:rPr>
        <w:t>10.1021/es0613512.</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Ieropoulos I, Melhuish C, Greenman J. Artificial gills for robots: MFC behaviour in water. </w:t>
      </w:r>
      <w:r w:rsidRPr="001959CA">
        <w:rPr>
          <w:i/>
          <w:sz w:val="20"/>
        </w:rPr>
        <w:t>Bioinspiration and Biomimetics</w:t>
      </w:r>
      <w:r w:rsidRPr="001959CA">
        <w:rPr>
          <w:sz w:val="20"/>
        </w:rPr>
        <w:t xml:space="preserve"> 2007; </w:t>
      </w:r>
      <w:r w:rsidRPr="001959CA">
        <w:rPr>
          <w:b/>
          <w:sz w:val="20"/>
        </w:rPr>
        <w:t>2</w:t>
      </w:r>
      <w:r w:rsidRPr="001959CA">
        <w:rPr>
          <w:sz w:val="20"/>
        </w:rPr>
        <w:t>(3):S83-S93, DOI</w:t>
      </w:r>
      <w:r w:rsidRPr="001959CA">
        <w:rPr>
          <w:rStyle w:val="cite1"/>
          <w:sz w:val="20"/>
          <w:szCs w:val="20"/>
        </w:rPr>
        <w:t>:10.1088/1748-3182/2/3/S02</w:t>
      </w:r>
      <w:r w:rsidRPr="001959CA">
        <w:rPr>
          <w:sz w:val="20"/>
        </w:rPr>
        <w:t>.</w:t>
      </w:r>
    </w:p>
    <w:p w:rsidR="00C74D45" w:rsidRPr="001959CA" w:rsidRDefault="00C74D45" w:rsidP="00C74D45">
      <w:pPr>
        <w:pStyle w:val="TFReferencesSection"/>
        <w:numPr>
          <w:ilvl w:val="0"/>
          <w:numId w:val="42"/>
        </w:numPr>
        <w:spacing w:line="240" w:lineRule="auto"/>
        <w:jc w:val="both"/>
        <w:rPr>
          <w:sz w:val="20"/>
        </w:rPr>
      </w:pPr>
      <w:r w:rsidRPr="001959CA">
        <w:rPr>
          <w:sz w:val="20"/>
        </w:rPr>
        <w:t>Larminie J, Dicks A. Fuel Cell Systems Explained; John Wiley &amp; Sons: Chichester, UK, 2003.</w:t>
      </w:r>
    </w:p>
    <w:p w:rsidR="00C74D45" w:rsidRPr="001959CA" w:rsidRDefault="00C74D45" w:rsidP="00C74D45">
      <w:pPr>
        <w:pStyle w:val="TFReferencesSection"/>
        <w:numPr>
          <w:ilvl w:val="0"/>
          <w:numId w:val="42"/>
        </w:numPr>
        <w:spacing w:line="240" w:lineRule="auto"/>
        <w:jc w:val="both"/>
        <w:rPr>
          <w:sz w:val="20"/>
        </w:rPr>
      </w:pPr>
      <w:r w:rsidRPr="001959CA">
        <w:rPr>
          <w:sz w:val="20"/>
        </w:rPr>
        <w:t xml:space="preserve">Aelterman P, Rabaey K, Pham TH, Boon N, Verstraete W. Continuous electricity generation at high voltages and currents using stacked microbial fuel cells. </w:t>
      </w:r>
      <w:r w:rsidRPr="001959CA">
        <w:rPr>
          <w:i/>
          <w:sz w:val="20"/>
        </w:rPr>
        <w:t>Environmental Science and Technology</w:t>
      </w:r>
      <w:r w:rsidRPr="001959CA">
        <w:rPr>
          <w:sz w:val="20"/>
        </w:rPr>
        <w:t xml:space="preserve"> 2006; </w:t>
      </w:r>
      <w:r w:rsidRPr="001959CA">
        <w:rPr>
          <w:b/>
          <w:sz w:val="20"/>
        </w:rPr>
        <w:t>40</w:t>
      </w:r>
      <w:r w:rsidRPr="001959CA">
        <w:rPr>
          <w:sz w:val="20"/>
        </w:rPr>
        <w:t xml:space="preserve">:3388–3394, </w:t>
      </w:r>
      <w:r w:rsidRPr="001959CA">
        <w:rPr>
          <w:rStyle w:val="textsmall"/>
          <w:sz w:val="20"/>
        </w:rPr>
        <w:t xml:space="preserve">DOI: </w:t>
      </w:r>
      <w:r w:rsidRPr="001959CA">
        <w:rPr>
          <w:sz w:val="20"/>
        </w:rPr>
        <w:t>10.1021/es0525511.</w:t>
      </w:r>
    </w:p>
    <w:p w:rsidR="00C74D45" w:rsidRDefault="00C74D45" w:rsidP="00C74D45">
      <w:pPr>
        <w:pStyle w:val="TFReferencesSection"/>
        <w:numPr>
          <w:ilvl w:val="0"/>
          <w:numId w:val="42"/>
        </w:numPr>
        <w:spacing w:line="240" w:lineRule="auto"/>
        <w:jc w:val="both"/>
      </w:pPr>
      <w:r w:rsidRPr="001959CA">
        <w:rPr>
          <w:sz w:val="20"/>
        </w:rPr>
        <w:t xml:space="preserve">Liu H, Cheng S, Logan </w:t>
      </w:r>
      <w:proofErr w:type="gramStart"/>
      <w:r w:rsidRPr="001959CA">
        <w:rPr>
          <w:sz w:val="20"/>
        </w:rPr>
        <w:t>BE</w:t>
      </w:r>
      <w:proofErr w:type="gramEnd"/>
      <w:r w:rsidRPr="001959CA">
        <w:rPr>
          <w:sz w:val="20"/>
        </w:rPr>
        <w:t xml:space="preserve">. Power Generation in Fed-Batch Microbial Fuel Cells as a Function of Ionic Strength, Temperature, and Reactor Configuration. </w:t>
      </w:r>
      <w:r w:rsidRPr="001959CA">
        <w:rPr>
          <w:i/>
          <w:sz w:val="20"/>
        </w:rPr>
        <w:t>Environmental Science and Technology</w:t>
      </w:r>
      <w:r w:rsidRPr="001959CA">
        <w:rPr>
          <w:sz w:val="20"/>
        </w:rPr>
        <w:t xml:space="preserve"> 2005; </w:t>
      </w:r>
      <w:r w:rsidRPr="001959CA">
        <w:rPr>
          <w:b/>
          <w:sz w:val="20"/>
        </w:rPr>
        <w:t>39</w:t>
      </w:r>
      <w:r w:rsidRPr="001959CA">
        <w:rPr>
          <w:sz w:val="20"/>
        </w:rPr>
        <w:t xml:space="preserve">:5488–5493, </w:t>
      </w:r>
      <w:r w:rsidRPr="001959CA">
        <w:rPr>
          <w:rStyle w:val="textsmall"/>
          <w:sz w:val="20"/>
        </w:rPr>
        <w:t xml:space="preserve">DOI: </w:t>
      </w:r>
      <w:r w:rsidRPr="001959CA">
        <w:rPr>
          <w:sz w:val="20"/>
        </w:rPr>
        <w:t>10.1021/es050316c.</w:t>
      </w:r>
    </w:p>
    <w:p w:rsidR="00C74D45" w:rsidRDefault="00C74D45" w:rsidP="00C74D45">
      <w:pPr>
        <w:pStyle w:val="TFReferencesSection"/>
        <w:spacing w:line="240" w:lineRule="auto"/>
        <w:jc w:val="both"/>
      </w:pPr>
    </w:p>
    <w:p w:rsidR="00C74D45" w:rsidRDefault="00C74D45" w:rsidP="00C74D45">
      <w:pPr>
        <w:pStyle w:val="TFReferencesSection"/>
        <w:spacing w:line="240" w:lineRule="auto"/>
        <w:jc w:val="both"/>
      </w:pPr>
    </w:p>
    <w:p w:rsidR="00C74D45" w:rsidRDefault="00C74D45" w:rsidP="00C74D45">
      <w:pPr>
        <w:pStyle w:val="TFReferencesSection"/>
        <w:spacing w:line="240" w:lineRule="auto"/>
        <w:jc w:val="both"/>
      </w:pPr>
    </w:p>
    <w:p w:rsidR="00C74D45" w:rsidRDefault="00C74D45" w:rsidP="00C74D45">
      <w:pPr>
        <w:pStyle w:val="VDTableTitle"/>
        <w:spacing w:before="240" w:after="120" w:line="240" w:lineRule="auto"/>
        <w:jc w:val="both"/>
      </w:pPr>
    </w:p>
    <w:p w:rsidR="00C74D45" w:rsidRDefault="00C74D45" w:rsidP="00C74D45"/>
    <w:p w:rsidR="00C74D45" w:rsidRDefault="00C74D45" w:rsidP="00C74D45"/>
    <w:p w:rsidR="00C74D45" w:rsidRDefault="00C74D45" w:rsidP="00C74D45"/>
    <w:p w:rsidR="00C74D45" w:rsidRDefault="00C74D45" w:rsidP="00C74D45"/>
    <w:p w:rsidR="00C74D45" w:rsidRDefault="00C74D45"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 w:rsidR="001959CA" w:rsidRDefault="001959CA" w:rsidP="00C74D45">
      <w:pPr>
        <w:rPr>
          <w:sz w:val="24"/>
          <w:szCs w:val="24"/>
        </w:rPr>
        <w:sectPr w:rsidR="001959CA" w:rsidSect="00B55DF6">
          <w:footnotePr>
            <w:pos w:val="beneathText"/>
            <w:numFmt w:val="chicago"/>
            <w:numRestart w:val="eachSect"/>
          </w:footnotePr>
          <w:pgSz w:w="12240" w:h="15840"/>
          <w:pgMar w:top="680" w:right="680" w:bottom="680" w:left="680" w:header="0" w:footer="0" w:gutter="0"/>
          <w:cols w:num="2" w:space="475"/>
        </w:sectPr>
      </w:pPr>
    </w:p>
    <w:p w:rsidR="00C74D45" w:rsidRPr="006D016B" w:rsidRDefault="00C74D45" w:rsidP="00C74D45">
      <w:pPr>
        <w:rPr>
          <w:sz w:val="24"/>
          <w:szCs w:val="24"/>
        </w:rPr>
      </w:pPr>
      <w:r w:rsidRPr="006D016B">
        <w:rPr>
          <w:sz w:val="24"/>
          <w:szCs w:val="24"/>
        </w:rPr>
        <w:lastRenderedPageBreak/>
        <w:t>Table I. Comparative data for the small-scale MFC as an individual unit and stacks of 5 and 10 units in parallel, medium-scale MFC as an individual unit and stacks of 5 units in parallel and large-scale MFC as an individual unit under optimum load conditions.</w:t>
      </w:r>
    </w:p>
    <w:p w:rsidR="00C74D45" w:rsidRPr="00026718" w:rsidRDefault="00C74D45" w:rsidP="00C74D45">
      <w:pPr>
        <w:jc w:val="both"/>
        <w:rPr>
          <w:b/>
        </w:rPr>
      </w:pPr>
    </w:p>
    <w:tbl>
      <w:tblPr>
        <w:tblW w:w="9611" w:type="dxa"/>
        <w:jc w:val="center"/>
        <w:tblInd w:w="-2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5"/>
        <w:gridCol w:w="1558"/>
        <w:gridCol w:w="851"/>
        <w:gridCol w:w="851"/>
        <w:gridCol w:w="849"/>
        <w:gridCol w:w="993"/>
        <w:gridCol w:w="849"/>
        <w:gridCol w:w="828"/>
        <w:gridCol w:w="997"/>
      </w:tblGrid>
      <w:tr w:rsidR="00C74D45" w:rsidRPr="00713D06" w:rsidTr="00713D06">
        <w:trPr>
          <w:gridAfter w:val="1"/>
          <w:wAfter w:w="998" w:type="dxa"/>
          <w:trHeight w:val="1080"/>
          <w:jc w:val="center"/>
        </w:trPr>
        <w:tc>
          <w:tcPr>
            <w:tcW w:w="1833" w:type="dxa"/>
            <w:tcBorders>
              <w:top w:val="single" w:sz="4" w:space="0" w:color="auto"/>
              <w:left w:val="nil"/>
              <w:bottom w:val="single" w:sz="4" w:space="0" w:color="auto"/>
              <w:right w:val="nil"/>
            </w:tcBorders>
            <w:vAlign w:val="center"/>
          </w:tcPr>
          <w:p w:rsidR="00C74D45" w:rsidRPr="00713D06" w:rsidRDefault="00C74D45" w:rsidP="00713D06">
            <w:pPr>
              <w:jc w:val="center"/>
              <w:rPr>
                <w:sz w:val="24"/>
                <w:szCs w:val="24"/>
              </w:rPr>
            </w:pPr>
            <w:r w:rsidRPr="00713D06">
              <w:rPr>
                <w:sz w:val="24"/>
                <w:szCs w:val="24"/>
              </w:rPr>
              <w:t>MFC conditions</w:t>
            </w:r>
          </w:p>
        </w:tc>
        <w:tc>
          <w:tcPr>
            <w:tcW w:w="1559" w:type="dxa"/>
            <w:tcBorders>
              <w:top w:val="single" w:sz="4" w:space="0" w:color="auto"/>
              <w:left w:val="nil"/>
              <w:bottom w:val="single" w:sz="4" w:space="0" w:color="auto"/>
              <w:right w:val="nil"/>
            </w:tcBorders>
            <w:vAlign w:val="center"/>
          </w:tcPr>
          <w:p w:rsidR="00C74D45" w:rsidRPr="00713D06" w:rsidRDefault="00C74D45" w:rsidP="00713D06">
            <w:pPr>
              <w:jc w:val="center"/>
              <w:rPr>
                <w:sz w:val="24"/>
                <w:szCs w:val="24"/>
              </w:rPr>
            </w:pPr>
            <w:r w:rsidRPr="00713D06">
              <w:rPr>
                <w:sz w:val="24"/>
                <w:szCs w:val="24"/>
              </w:rPr>
              <w:t>Total anode volume [mL]</w:t>
            </w:r>
          </w:p>
        </w:tc>
        <w:tc>
          <w:tcPr>
            <w:tcW w:w="851" w:type="dxa"/>
            <w:tcBorders>
              <w:top w:val="single" w:sz="4" w:space="0" w:color="auto"/>
              <w:left w:val="nil"/>
              <w:bottom w:val="single" w:sz="4" w:space="0" w:color="auto"/>
              <w:right w:val="nil"/>
            </w:tcBorders>
            <w:vAlign w:val="center"/>
          </w:tcPr>
          <w:p w:rsidR="00C74D45" w:rsidRPr="00713D06" w:rsidRDefault="00C74D45" w:rsidP="00713D06">
            <w:pPr>
              <w:jc w:val="center"/>
              <w:rPr>
                <w:sz w:val="24"/>
                <w:szCs w:val="24"/>
              </w:rPr>
            </w:pPr>
            <w:r w:rsidRPr="00713D06">
              <w:rPr>
                <w:sz w:val="24"/>
                <w:szCs w:val="24"/>
              </w:rPr>
              <w:t>V</w:t>
            </w:r>
            <w:r w:rsidRPr="00713D06">
              <w:rPr>
                <w:sz w:val="24"/>
                <w:szCs w:val="24"/>
                <w:vertAlign w:val="subscript"/>
              </w:rPr>
              <w:t>O/C</w:t>
            </w:r>
          </w:p>
          <w:p w:rsidR="00C74D45" w:rsidRPr="00713D06" w:rsidRDefault="00C74D45" w:rsidP="00713D06">
            <w:pPr>
              <w:jc w:val="center"/>
              <w:rPr>
                <w:sz w:val="24"/>
                <w:szCs w:val="24"/>
              </w:rPr>
            </w:pPr>
            <w:r w:rsidRPr="00713D06">
              <w:rPr>
                <w:sz w:val="24"/>
                <w:szCs w:val="24"/>
              </w:rPr>
              <w:t>[mV]</w:t>
            </w:r>
          </w:p>
        </w:tc>
        <w:tc>
          <w:tcPr>
            <w:tcW w:w="850" w:type="dxa"/>
            <w:tcBorders>
              <w:top w:val="single" w:sz="4" w:space="0" w:color="auto"/>
              <w:left w:val="nil"/>
              <w:bottom w:val="single" w:sz="4" w:space="0" w:color="auto"/>
              <w:right w:val="nil"/>
            </w:tcBorders>
            <w:vAlign w:val="center"/>
          </w:tcPr>
          <w:p w:rsidR="00C74D45" w:rsidRPr="00713D06" w:rsidRDefault="00C74D45" w:rsidP="00713D06">
            <w:pPr>
              <w:jc w:val="center"/>
              <w:rPr>
                <w:sz w:val="24"/>
                <w:szCs w:val="24"/>
              </w:rPr>
            </w:pPr>
            <w:r w:rsidRPr="00713D06">
              <w:rPr>
                <w:sz w:val="24"/>
                <w:szCs w:val="24"/>
              </w:rPr>
              <w:t>P</w:t>
            </w:r>
            <w:r w:rsidRPr="00713D06">
              <w:rPr>
                <w:sz w:val="24"/>
                <w:szCs w:val="24"/>
                <w:vertAlign w:val="subscript"/>
              </w:rPr>
              <w:t>Mean</w:t>
            </w:r>
            <w:r w:rsidRPr="00713D06">
              <w:rPr>
                <w:sz w:val="24"/>
                <w:szCs w:val="24"/>
              </w:rPr>
              <w:t xml:space="preserve"> [</w:t>
            </w:r>
            <w:r w:rsidRPr="00713D06">
              <w:rPr>
                <w:rFonts w:ascii="Symbol" w:hAnsi="Symbol"/>
                <w:sz w:val="24"/>
                <w:szCs w:val="24"/>
              </w:rPr>
              <w:t></w:t>
            </w:r>
            <w:r w:rsidRPr="00713D06">
              <w:rPr>
                <w:sz w:val="24"/>
                <w:szCs w:val="24"/>
              </w:rPr>
              <w:t>W]</w:t>
            </w:r>
          </w:p>
        </w:tc>
        <w:tc>
          <w:tcPr>
            <w:tcW w:w="1843" w:type="dxa"/>
            <w:gridSpan w:val="2"/>
            <w:tcBorders>
              <w:top w:val="single" w:sz="4" w:space="0" w:color="auto"/>
              <w:left w:val="nil"/>
              <w:bottom w:val="single" w:sz="4" w:space="0" w:color="auto"/>
              <w:right w:val="nil"/>
            </w:tcBorders>
            <w:shd w:val="clear" w:color="auto" w:fill="auto"/>
            <w:vAlign w:val="center"/>
          </w:tcPr>
          <w:p w:rsidR="00C74D45" w:rsidRPr="00713D06" w:rsidRDefault="00C74D45" w:rsidP="00713D06">
            <w:pPr>
              <w:jc w:val="center"/>
              <w:rPr>
                <w:sz w:val="24"/>
                <w:szCs w:val="24"/>
              </w:rPr>
            </w:pPr>
            <w:r w:rsidRPr="00713D06">
              <w:rPr>
                <w:sz w:val="24"/>
                <w:szCs w:val="24"/>
              </w:rPr>
              <w:t>P</w:t>
            </w:r>
            <w:r w:rsidRPr="00713D06">
              <w:rPr>
                <w:sz w:val="24"/>
                <w:szCs w:val="24"/>
                <w:vertAlign w:val="subscript"/>
              </w:rPr>
              <w:t>Density</w:t>
            </w:r>
          </w:p>
          <w:p w:rsidR="00C74D45" w:rsidRPr="00713D06" w:rsidRDefault="00C74D45" w:rsidP="00713D06">
            <w:pPr>
              <w:jc w:val="center"/>
              <w:rPr>
                <w:sz w:val="24"/>
                <w:szCs w:val="24"/>
              </w:rPr>
            </w:pPr>
            <w:r w:rsidRPr="00713D06">
              <w:rPr>
                <w:sz w:val="24"/>
                <w:szCs w:val="24"/>
              </w:rPr>
              <w:t>[mW/m</w:t>
            </w:r>
            <w:r w:rsidRPr="00713D06">
              <w:rPr>
                <w:sz w:val="24"/>
                <w:szCs w:val="24"/>
                <w:vertAlign w:val="superscript"/>
              </w:rPr>
              <w:t>2</w:t>
            </w:r>
            <w:r w:rsidRPr="00713D06">
              <w:rPr>
                <w:sz w:val="24"/>
                <w:szCs w:val="24"/>
              </w:rPr>
              <w:t>] ± SD</w:t>
            </w:r>
            <w:r w:rsidRPr="00713D06">
              <w:rPr>
                <w:sz w:val="24"/>
                <w:szCs w:val="24"/>
                <w:vertAlign w:val="superscript"/>
              </w:rPr>
              <w:t>*</w:t>
            </w:r>
          </w:p>
        </w:tc>
        <w:tc>
          <w:tcPr>
            <w:tcW w:w="1677" w:type="dxa"/>
            <w:gridSpan w:val="2"/>
            <w:tcBorders>
              <w:top w:val="single" w:sz="4" w:space="0" w:color="auto"/>
              <w:left w:val="nil"/>
              <w:bottom w:val="single" w:sz="4" w:space="0" w:color="auto"/>
              <w:right w:val="nil"/>
            </w:tcBorders>
            <w:shd w:val="clear" w:color="auto" w:fill="auto"/>
            <w:vAlign w:val="center"/>
          </w:tcPr>
          <w:p w:rsidR="00C74D45" w:rsidRPr="00713D06" w:rsidRDefault="00C74D45" w:rsidP="00713D06">
            <w:pPr>
              <w:jc w:val="center"/>
              <w:rPr>
                <w:sz w:val="24"/>
                <w:szCs w:val="24"/>
              </w:rPr>
            </w:pPr>
            <w:r w:rsidRPr="00713D06">
              <w:rPr>
                <w:sz w:val="24"/>
                <w:szCs w:val="24"/>
              </w:rPr>
              <w:t>P</w:t>
            </w:r>
            <w:r w:rsidRPr="00713D06">
              <w:rPr>
                <w:sz w:val="24"/>
                <w:szCs w:val="24"/>
                <w:vertAlign w:val="subscript"/>
              </w:rPr>
              <w:t>Density</w:t>
            </w:r>
          </w:p>
          <w:p w:rsidR="00C74D45" w:rsidRPr="00713D06" w:rsidRDefault="00C74D45" w:rsidP="00713D06">
            <w:pPr>
              <w:jc w:val="center"/>
              <w:rPr>
                <w:sz w:val="24"/>
                <w:szCs w:val="24"/>
              </w:rPr>
            </w:pPr>
            <w:r w:rsidRPr="00713D06">
              <w:rPr>
                <w:sz w:val="24"/>
                <w:szCs w:val="24"/>
              </w:rPr>
              <w:t>[W/m</w:t>
            </w:r>
            <w:r w:rsidRPr="00713D06">
              <w:rPr>
                <w:sz w:val="24"/>
                <w:szCs w:val="24"/>
                <w:vertAlign w:val="superscript"/>
              </w:rPr>
              <w:t>3</w:t>
            </w:r>
            <w:r w:rsidRPr="00713D06">
              <w:rPr>
                <w:sz w:val="24"/>
                <w:szCs w:val="24"/>
              </w:rPr>
              <w:t>] ± SD</w:t>
            </w:r>
            <w:r w:rsidRPr="00713D06">
              <w:rPr>
                <w:sz w:val="24"/>
                <w:szCs w:val="24"/>
                <w:vertAlign w:val="superscript"/>
              </w:rPr>
              <w:t>*</w:t>
            </w:r>
          </w:p>
        </w:tc>
      </w:tr>
      <w:tr w:rsidR="00C74D45" w:rsidRPr="00713D06" w:rsidTr="00713D06">
        <w:trPr>
          <w:jc w:val="center"/>
        </w:trPr>
        <w:tc>
          <w:tcPr>
            <w:tcW w:w="1837"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1 small unit</w:t>
            </w:r>
          </w:p>
        </w:tc>
        <w:tc>
          <w:tcPr>
            <w:tcW w:w="1559" w:type="dxa"/>
            <w:gridSpan w:val="2"/>
            <w:tcBorders>
              <w:top w:val="nil"/>
              <w:left w:val="nil"/>
              <w:bottom w:val="nil"/>
              <w:right w:val="nil"/>
            </w:tcBorders>
          </w:tcPr>
          <w:p w:rsidR="00C74D45" w:rsidRPr="00713D06" w:rsidRDefault="00C74D45" w:rsidP="00713D06">
            <w:pPr>
              <w:jc w:val="center"/>
              <w:rPr>
                <w:sz w:val="24"/>
                <w:szCs w:val="24"/>
              </w:rPr>
            </w:pPr>
            <w:r w:rsidRPr="00713D06">
              <w:rPr>
                <w:sz w:val="24"/>
                <w:szCs w:val="24"/>
              </w:rPr>
              <w:t>6.25</w:t>
            </w:r>
          </w:p>
        </w:tc>
        <w:tc>
          <w:tcPr>
            <w:tcW w:w="851"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447</w:t>
            </w:r>
          </w:p>
        </w:tc>
        <w:tc>
          <w:tcPr>
            <w:tcW w:w="849"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4.7</w:t>
            </w:r>
          </w:p>
        </w:tc>
        <w:tc>
          <w:tcPr>
            <w:tcW w:w="184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0.78 ± 0.08</w:t>
            </w:r>
          </w:p>
        </w:tc>
        <w:tc>
          <w:tcPr>
            <w:tcW w:w="168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0.75 ± 0.08</w:t>
            </w:r>
          </w:p>
        </w:tc>
      </w:tr>
      <w:tr w:rsidR="00C74D45" w:rsidRPr="00713D06" w:rsidTr="00713D06">
        <w:trPr>
          <w:jc w:val="center"/>
        </w:trPr>
        <w:tc>
          <w:tcPr>
            <w:tcW w:w="1837"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5 small units</w:t>
            </w:r>
          </w:p>
        </w:tc>
        <w:tc>
          <w:tcPr>
            <w:tcW w:w="1559" w:type="dxa"/>
            <w:gridSpan w:val="2"/>
            <w:tcBorders>
              <w:top w:val="nil"/>
              <w:left w:val="nil"/>
              <w:bottom w:val="nil"/>
              <w:right w:val="nil"/>
            </w:tcBorders>
          </w:tcPr>
          <w:p w:rsidR="00C74D45" w:rsidRPr="00713D06" w:rsidRDefault="00C74D45" w:rsidP="00713D06">
            <w:pPr>
              <w:jc w:val="center"/>
              <w:rPr>
                <w:sz w:val="24"/>
                <w:szCs w:val="24"/>
              </w:rPr>
            </w:pPr>
            <w:r w:rsidRPr="00713D06">
              <w:rPr>
                <w:sz w:val="24"/>
                <w:szCs w:val="24"/>
              </w:rPr>
              <w:t>31.25</w:t>
            </w:r>
          </w:p>
        </w:tc>
        <w:tc>
          <w:tcPr>
            <w:tcW w:w="851"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445</w:t>
            </w:r>
          </w:p>
        </w:tc>
        <w:tc>
          <w:tcPr>
            <w:tcW w:w="849"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31.4</w:t>
            </w:r>
          </w:p>
        </w:tc>
        <w:tc>
          <w:tcPr>
            <w:tcW w:w="184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0.93 ± 0.09</w:t>
            </w:r>
          </w:p>
        </w:tc>
        <w:tc>
          <w:tcPr>
            <w:tcW w:w="168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1.00 ± 0.09</w:t>
            </w:r>
          </w:p>
        </w:tc>
      </w:tr>
      <w:tr w:rsidR="00C74D45" w:rsidRPr="00713D06" w:rsidTr="00713D06">
        <w:trPr>
          <w:jc w:val="center"/>
        </w:trPr>
        <w:tc>
          <w:tcPr>
            <w:tcW w:w="1837"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10 small units</w:t>
            </w:r>
          </w:p>
        </w:tc>
        <w:tc>
          <w:tcPr>
            <w:tcW w:w="1559" w:type="dxa"/>
            <w:gridSpan w:val="2"/>
            <w:tcBorders>
              <w:top w:val="nil"/>
              <w:left w:val="nil"/>
              <w:bottom w:val="nil"/>
              <w:right w:val="nil"/>
            </w:tcBorders>
          </w:tcPr>
          <w:p w:rsidR="00C74D45" w:rsidRPr="00713D06" w:rsidRDefault="00C74D45" w:rsidP="00713D06">
            <w:pPr>
              <w:jc w:val="center"/>
              <w:rPr>
                <w:sz w:val="24"/>
                <w:szCs w:val="24"/>
              </w:rPr>
            </w:pPr>
            <w:r w:rsidRPr="00713D06">
              <w:rPr>
                <w:sz w:val="24"/>
                <w:szCs w:val="24"/>
              </w:rPr>
              <w:t>62.50</w:t>
            </w:r>
          </w:p>
        </w:tc>
        <w:tc>
          <w:tcPr>
            <w:tcW w:w="851"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449</w:t>
            </w:r>
          </w:p>
        </w:tc>
        <w:tc>
          <w:tcPr>
            <w:tcW w:w="849"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60.2</w:t>
            </w:r>
          </w:p>
        </w:tc>
        <w:tc>
          <w:tcPr>
            <w:tcW w:w="184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0.89 ± 0.07</w:t>
            </w:r>
          </w:p>
        </w:tc>
        <w:tc>
          <w:tcPr>
            <w:tcW w:w="168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0.97 ± 0.08</w:t>
            </w:r>
          </w:p>
        </w:tc>
      </w:tr>
      <w:tr w:rsidR="00C74D45" w:rsidRPr="00713D06" w:rsidTr="00713D06">
        <w:trPr>
          <w:jc w:val="center"/>
        </w:trPr>
        <w:tc>
          <w:tcPr>
            <w:tcW w:w="1837"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1 medium unit</w:t>
            </w:r>
          </w:p>
        </w:tc>
        <w:tc>
          <w:tcPr>
            <w:tcW w:w="1559" w:type="dxa"/>
            <w:gridSpan w:val="2"/>
            <w:tcBorders>
              <w:top w:val="nil"/>
              <w:left w:val="nil"/>
              <w:bottom w:val="nil"/>
              <w:right w:val="nil"/>
            </w:tcBorders>
          </w:tcPr>
          <w:p w:rsidR="00C74D45" w:rsidRPr="00713D06" w:rsidRDefault="00C74D45" w:rsidP="00713D06">
            <w:pPr>
              <w:jc w:val="center"/>
              <w:rPr>
                <w:sz w:val="24"/>
                <w:szCs w:val="24"/>
              </w:rPr>
            </w:pPr>
            <w:r w:rsidRPr="00713D06">
              <w:rPr>
                <w:sz w:val="24"/>
                <w:szCs w:val="24"/>
              </w:rPr>
              <w:t>25</w:t>
            </w:r>
          </w:p>
        </w:tc>
        <w:tc>
          <w:tcPr>
            <w:tcW w:w="851"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450</w:t>
            </w:r>
          </w:p>
        </w:tc>
        <w:tc>
          <w:tcPr>
            <w:tcW w:w="849"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12.3</w:t>
            </w:r>
          </w:p>
        </w:tc>
        <w:tc>
          <w:tcPr>
            <w:tcW w:w="184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0.45 ± 0.05</w:t>
            </w:r>
          </w:p>
        </w:tc>
        <w:tc>
          <w:tcPr>
            <w:tcW w:w="168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0.49 ± 0.04</w:t>
            </w:r>
          </w:p>
        </w:tc>
      </w:tr>
      <w:tr w:rsidR="00C74D45" w:rsidRPr="00713D06" w:rsidTr="00713D06">
        <w:trPr>
          <w:jc w:val="center"/>
        </w:trPr>
        <w:tc>
          <w:tcPr>
            <w:tcW w:w="1837"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5 medium units</w:t>
            </w:r>
          </w:p>
        </w:tc>
        <w:tc>
          <w:tcPr>
            <w:tcW w:w="1559" w:type="dxa"/>
            <w:gridSpan w:val="2"/>
            <w:tcBorders>
              <w:top w:val="nil"/>
              <w:left w:val="nil"/>
              <w:bottom w:val="nil"/>
              <w:right w:val="nil"/>
            </w:tcBorders>
          </w:tcPr>
          <w:p w:rsidR="00C74D45" w:rsidRPr="00713D06" w:rsidRDefault="00C74D45" w:rsidP="00713D06">
            <w:pPr>
              <w:jc w:val="center"/>
              <w:rPr>
                <w:sz w:val="24"/>
                <w:szCs w:val="24"/>
              </w:rPr>
            </w:pPr>
            <w:r w:rsidRPr="00713D06">
              <w:rPr>
                <w:sz w:val="24"/>
                <w:szCs w:val="24"/>
              </w:rPr>
              <w:t>125</w:t>
            </w:r>
          </w:p>
        </w:tc>
        <w:tc>
          <w:tcPr>
            <w:tcW w:w="851"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448</w:t>
            </w:r>
          </w:p>
        </w:tc>
        <w:tc>
          <w:tcPr>
            <w:tcW w:w="849" w:type="dxa"/>
            <w:tcBorders>
              <w:top w:val="nil"/>
              <w:left w:val="nil"/>
              <w:bottom w:val="nil"/>
              <w:right w:val="nil"/>
            </w:tcBorders>
          </w:tcPr>
          <w:p w:rsidR="00C74D45" w:rsidRPr="00713D06" w:rsidRDefault="00C74D45" w:rsidP="00713D06">
            <w:pPr>
              <w:jc w:val="center"/>
              <w:rPr>
                <w:sz w:val="24"/>
                <w:szCs w:val="24"/>
              </w:rPr>
            </w:pPr>
            <w:r w:rsidRPr="00713D06">
              <w:rPr>
                <w:sz w:val="24"/>
                <w:szCs w:val="24"/>
              </w:rPr>
              <w:t>68.7</w:t>
            </w:r>
          </w:p>
        </w:tc>
        <w:tc>
          <w:tcPr>
            <w:tcW w:w="184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0.51 ± 0.06</w:t>
            </w:r>
          </w:p>
        </w:tc>
        <w:tc>
          <w:tcPr>
            <w:tcW w:w="1683" w:type="dxa"/>
            <w:gridSpan w:val="2"/>
            <w:tcBorders>
              <w:top w:val="nil"/>
              <w:left w:val="nil"/>
              <w:bottom w:val="nil"/>
              <w:right w:val="nil"/>
            </w:tcBorders>
            <w:shd w:val="clear" w:color="auto" w:fill="auto"/>
          </w:tcPr>
          <w:p w:rsidR="00C74D45" w:rsidRPr="00713D06" w:rsidRDefault="00C74D45" w:rsidP="00713D06">
            <w:pPr>
              <w:jc w:val="center"/>
              <w:rPr>
                <w:sz w:val="24"/>
                <w:szCs w:val="24"/>
              </w:rPr>
            </w:pPr>
            <w:r w:rsidRPr="00713D06">
              <w:rPr>
                <w:sz w:val="24"/>
                <w:szCs w:val="24"/>
              </w:rPr>
              <w:t>0.55 ± 0.05</w:t>
            </w:r>
          </w:p>
        </w:tc>
      </w:tr>
      <w:tr w:rsidR="00C74D45" w:rsidRPr="00713D06" w:rsidTr="00713D06">
        <w:trPr>
          <w:jc w:val="center"/>
        </w:trPr>
        <w:tc>
          <w:tcPr>
            <w:tcW w:w="1837" w:type="dxa"/>
            <w:tcBorders>
              <w:top w:val="nil"/>
              <w:left w:val="nil"/>
              <w:bottom w:val="single" w:sz="4" w:space="0" w:color="auto"/>
              <w:right w:val="nil"/>
            </w:tcBorders>
          </w:tcPr>
          <w:p w:rsidR="00C74D45" w:rsidRPr="00713D06" w:rsidRDefault="00C74D45" w:rsidP="00713D06">
            <w:pPr>
              <w:jc w:val="center"/>
              <w:rPr>
                <w:sz w:val="24"/>
                <w:szCs w:val="24"/>
              </w:rPr>
            </w:pPr>
            <w:r w:rsidRPr="00713D06">
              <w:rPr>
                <w:sz w:val="24"/>
                <w:szCs w:val="24"/>
              </w:rPr>
              <w:t>1 large unit</w:t>
            </w:r>
          </w:p>
        </w:tc>
        <w:tc>
          <w:tcPr>
            <w:tcW w:w="1559" w:type="dxa"/>
            <w:gridSpan w:val="2"/>
            <w:tcBorders>
              <w:top w:val="nil"/>
              <w:left w:val="nil"/>
              <w:bottom w:val="single" w:sz="4" w:space="0" w:color="auto"/>
              <w:right w:val="nil"/>
            </w:tcBorders>
          </w:tcPr>
          <w:p w:rsidR="00C74D45" w:rsidRPr="00713D06" w:rsidRDefault="00C74D45" w:rsidP="00713D06">
            <w:pPr>
              <w:jc w:val="center"/>
              <w:rPr>
                <w:sz w:val="24"/>
                <w:szCs w:val="24"/>
              </w:rPr>
            </w:pPr>
            <w:r w:rsidRPr="00713D06">
              <w:rPr>
                <w:sz w:val="24"/>
                <w:szCs w:val="24"/>
              </w:rPr>
              <w:t>500</w:t>
            </w:r>
          </w:p>
        </w:tc>
        <w:tc>
          <w:tcPr>
            <w:tcW w:w="851" w:type="dxa"/>
            <w:tcBorders>
              <w:top w:val="nil"/>
              <w:left w:val="nil"/>
              <w:bottom w:val="single" w:sz="4" w:space="0" w:color="auto"/>
              <w:right w:val="nil"/>
            </w:tcBorders>
          </w:tcPr>
          <w:p w:rsidR="00C74D45" w:rsidRPr="00713D06" w:rsidRDefault="00C74D45" w:rsidP="00713D06">
            <w:pPr>
              <w:jc w:val="center"/>
              <w:rPr>
                <w:sz w:val="24"/>
                <w:szCs w:val="24"/>
              </w:rPr>
            </w:pPr>
            <w:r w:rsidRPr="00713D06">
              <w:rPr>
                <w:sz w:val="24"/>
                <w:szCs w:val="24"/>
              </w:rPr>
              <w:t>445</w:t>
            </w:r>
          </w:p>
        </w:tc>
        <w:tc>
          <w:tcPr>
            <w:tcW w:w="849" w:type="dxa"/>
            <w:tcBorders>
              <w:top w:val="nil"/>
              <w:left w:val="nil"/>
              <w:bottom w:val="single" w:sz="4" w:space="0" w:color="auto"/>
              <w:right w:val="nil"/>
            </w:tcBorders>
          </w:tcPr>
          <w:p w:rsidR="00C74D45" w:rsidRPr="00713D06" w:rsidRDefault="00C74D45" w:rsidP="00713D06">
            <w:pPr>
              <w:jc w:val="center"/>
              <w:rPr>
                <w:sz w:val="24"/>
                <w:szCs w:val="24"/>
              </w:rPr>
            </w:pPr>
            <w:r w:rsidRPr="00713D06">
              <w:rPr>
                <w:sz w:val="24"/>
                <w:szCs w:val="24"/>
              </w:rPr>
              <w:t>104.4</w:t>
            </w:r>
          </w:p>
        </w:tc>
        <w:tc>
          <w:tcPr>
            <w:tcW w:w="1843" w:type="dxa"/>
            <w:gridSpan w:val="2"/>
            <w:tcBorders>
              <w:top w:val="nil"/>
              <w:left w:val="nil"/>
              <w:bottom w:val="single" w:sz="4" w:space="0" w:color="auto"/>
              <w:right w:val="nil"/>
            </w:tcBorders>
            <w:shd w:val="clear" w:color="auto" w:fill="auto"/>
          </w:tcPr>
          <w:p w:rsidR="00C74D45" w:rsidRPr="00713D06" w:rsidRDefault="00C74D45" w:rsidP="00713D06">
            <w:pPr>
              <w:jc w:val="center"/>
              <w:rPr>
                <w:sz w:val="24"/>
                <w:szCs w:val="24"/>
              </w:rPr>
            </w:pPr>
            <w:r w:rsidRPr="00713D06">
              <w:rPr>
                <w:sz w:val="24"/>
                <w:szCs w:val="24"/>
              </w:rPr>
              <w:t>0.17 ± 0.02</w:t>
            </w:r>
          </w:p>
        </w:tc>
        <w:tc>
          <w:tcPr>
            <w:tcW w:w="1683" w:type="dxa"/>
            <w:gridSpan w:val="2"/>
            <w:tcBorders>
              <w:top w:val="nil"/>
              <w:left w:val="nil"/>
              <w:bottom w:val="single" w:sz="4" w:space="0" w:color="auto"/>
              <w:right w:val="nil"/>
            </w:tcBorders>
            <w:shd w:val="clear" w:color="auto" w:fill="auto"/>
          </w:tcPr>
          <w:p w:rsidR="00C74D45" w:rsidRPr="00713D06" w:rsidRDefault="00C74D45" w:rsidP="00713D06">
            <w:pPr>
              <w:jc w:val="center"/>
              <w:rPr>
                <w:sz w:val="24"/>
                <w:szCs w:val="24"/>
              </w:rPr>
            </w:pPr>
            <w:r w:rsidRPr="00713D06">
              <w:rPr>
                <w:sz w:val="24"/>
                <w:szCs w:val="24"/>
              </w:rPr>
              <w:t>0.21 ± 0.01</w:t>
            </w:r>
          </w:p>
        </w:tc>
      </w:tr>
    </w:tbl>
    <w:p w:rsidR="00C74D45" w:rsidRPr="00026718" w:rsidRDefault="00C74D45" w:rsidP="00C74D45">
      <w:pPr>
        <w:jc w:val="both"/>
      </w:pPr>
      <w:r w:rsidRPr="00026718">
        <w:rPr>
          <w:vertAlign w:val="superscript"/>
        </w:rPr>
        <w:t>*</w:t>
      </w:r>
      <w:r w:rsidRPr="00026718">
        <w:t>Mean power density per single unit derived from repeated measurements (n=3)</w:t>
      </w:r>
    </w:p>
    <w:p w:rsidR="00C74D45" w:rsidRDefault="00C74D45" w:rsidP="00C74D45">
      <w:pPr>
        <w:spacing w:before="240" w:after="120"/>
        <w:jc w:val="both"/>
        <w:rPr>
          <w:sz w:val="24"/>
          <w:szCs w:val="24"/>
        </w:rPr>
      </w:pPr>
    </w:p>
    <w:p w:rsidR="00C74D45" w:rsidRDefault="00C74D45" w:rsidP="00C74D45">
      <w:pPr>
        <w:jc w:val="both"/>
        <w:rPr>
          <w:sz w:val="24"/>
          <w:szCs w:val="24"/>
        </w:rPr>
      </w:pPr>
    </w:p>
    <w:p w:rsidR="00C74D45" w:rsidRPr="00026718" w:rsidRDefault="00C74D45" w:rsidP="00C74D45">
      <w:pPr>
        <w:spacing w:before="240" w:after="120"/>
        <w:jc w:val="both"/>
        <w:rPr>
          <w:sz w:val="24"/>
          <w:szCs w:val="24"/>
        </w:rPr>
      </w:pPr>
      <w:r w:rsidRPr="00026718">
        <w:rPr>
          <w:sz w:val="24"/>
          <w:szCs w:val="24"/>
        </w:rPr>
        <w:t xml:space="preserve">Table </w:t>
      </w:r>
      <w:r>
        <w:rPr>
          <w:sz w:val="24"/>
          <w:szCs w:val="24"/>
        </w:rPr>
        <w:t xml:space="preserve">II. </w:t>
      </w:r>
      <w:r w:rsidRPr="00026718">
        <w:rPr>
          <w:sz w:val="24"/>
          <w:szCs w:val="24"/>
        </w:rPr>
        <w:t>Comparative data for the small size MFCs connected consecutively in parallel, under optimum load conditions.</w:t>
      </w:r>
    </w:p>
    <w:tbl>
      <w:tblPr>
        <w:tblW w:w="0" w:type="auto"/>
        <w:jc w:val="center"/>
        <w:tblBorders>
          <w:top w:val="single" w:sz="4" w:space="0" w:color="auto"/>
          <w:bottom w:val="single" w:sz="4" w:space="0" w:color="auto"/>
        </w:tblBorders>
        <w:tblLook w:val="01E0"/>
      </w:tblPr>
      <w:tblGrid>
        <w:gridCol w:w="1337"/>
        <w:gridCol w:w="2268"/>
        <w:gridCol w:w="992"/>
        <w:gridCol w:w="891"/>
        <w:gridCol w:w="756"/>
        <w:gridCol w:w="1059"/>
        <w:gridCol w:w="848"/>
      </w:tblGrid>
      <w:tr w:rsidR="00C74D45" w:rsidRPr="00713D06" w:rsidTr="00713D06">
        <w:trPr>
          <w:jc w:val="center"/>
        </w:trPr>
        <w:tc>
          <w:tcPr>
            <w:tcW w:w="1337" w:type="dxa"/>
            <w:tcBorders>
              <w:top w:val="single" w:sz="4" w:space="0" w:color="auto"/>
              <w:bottom w:val="single" w:sz="4" w:space="0" w:color="auto"/>
            </w:tcBorders>
          </w:tcPr>
          <w:p w:rsidR="00C74D45" w:rsidRPr="00713D06" w:rsidRDefault="00C74D45" w:rsidP="00713D06">
            <w:pPr>
              <w:jc w:val="center"/>
              <w:rPr>
                <w:sz w:val="24"/>
                <w:szCs w:val="24"/>
              </w:rPr>
            </w:pPr>
            <w:r w:rsidRPr="00713D06">
              <w:rPr>
                <w:sz w:val="24"/>
                <w:szCs w:val="24"/>
              </w:rPr>
              <w:t>Number of MFC units</w:t>
            </w:r>
          </w:p>
        </w:tc>
        <w:tc>
          <w:tcPr>
            <w:tcW w:w="2268" w:type="dxa"/>
            <w:tcBorders>
              <w:top w:val="single" w:sz="4" w:space="0" w:color="auto"/>
              <w:bottom w:val="single" w:sz="4" w:space="0" w:color="auto"/>
            </w:tcBorders>
          </w:tcPr>
          <w:p w:rsidR="00C74D45" w:rsidRPr="00713D06" w:rsidRDefault="00C74D45" w:rsidP="00713D06">
            <w:pPr>
              <w:jc w:val="center"/>
              <w:rPr>
                <w:sz w:val="24"/>
                <w:szCs w:val="24"/>
              </w:rPr>
            </w:pPr>
            <w:r w:rsidRPr="00713D06">
              <w:rPr>
                <w:sz w:val="24"/>
                <w:szCs w:val="24"/>
              </w:rPr>
              <w:t>Total</w:t>
            </w:r>
          </w:p>
          <w:p w:rsidR="00C74D45" w:rsidRPr="00713D06" w:rsidRDefault="00C74D45" w:rsidP="00713D06">
            <w:pPr>
              <w:jc w:val="center"/>
              <w:rPr>
                <w:sz w:val="24"/>
                <w:szCs w:val="24"/>
              </w:rPr>
            </w:pPr>
            <w:r w:rsidRPr="00713D06">
              <w:rPr>
                <w:sz w:val="24"/>
                <w:szCs w:val="24"/>
              </w:rPr>
              <w:t>anodic volume [mL]</w:t>
            </w:r>
          </w:p>
        </w:tc>
        <w:tc>
          <w:tcPr>
            <w:tcW w:w="992" w:type="dxa"/>
            <w:tcBorders>
              <w:top w:val="single" w:sz="4" w:space="0" w:color="auto"/>
              <w:bottom w:val="single" w:sz="4" w:space="0" w:color="auto"/>
            </w:tcBorders>
          </w:tcPr>
          <w:p w:rsidR="00C74D45" w:rsidRPr="00713D06" w:rsidRDefault="00C74D45" w:rsidP="00713D06">
            <w:pPr>
              <w:jc w:val="center"/>
              <w:rPr>
                <w:sz w:val="24"/>
                <w:szCs w:val="24"/>
              </w:rPr>
            </w:pPr>
            <w:r w:rsidRPr="00713D06">
              <w:rPr>
                <w:sz w:val="24"/>
                <w:szCs w:val="24"/>
              </w:rPr>
              <w:t>V</w:t>
            </w:r>
            <w:r w:rsidRPr="00713D06">
              <w:rPr>
                <w:sz w:val="24"/>
                <w:szCs w:val="24"/>
                <w:vertAlign w:val="subscript"/>
              </w:rPr>
              <w:t>Mean</w:t>
            </w:r>
            <w:r w:rsidRPr="00713D06">
              <w:rPr>
                <w:sz w:val="24"/>
                <w:szCs w:val="24"/>
              </w:rPr>
              <w:t xml:space="preserve"> [mV]</w:t>
            </w:r>
          </w:p>
        </w:tc>
        <w:tc>
          <w:tcPr>
            <w:tcW w:w="891" w:type="dxa"/>
            <w:tcBorders>
              <w:top w:val="single" w:sz="4" w:space="0" w:color="auto"/>
              <w:bottom w:val="single" w:sz="4" w:space="0" w:color="auto"/>
            </w:tcBorders>
          </w:tcPr>
          <w:p w:rsidR="00C74D45" w:rsidRPr="00713D06" w:rsidRDefault="00C74D45" w:rsidP="00713D06">
            <w:pPr>
              <w:jc w:val="center"/>
              <w:rPr>
                <w:sz w:val="24"/>
                <w:szCs w:val="24"/>
              </w:rPr>
            </w:pPr>
            <w:r w:rsidRPr="00713D06">
              <w:rPr>
                <w:sz w:val="24"/>
                <w:szCs w:val="24"/>
              </w:rPr>
              <w:t>I</w:t>
            </w:r>
            <w:r w:rsidRPr="00713D06">
              <w:rPr>
                <w:sz w:val="24"/>
                <w:szCs w:val="24"/>
                <w:vertAlign w:val="subscript"/>
              </w:rPr>
              <w:t>Mean</w:t>
            </w:r>
            <w:r w:rsidRPr="00713D06">
              <w:rPr>
                <w:sz w:val="24"/>
                <w:szCs w:val="24"/>
              </w:rPr>
              <w:t xml:space="preserve"> [</w:t>
            </w:r>
            <w:r w:rsidRPr="00713D06">
              <w:rPr>
                <w:rFonts w:ascii="Symbol" w:hAnsi="Symbol"/>
                <w:sz w:val="24"/>
                <w:szCs w:val="24"/>
              </w:rPr>
              <w:t></w:t>
            </w:r>
            <w:r w:rsidRPr="00713D06">
              <w:rPr>
                <w:sz w:val="24"/>
                <w:szCs w:val="24"/>
              </w:rPr>
              <w:t>A]</w:t>
            </w:r>
          </w:p>
        </w:tc>
        <w:tc>
          <w:tcPr>
            <w:tcW w:w="754" w:type="dxa"/>
            <w:tcBorders>
              <w:top w:val="single" w:sz="4" w:space="0" w:color="auto"/>
              <w:bottom w:val="single" w:sz="4" w:space="0" w:color="auto"/>
            </w:tcBorders>
          </w:tcPr>
          <w:p w:rsidR="00C74D45" w:rsidRPr="00713D06" w:rsidRDefault="00C74D45" w:rsidP="00713D06">
            <w:pPr>
              <w:jc w:val="center"/>
              <w:rPr>
                <w:sz w:val="24"/>
                <w:szCs w:val="24"/>
              </w:rPr>
            </w:pPr>
            <w:r w:rsidRPr="00713D06">
              <w:rPr>
                <w:sz w:val="24"/>
                <w:szCs w:val="24"/>
              </w:rPr>
              <w:t>P</w:t>
            </w:r>
            <w:r w:rsidRPr="00713D06">
              <w:rPr>
                <w:sz w:val="24"/>
                <w:szCs w:val="24"/>
                <w:vertAlign w:val="subscript"/>
              </w:rPr>
              <w:t>Mean</w:t>
            </w:r>
            <w:r w:rsidRPr="00713D06">
              <w:rPr>
                <w:sz w:val="24"/>
                <w:szCs w:val="24"/>
              </w:rPr>
              <w:t xml:space="preserve"> [</w:t>
            </w:r>
            <w:r w:rsidRPr="00713D06">
              <w:rPr>
                <w:rFonts w:ascii="Symbol" w:hAnsi="Symbol"/>
                <w:sz w:val="24"/>
                <w:szCs w:val="24"/>
              </w:rPr>
              <w:t></w:t>
            </w:r>
            <w:r w:rsidRPr="00713D06">
              <w:rPr>
                <w:sz w:val="24"/>
                <w:szCs w:val="24"/>
              </w:rPr>
              <w:t>W]</w:t>
            </w:r>
          </w:p>
        </w:tc>
        <w:tc>
          <w:tcPr>
            <w:tcW w:w="1059" w:type="dxa"/>
            <w:tcBorders>
              <w:top w:val="single" w:sz="4" w:space="0" w:color="auto"/>
              <w:bottom w:val="single" w:sz="4" w:space="0" w:color="auto"/>
            </w:tcBorders>
          </w:tcPr>
          <w:p w:rsidR="00C74D45" w:rsidRPr="00713D06" w:rsidRDefault="00C74D45" w:rsidP="00713D06">
            <w:pPr>
              <w:jc w:val="center"/>
              <w:rPr>
                <w:sz w:val="24"/>
                <w:szCs w:val="24"/>
              </w:rPr>
            </w:pPr>
            <w:r w:rsidRPr="00713D06">
              <w:rPr>
                <w:sz w:val="24"/>
                <w:szCs w:val="24"/>
              </w:rPr>
              <w:t>P</w:t>
            </w:r>
            <w:r w:rsidRPr="00713D06">
              <w:rPr>
                <w:sz w:val="24"/>
                <w:szCs w:val="24"/>
                <w:vertAlign w:val="subscript"/>
              </w:rPr>
              <w:t>Density</w:t>
            </w:r>
          </w:p>
          <w:p w:rsidR="00C74D45" w:rsidRPr="00713D06" w:rsidRDefault="00C74D45" w:rsidP="00713D06">
            <w:pPr>
              <w:jc w:val="center"/>
              <w:rPr>
                <w:sz w:val="24"/>
                <w:szCs w:val="24"/>
              </w:rPr>
            </w:pPr>
            <w:r w:rsidRPr="00713D06">
              <w:rPr>
                <w:sz w:val="24"/>
                <w:szCs w:val="24"/>
              </w:rPr>
              <w:t>mW/m</w:t>
            </w:r>
            <w:r w:rsidRPr="00713D06">
              <w:rPr>
                <w:sz w:val="24"/>
                <w:szCs w:val="24"/>
                <w:vertAlign w:val="superscript"/>
              </w:rPr>
              <w:t>2</w:t>
            </w:r>
          </w:p>
        </w:tc>
        <w:tc>
          <w:tcPr>
            <w:tcW w:w="848" w:type="dxa"/>
            <w:tcBorders>
              <w:top w:val="single" w:sz="4" w:space="0" w:color="auto"/>
              <w:bottom w:val="single" w:sz="4" w:space="0" w:color="auto"/>
            </w:tcBorders>
          </w:tcPr>
          <w:p w:rsidR="00C74D45" w:rsidRPr="00713D06" w:rsidRDefault="00C74D45" w:rsidP="00713D06">
            <w:pPr>
              <w:jc w:val="center"/>
              <w:rPr>
                <w:sz w:val="24"/>
                <w:szCs w:val="24"/>
              </w:rPr>
            </w:pPr>
            <w:r w:rsidRPr="00713D06">
              <w:rPr>
                <w:sz w:val="24"/>
                <w:szCs w:val="24"/>
              </w:rPr>
              <w:t>P</w:t>
            </w:r>
            <w:r w:rsidRPr="00713D06">
              <w:rPr>
                <w:sz w:val="24"/>
                <w:szCs w:val="24"/>
                <w:vertAlign w:val="subscript"/>
              </w:rPr>
              <w:t>Density</w:t>
            </w:r>
          </w:p>
          <w:p w:rsidR="00C74D45" w:rsidRPr="00713D06" w:rsidRDefault="00C74D45" w:rsidP="00713D06">
            <w:pPr>
              <w:jc w:val="center"/>
              <w:rPr>
                <w:sz w:val="24"/>
                <w:szCs w:val="24"/>
              </w:rPr>
            </w:pPr>
            <w:r w:rsidRPr="00713D06">
              <w:rPr>
                <w:sz w:val="24"/>
                <w:szCs w:val="24"/>
              </w:rPr>
              <w:t>W/m</w:t>
            </w:r>
            <w:r w:rsidRPr="00713D06">
              <w:rPr>
                <w:sz w:val="24"/>
                <w:szCs w:val="24"/>
                <w:vertAlign w:val="superscript"/>
              </w:rPr>
              <w:t>3</w:t>
            </w:r>
          </w:p>
        </w:tc>
      </w:tr>
      <w:tr w:rsidR="00C74D45" w:rsidRPr="00713D06" w:rsidTr="00713D06">
        <w:trPr>
          <w:jc w:val="center"/>
        </w:trPr>
        <w:tc>
          <w:tcPr>
            <w:tcW w:w="1337" w:type="dxa"/>
            <w:tcBorders>
              <w:top w:val="single" w:sz="4" w:space="0" w:color="auto"/>
            </w:tcBorders>
          </w:tcPr>
          <w:p w:rsidR="00C74D45" w:rsidRPr="00713D06" w:rsidRDefault="00C74D45" w:rsidP="00713D06">
            <w:pPr>
              <w:jc w:val="center"/>
              <w:rPr>
                <w:sz w:val="24"/>
                <w:szCs w:val="24"/>
              </w:rPr>
            </w:pPr>
            <w:r w:rsidRPr="00713D06">
              <w:rPr>
                <w:sz w:val="24"/>
                <w:szCs w:val="24"/>
              </w:rPr>
              <w:t>1</w:t>
            </w:r>
          </w:p>
        </w:tc>
        <w:tc>
          <w:tcPr>
            <w:tcW w:w="2268" w:type="dxa"/>
            <w:tcBorders>
              <w:top w:val="single" w:sz="4" w:space="0" w:color="auto"/>
            </w:tcBorders>
          </w:tcPr>
          <w:p w:rsidR="00C74D45" w:rsidRPr="00713D06" w:rsidRDefault="00C74D45" w:rsidP="00713D06">
            <w:pPr>
              <w:jc w:val="center"/>
              <w:rPr>
                <w:sz w:val="24"/>
                <w:szCs w:val="24"/>
              </w:rPr>
            </w:pPr>
            <w:r w:rsidRPr="00713D06">
              <w:rPr>
                <w:sz w:val="24"/>
                <w:szCs w:val="24"/>
              </w:rPr>
              <w:t>6.25</w:t>
            </w:r>
          </w:p>
        </w:tc>
        <w:tc>
          <w:tcPr>
            <w:tcW w:w="992" w:type="dxa"/>
            <w:tcBorders>
              <w:top w:val="single" w:sz="4" w:space="0" w:color="auto"/>
            </w:tcBorders>
          </w:tcPr>
          <w:p w:rsidR="00C74D45" w:rsidRPr="00713D06" w:rsidRDefault="00C74D45" w:rsidP="00713D06">
            <w:pPr>
              <w:jc w:val="center"/>
              <w:rPr>
                <w:sz w:val="24"/>
                <w:szCs w:val="24"/>
              </w:rPr>
            </w:pPr>
            <w:r w:rsidRPr="00713D06">
              <w:rPr>
                <w:sz w:val="24"/>
                <w:szCs w:val="24"/>
              </w:rPr>
              <w:t>64.10</w:t>
            </w:r>
          </w:p>
        </w:tc>
        <w:tc>
          <w:tcPr>
            <w:tcW w:w="891" w:type="dxa"/>
            <w:tcBorders>
              <w:top w:val="single" w:sz="4" w:space="0" w:color="auto"/>
            </w:tcBorders>
          </w:tcPr>
          <w:p w:rsidR="00C74D45" w:rsidRPr="00713D06" w:rsidRDefault="00C74D45" w:rsidP="00713D06">
            <w:pPr>
              <w:jc w:val="center"/>
              <w:rPr>
                <w:sz w:val="24"/>
                <w:szCs w:val="24"/>
              </w:rPr>
            </w:pPr>
            <w:r w:rsidRPr="00713D06">
              <w:rPr>
                <w:sz w:val="24"/>
                <w:szCs w:val="24"/>
              </w:rPr>
              <w:t>64.23</w:t>
            </w:r>
          </w:p>
        </w:tc>
        <w:tc>
          <w:tcPr>
            <w:tcW w:w="754" w:type="dxa"/>
            <w:tcBorders>
              <w:top w:val="single" w:sz="4" w:space="0" w:color="auto"/>
            </w:tcBorders>
          </w:tcPr>
          <w:p w:rsidR="00C74D45" w:rsidRPr="00713D06" w:rsidRDefault="00C74D45" w:rsidP="00713D06">
            <w:pPr>
              <w:jc w:val="center"/>
              <w:rPr>
                <w:sz w:val="24"/>
                <w:szCs w:val="24"/>
              </w:rPr>
            </w:pPr>
            <w:r w:rsidRPr="00713D06">
              <w:rPr>
                <w:sz w:val="24"/>
                <w:szCs w:val="24"/>
              </w:rPr>
              <w:t>4.69</w:t>
            </w:r>
          </w:p>
        </w:tc>
        <w:tc>
          <w:tcPr>
            <w:tcW w:w="1059" w:type="dxa"/>
            <w:tcBorders>
              <w:top w:val="single" w:sz="4" w:space="0" w:color="auto"/>
            </w:tcBorders>
          </w:tcPr>
          <w:p w:rsidR="00C74D45" w:rsidRPr="00713D06" w:rsidRDefault="00C74D45" w:rsidP="00713D06">
            <w:pPr>
              <w:jc w:val="center"/>
              <w:rPr>
                <w:sz w:val="24"/>
                <w:szCs w:val="24"/>
              </w:rPr>
            </w:pPr>
            <w:r w:rsidRPr="00713D06">
              <w:rPr>
                <w:sz w:val="24"/>
                <w:szCs w:val="24"/>
              </w:rPr>
              <w:t>0.78</w:t>
            </w:r>
          </w:p>
        </w:tc>
        <w:tc>
          <w:tcPr>
            <w:tcW w:w="848" w:type="dxa"/>
            <w:tcBorders>
              <w:top w:val="single" w:sz="4" w:space="0" w:color="auto"/>
            </w:tcBorders>
          </w:tcPr>
          <w:p w:rsidR="00C74D45" w:rsidRPr="00713D06" w:rsidRDefault="00C74D45" w:rsidP="00713D06">
            <w:pPr>
              <w:jc w:val="center"/>
              <w:rPr>
                <w:sz w:val="24"/>
                <w:szCs w:val="24"/>
              </w:rPr>
            </w:pPr>
            <w:r w:rsidRPr="00713D06">
              <w:rPr>
                <w:sz w:val="24"/>
                <w:szCs w:val="24"/>
              </w:rPr>
              <w:t>0.75</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2</w:t>
            </w:r>
          </w:p>
        </w:tc>
        <w:tc>
          <w:tcPr>
            <w:tcW w:w="2268" w:type="dxa"/>
          </w:tcPr>
          <w:p w:rsidR="00C74D45" w:rsidRPr="00713D06" w:rsidRDefault="00C74D45" w:rsidP="00713D06">
            <w:pPr>
              <w:jc w:val="center"/>
              <w:rPr>
                <w:sz w:val="24"/>
                <w:szCs w:val="24"/>
              </w:rPr>
            </w:pPr>
            <w:r w:rsidRPr="00713D06">
              <w:rPr>
                <w:sz w:val="24"/>
                <w:szCs w:val="24"/>
              </w:rPr>
              <w:t>12.50</w:t>
            </w:r>
          </w:p>
        </w:tc>
        <w:tc>
          <w:tcPr>
            <w:tcW w:w="992" w:type="dxa"/>
          </w:tcPr>
          <w:p w:rsidR="00C74D45" w:rsidRPr="00713D06" w:rsidRDefault="00C74D45" w:rsidP="00713D06">
            <w:pPr>
              <w:jc w:val="center"/>
              <w:rPr>
                <w:sz w:val="24"/>
                <w:szCs w:val="24"/>
              </w:rPr>
            </w:pPr>
            <w:r w:rsidRPr="00713D06">
              <w:rPr>
                <w:sz w:val="24"/>
                <w:szCs w:val="24"/>
              </w:rPr>
              <w:t>102.58</w:t>
            </w:r>
          </w:p>
        </w:tc>
        <w:tc>
          <w:tcPr>
            <w:tcW w:w="891" w:type="dxa"/>
          </w:tcPr>
          <w:p w:rsidR="00C74D45" w:rsidRPr="00713D06" w:rsidRDefault="00C74D45" w:rsidP="00713D06">
            <w:pPr>
              <w:jc w:val="center"/>
              <w:rPr>
                <w:sz w:val="24"/>
                <w:szCs w:val="24"/>
              </w:rPr>
            </w:pPr>
            <w:r w:rsidRPr="00713D06">
              <w:rPr>
                <w:sz w:val="24"/>
                <w:szCs w:val="24"/>
              </w:rPr>
              <w:t>102.79</w:t>
            </w:r>
          </w:p>
        </w:tc>
        <w:tc>
          <w:tcPr>
            <w:tcW w:w="754" w:type="dxa"/>
          </w:tcPr>
          <w:p w:rsidR="00C74D45" w:rsidRPr="00713D06" w:rsidRDefault="00C74D45" w:rsidP="00713D06">
            <w:pPr>
              <w:jc w:val="center"/>
              <w:rPr>
                <w:sz w:val="24"/>
                <w:szCs w:val="24"/>
              </w:rPr>
            </w:pPr>
            <w:r w:rsidRPr="00713D06">
              <w:rPr>
                <w:sz w:val="24"/>
                <w:szCs w:val="24"/>
              </w:rPr>
              <w:t>10.81</w:t>
            </w:r>
          </w:p>
        </w:tc>
        <w:tc>
          <w:tcPr>
            <w:tcW w:w="1059" w:type="dxa"/>
          </w:tcPr>
          <w:p w:rsidR="00C74D45" w:rsidRPr="00713D06" w:rsidRDefault="00C74D45" w:rsidP="00713D06">
            <w:pPr>
              <w:jc w:val="center"/>
              <w:rPr>
                <w:sz w:val="24"/>
                <w:szCs w:val="24"/>
              </w:rPr>
            </w:pPr>
            <w:r w:rsidRPr="00713D06">
              <w:rPr>
                <w:sz w:val="24"/>
                <w:szCs w:val="24"/>
              </w:rPr>
              <w:t>0.80</w:t>
            </w:r>
          </w:p>
        </w:tc>
        <w:tc>
          <w:tcPr>
            <w:tcW w:w="848" w:type="dxa"/>
          </w:tcPr>
          <w:p w:rsidR="00C74D45" w:rsidRPr="00713D06" w:rsidRDefault="00C74D45" w:rsidP="00713D06">
            <w:pPr>
              <w:jc w:val="center"/>
              <w:rPr>
                <w:sz w:val="24"/>
                <w:szCs w:val="24"/>
              </w:rPr>
            </w:pPr>
            <w:r w:rsidRPr="00713D06">
              <w:rPr>
                <w:sz w:val="24"/>
                <w:szCs w:val="24"/>
              </w:rPr>
              <w:t>0.86</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3</w:t>
            </w:r>
          </w:p>
        </w:tc>
        <w:tc>
          <w:tcPr>
            <w:tcW w:w="2268" w:type="dxa"/>
          </w:tcPr>
          <w:p w:rsidR="00C74D45" w:rsidRPr="00713D06" w:rsidRDefault="00C74D45" w:rsidP="00713D06">
            <w:pPr>
              <w:jc w:val="center"/>
              <w:rPr>
                <w:sz w:val="24"/>
                <w:szCs w:val="24"/>
              </w:rPr>
            </w:pPr>
            <w:r w:rsidRPr="00713D06">
              <w:rPr>
                <w:sz w:val="24"/>
                <w:szCs w:val="24"/>
              </w:rPr>
              <w:t>18.75</w:t>
            </w:r>
          </w:p>
        </w:tc>
        <w:tc>
          <w:tcPr>
            <w:tcW w:w="992" w:type="dxa"/>
          </w:tcPr>
          <w:p w:rsidR="00C74D45" w:rsidRPr="00713D06" w:rsidRDefault="00C74D45" w:rsidP="00713D06">
            <w:pPr>
              <w:jc w:val="center"/>
              <w:rPr>
                <w:sz w:val="24"/>
                <w:szCs w:val="24"/>
              </w:rPr>
            </w:pPr>
            <w:r w:rsidRPr="00713D06">
              <w:rPr>
                <w:sz w:val="24"/>
                <w:szCs w:val="24"/>
              </w:rPr>
              <w:t>131.05</w:t>
            </w:r>
          </w:p>
        </w:tc>
        <w:tc>
          <w:tcPr>
            <w:tcW w:w="891" w:type="dxa"/>
          </w:tcPr>
          <w:p w:rsidR="00C74D45" w:rsidRPr="00713D06" w:rsidRDefault="00C74D45" w:rsidP="00713D06">
            <w:pPr>
              <w:jc w:val="center"/>
              <w:rPr>
                <w:sz w:val="24"/>
                <w:szCs w:val="24"/>
              </w:rPr>
            </w:pPr>
            <w:r w:rsidRPr="00713D06">
              <w:rPr>
                <w:sz w:val="24"/>
                <w:szCs w:val="24"/>
              </w:rPr>
              <w:t>131.31</w:t>
            </w:r>
          </w:p>
        </w:tc>
        <w:tc>
          <w:tcPr>
            <w:tcW w:w="754" w:type="dxa"/>
          </w:tcPr>
          <w:p w:rsidR="00C74D45" w:rsidRPr="00713D06" w:rsidRDefault="00C74D45" w:rsidP="00713D06">
            <w:pPr>
              <w:jc w:val="center"/>
              <w:rPr>
                <w:sz w:val="24"/>
                <w:szCs w:val="24"/>
              </w:rPr>
            </w:pPr>
            <w:r w:rsidRPr="00713D06">
              <w:rPr>
                <w:sz w:val="24"/>
                <w:szCs w:val="24"/>
              </w:rPr>
              <w:t>17.37</w:t>
            </w:r>
          </w:p>
        </w:tc>
        <w:tc>
          <w:tcPr>
            <w:tcW w:w="1059" w:type="dxa"/>
          </w:tcPr>
          <w:p w:rsidR="00C74D45" w:rsidRPr="00713D06" w:rsidRDefault="00C74D45" w:rsidP="00713D06">
            <w:pPr>
              <w:jc w:val="center"/>
              <w:rPr>
                <w:sz w:val="24"/>
                <w:szCs w:val="24"/>
              </w:rPr>
            </w:pPr>
            <w:r w:rsidRPr="00713D06">
              <w:rPr>
                <w:sz w:val="24"/>
                <w:szCs w:val="24"/>
              </w:rPr>
              <w:t>0.86</w:t>
            </w:r>
          </w:p>
        </w:tc>
        <w:tc>
          <w:tcPr>
            <w:tcW w:w="848" w:type="dxa"/>
          </w:tcPr>
          <w:p w:rsidR="00C74D45" w:rsidRPr="00713D06" w:rsidRDefault="00C74D45" w:rsidP="00713D06">
            <w:pPr>
              <w:jc w:val="center"/>
              <w:rPr>
                <w:sz w:val="24"/>
                <w:szCs w:val="24"/>
              </w:rPr>
            </w:pPr>
            <w:r w:rsidRPr="00713D06">
              <w:rPr>
                <w:sz w:val="24"/>
                <w:szCs w:val="24"/>
              </w:rPr>
              <w:t>0.93</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4</w:t>
            </w:r>
          </w:p>
        </w:tc>
        <w:tc>
          <w:tcPr>
            <w:tcW w:w="2268" w:type="dxa"/>
          </w:tcPr>
          <w:p w:rsidR="00C74D45" w:rsidRPr="00713D06" w:rsidRDefault="00C74D45" w:rsidP="00713D06">
            <w:pPr>
              <w:jc w:val="center"/>
              <w:rPr>
                <w:sz w:val="24"/>
                <w:szCs w:val="24"/>
              </w:rPr>
            </w:pPr>
            <w:r w:rsidRPr="00713D06">
              <w:rPr>
                <w:sz w:val="24"/>
                <w:szCs w:val="24"/>
              </w:rPr>
              <w:t>25.00</w:t>
            </w:r>
          </w:p>
        </w:tc>
        <w:tc>
          <w:tcPr>
            <w:tcW w:w="992" w:type="dxa"/>
          </w:tcPr>
          <w:p w:rsidR="00C74D45" w:rsidRPr="00713D06" w:rsidRDefault="00C74D45" w:rsidP="00713D06">
            <w:pPr>
              <w:jc w:val="center"/>
              <w:rPr>
                <w:sz w:val="24"/>
                <w:szCs w:val="24"/>
              </w:rPr>
            </w:pPr>
            <w:r w:rsidRPr="00713D06">
              <w:rPr>
                <w:sz w:val="24"/>
                <w:szCs w:val="24"/>
              </w:rPr>
              <w:t>159.51</w:t>
            </w:r>
          </w:p>
        </w:tc>
        <w:tc>
          <w:tcPr>
            <w:tcW w:w="891" w:type="dxa"/>
          </w:tcPr>
          <w:p w:rsidR="00C74D45" w:rsidRPr="00713D06" w:rsidRDefault="00C74D45" w:rsidP="00713D06">
            <w:pPr>
              <w:jc w:val="center"/>
              <w:rPr>
                <w:sz w:val="24"/>
                <w:szCs w:val="24"/>
              </w:rPr>
            </w:pPr>
            <w:r w:rsidRPr="00713D06">
              <w:rPr>
                <w:sz w:val="24"/>
                <w:szCs w:val="24"/>
              </w:rPr>
              <w:t>159.83</w:t>
            </w:r>
          </w:p>
        </w:tc>
        <w:tc>
          <w:tcPr>
            <w:tcW w:w="754" w:type="dxa"/>
          </w:tcPr>
          <w:p w:rsidR="00C74D45" w:rsidRPr="00713D06" w:rsidRDefault="00C74D45" w:rsidP="00713D06">
            <w:pPr>
              <w:jc w:val="center"/>
              <w:rPr>
                <w:sz w:val="24"/>
                <w:szCs w:val="24"/>
              </w:rPr>
            </w:pPr>
            <w:r w:rsidRPr="00713D06">
              <w:rPr>
                <w:sz w:val="24"/>
                <w:szCs w:val="24"/>
              </w:rPr>
              <w:t>25.61</w:t>
            </w:r>
          </w:p>
        </w:tc>
        <w:tc>
          <w:tcPr>
            <w:tcW w:w="1059" w:type="dxa"/>
          </w:tcPr>
          <w:p w:rsidR="00C74D45" w:rsidRPr="00713D06" w:rsidRDefault="00C74D45" w:rsidP="00713D06">
            <w:pPr>
              <w:jc w:val="center"/>
              <w:rPr>
                <w:sz w:val="24"/>
                <w:szCs w:val="24"/>
              </w:rPr>
            </w:pPr>
            <w:r w:rsidRPr="00713D06">
              <w:rPr>
                <w:sz w:val="24"/>
                <w:szCs w:val="24"/>
              </w:rPr>
              <w:t>0.95</w:t>
            </w:r>
          </w:p>
        </w:tc>
        <w:tc>
          <w:tcPr>
            <w:tcW w:w="848" w:type="dxa"/>
          </w:tcPr>
          <w:p w:rsidR="00C74D45" w:rsidRPr="00713D06" w:rsidRDefault="00C74D45" w:rsidP="00713D06">
            <w:pPr>
              <w:jc w:val="center"/>
              <w:rPr>
                <w:sz w:val="24"/>
                <w:szCs w:val="24"/>
              </w:rPr>
            </w:pPr>
            <w:r w:rsidRPr="00713D06">
              <w:rPr>
                <w:sz w:val="24"/>
                <w:szCs w:val="24"/>
              </w:rPr>
              <w:t>1.02</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5</w:t>
            </w:r>
          </w:p>
        </w:tc>
        <w:tc>
          <w:tcPr>
            <w:tcW w:w="2268" w:type="dxa"/>
          </w:tcPr>
          <w:p w:rsidR="00C74D45" w:rsidRPr="00713D06" w:rsidRDefault="00C74D45" w:rsidP="00713D06">
            <w:pPr>
              <w:jc w:val="center"/>
              <w:rPr>
                <w:sz w:val="24"/>
                <w:szCs w:val="24"/>
              </w:rPr>
            </w:pPr>
            <w:r w:rsidRPr="00713D06">
              <w:rPr>
                <w:sz w:val="24"/>
                <w:szCs w:val="24"/>
              </w:rPr>
              <w:t>31.25</w:t>
            </w:r>
          </w:p>
        </w:tc>
        <w:tc>
          <w:tcPr>
            <w:tcW w:w="992" w:type="dxa"/>
          </w:tcPr>
          <w:p w:rsidR="00C74D45" w:rsidRPr="00713D06" w:rsidRDefault="00C74D45" w:rsidP="00713D06">
            <w:pPr>
              <w:jc w:val="center"/>
              <w:rPr>
                <w:sz w:val="24"/>
                <w:szCs w:val="24"/>
              </w:rPr>
            </w:pPr>
            <w:r w:rsidRPr="00713D06">
              <w:rPr>
                <w:sz w:val="24"/>
                <w:szCs w:val="24"/>
              </w:rPr>
              <w:t>176.93</w:t>
            </w:r>
          </w:p>
        </w:tc>
        <w:tc>
          <w:tcPr>
            <w:tcW w:w="891" w:type="dxa"/>
          </w:tcPr>
          <w:p w:rsidR="00C74D45" w:rsidRPr="00713D06" w:rsidRDefault="00C74D45" w:rsidP="00713D06">
            <w:pPr>
              <w:jc w:val="center"/>
              <w:rPr>
                <w:sz w:val="24"/>
                <w:szCs w:val="24"/>
              </w:rPr>
            </w:pPr>
            <w:r w:rsidRPr="00713D06">
              <w:rPr>
                <w:sz w:val="24"/>
                <w:szCs w:val="24"/>
              </w:rPr>
              <w:t>177.29</w:t>
            </w:r>
          </w:p>
        </w:tc>
        <w:tc>
          <w:tcPr>
            <w:tcW w:w="754" w:type="dxa"/>
          </w:tcPr>
          <w:p w:rsidR="00C74D45" w:rsidRPr="00713D06" w:rsidRDefault="00C74D45" w:rsidP="00713D06">
            <w:pPr>
              <w:jc w:val="center"/>
              <w:rPr>
                <w:sz w:val="24"/>
                <w:szCs w:val="24"/>
              </w:rPr>
            </w:pPr>
            <w:r w:rsidRPr="00713D06">
              <w:rPr>
                <w:sz w:val="24"/>
                <w:szCs w:val="24"/>
              </w:rPr>
              <w:t>31.41</w:t>
            </w:r>
          </w:p>
        </w:tc>
        <w:tc>
          <w:tcPr>
            <w:tcW w:w="1059" w:type="dxa"/>
          </w:tcPr>
          <w:p w:rsidR="00C74D45" w:rsidRPr="00713D06" w:rsidRDefault="00C74D45" w:rsidP="00713D06">
            <w:pPr>
              <w:jc w:val="center"/>
              <w:rPr>
                <w:sz w:val="24"/>
                <w:szCs w:val="24"/>
              </w:rPr>
            </w:pPr>
            <w:r w:rsidRPr="00713D06">
              <w:rPr>
                <w:sz w:val="24"/>
                <w:szCs w:val="24"/>
              </w:rPr>
              <w:t>0.93</w:t>
            </w:r>
          </w:p>
        </w:tc>
        <w:tc>
          <w:tcPr>
            <w:tcW w:w="848" w:type="dxa"/>
          </w:tcPr>
          <w:p w:rsidR="00C74D45" w:rsidRPr="00713D06" w:rsidRDefault="00C74D45" w:rsidP="00713D06">
            <w:pPr>
              <w:jc w:val="center"/>
              <w:rPr>
                <w:sz w:val="24"/>
                <w:szCs w:val="24"/>
              </w:rPr>
            </w:pPr>
            <w:r w:rsidRPr="00713D06">
              <w:rPr>
                <w:sz w:val="24"/>
                <w:szCs w:val="24"/>
              </w:rPr>
              <w:t>1.01</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6</w:t>
            </w:r>
          </w:p>
        </w:tc>
        <w:tc>
          <w:tcPr>
            <w:tcW w:w="2268" w:type="dxa"/>
          </w:tcPr>
          <w:p w:rsidR="00C74D45" w:rsidRPr="00713D06" w:rsidRDefault="00C74D45" w:rsidP="00713D06">
            <w:pPr>
              <w:jc w:val="center"/>
              <w:rPr>
                <w:sz w:val="24"/>
                <w:szCs w:val="24"/>
              </w:rPr>
            </w:pPr>
            <w:r w:rsidRPr="00713D06">
              <w:rPr>
                <w:sz w:val="24"/>
                <w:szCs w:val="24"/>
              </w:rPr>
              <w:t>37.50</w:t>
            </w:r>
          </w:p>
        </w:tc>
        <w:tc>
          <w:tcPr>
            <w:tcW w:w="992" w:type="dxa"/>
          </w:tcPr>
          <w:p w:rsidR="00C74D45" w:rsidRPr="00713D06" w:rsidRDefault="00C74D45" w:rsidP="00713D06">
            <w:pPr>
              <w:jc w:val="center"/>
              <w:rPr>
                <w:sz w:val="24"/>
                <w:szCs w:val="24"/>
              </w:rPr>
            </w:pPr>
            <w:r w:rsidRPr="00713D06">
              <w:rPr>
                <w:sz w:val="24"/>
                <w:szCs w:val="24"/>
              </w:rPr>
              <w:t>195.18</w:t>
            </w:r>
          </w:p>
        </w:tc>
        <w:tc>
          <w:tcPr>
            <w:tcW w:w="891" w:type="dxa"/>
          </w:tcPr>
          <w:p w:rsidR="00C74D45" w:rsidRPr="00713D06" w:rsidRDefault="00C74D45" w:rsidP="00713D06">
            <w:pPr>
              <w:jc w:val="center"/>
              <w:rPr>
                <w:sz w:val="24"/>
                <w:szCs w:val="24"/>
              </w:rPr>
            </w:pPr>
            <w:r w:rsidRPr="00713D06">
              <w:rPr>
                <w:sz w:val="24"/>
                <w:szCs w:val="24"/>
              </w:rPr>
              <w:t>195.57</w:t>
            </w:r>
          </w:p>
        </w:tc>
        <w:tc>
          <w:tcPr>
            <w:tcW w:w="754" w:type="dxa"/>
          </w:tcPr>
          <w:p w:rsidR="00C74D45" w:rsidRPr="00713D06" w:rsidRDefault="00C74D45" w:rsidP="00713D06">
            <w:pPr>
              <w:jc w:val="center"/>
              <w:rPr>
                <w:sz w:val="24"/>
                <w:szCs w:val="24"/>
              </w:rPr>
            </w:pPr>
            <w:r w:rsidRPr="00713D06">
              <w:rPr>
                <w:sz w:val="24"/>
                <w:szCs w:val="24"/>
              </w:rPr>
              <w:t>38.21</w:t>
            </w:r>
          </w:p>
        </w:tc>
        <w:tc>
          <w:tcPr>
            <w:tcW w:w="1059" w:type="dxa"/>
          </w:tcPr>
          <w:p w:rsidR="00C74D45" w:rsidRPr="00713D06" w:rsidRDefault="00C74D45" w:rsidP="00713D06">
            <w:pPr>
              <w:jc w:val="center"/>
              <w:rPr>
                <w:sz w:val="24"/>
                <w:szCs w:val="24"/>
              </w:rPr>
            </w:pPr>
            <w:r w:rsidRPr="00713D06">
              <w:rPr>
                <w:sz w:val="24"/>
                <w:szCs w:val="24"/>
              </w:rPr>
              <w:t>0.94</w:t>
            </w:r>
          </w:p>
        </w:tc>
        <w:tc>
          <w:tcPr>
            <w:tcW w:w="848" w:type="dxa"/>
          </w:tcPr>
          <w:p w:rsidR="00C74D45" w:rsidRPr="00713D06" w:rsidRDefault="00C74D45" w:rsidP="00713D06">
            <w:pPr>
              <w:jc w:val="center"/>
              <w:rPr>
                <w:sz w:val="24"/>
                <w:szCs w:val="24"/>
              </w:rPr>
            </w:pPr>
            <w:r w:rsidRPr="00713D06">
              <w:rPr>
                <w:sz w:val="24"/>
                <w:szCs w:val="24"/>
              </w:rPr>
              <w:t>1.02</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7</w:t>
            </w:r>
          </w:p>
        </w:tc>
        <w:tc>
          <w:tcPr>
            <w:tcW w:w="2268" w:type="dxa"/>
          </w:tcPr>
          <w:p w:rsidR="00C74D45" w:rsidRPr="00713D06" w:rsidRDefault="00C74D45" w:rsidP="00713D06">
            <w:pPr>
              <w:jc w:val="center"/>
              <w:rPr>
                <w:sz w:val="24"/>
                <w:szCs w:val="24"/>
              </w:rPr>
            </w:pPr>
            <w:r w:rsidRPr="00713D06">
              <w:rPr>
                <w:sz w:val="24"/>
                <w:szCs w:val="24"/>
              </w:rPr>
              <w:t>43.75</w:t>
            </w:r>
          </w:p>
        </w:tc>
        <w:tc>
          <w:tcPr>
            <w:tcW w:w="992" w:type="dxa"/>
          </w:tcPr>
          <w:p w:rsidR="00C74D45" w:rsidRPr="00713D06" w:rsidRDefault="00C74D45" w:rsidP="00713D06">
            <w:pPr>
              <w:jc w:val="center"/>
              <w:rPr>
                <w:sz w:val="24"/>
                <w:szCs w:val="24"/>
              </w:rPr>
            </w:pPr>
            <w:r w:rsidRPr="00713D06">
              <w:rPr>
                <w:sz w:val="24"/>
                <w:szCs w:val="24"/>
              </w:rPr>
              <w:t>211.62</w:t>
            </w:r>
          </w:p>
        </w:tc>
        <w:tc>
          <w:tcPr>
            <w:tcW w:w="891" w:type="dxa"/>
          </w:tcPr>
          <w:p w:rsidR="00C74D45" w:rsidRPr="00713D06" w:rsidRDefault="00C74D45" w:rsidP="00713D06">
            <w:pPr>
              <w:jc w:val="center"/>
              <w:rPr>
                <w:sz w:val="24"/>
                <w:szCs w:val="24"/>
              </w:rPr>
            </w:pPr>
            <w:r w:rsidRPr="00713D06">
              <w:rPr>
                <w:sz w:val="24"/>
                <w:szCs w:val="24"/>
              </w:rPr>
              <w:t>212.05</w:t>
            </w:r>
          </w:p>
        </w:tc>
        <w:tc>
          <w:tcPr>
            <w:tcW w:w="754" w:type="dxa"/>
          </w:tcPr>
          <w:p w:rsidR="00C74D45" w:rsidRPr="00713D06" w:rsidRDefault="00C74D45" w:rsidP="00713D06">
            <w:pPr>
              <w:jc w:val="center"/>
              <w:rPr>
                <w:sz w:val="24"/>
                <w:szCs w:val="24"/>
              </w:rPr>
            </w:pPr>
            <w:r w:rsidRPr="00713D06">
              <w:rPr>
                <w:sz w:val="24"/>
                <w:szCs w:val="24"/>
              </w:rPr>
              <w:t>44.90</w:t>
            </w:r>
          </w:p>
        </w:tc>
        <w:tc>
          <w:tcPr>
            <w:tcW w:w="1059" w:type="dxa"/>
          </w:tcPr>
          <w:p w:rsidR="00C74D45" w:rsidRPr="00713D06" w:rsidRDefault="00C74D45" w:rsidP="00713D06">
            <w:pPr>
              <w:jc w:val="center"/>
              <w:rPr>
                <w:sz w:val="24"/>
                <w:szCs w:val="24"/>
              </w:rPr>
            </w:pPr>
            <w:r w:rsidRPr="00713D06">
              <w:rPr>
                <w:sz w:val="24"/>
                <w:szCs w:val="24"/>
              </w:rPr>
              <w:t>0.95</w:t>
            </w:r>
          </w:p>
        </w:tc>
        <w:tc>
          <w:tcPr>
            <w:tcW w:w="848" w:type="dxa"/>
          </w:tcPr>
          <w:p w:rsidR="00C74D45" w:rsidRPr="00713D06" w:rsidRDefault="00C74D45" w:rsidP="00713D06">
            <w:pPr>
              <w:jc w:val="center"/>
              <w:rPr>
                <w:sz w:val="24"/>
                <w:szCs w:val="24"/>
              </w:rPr>
            </w:pPr>
            <w:r w:rsidRPr="00713D06">
              <w:rPr>
                <w:sz w:val="24"/>
                <w:szCs w:val="24"/>
              </w:rPr>
              <w:t>1.03</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8</w:t>
            </w:r>
          </w:p>
        </w:tc>
        <w:tc>
          <w:tcPr>
            <w:tcW w:w="2268" w:type="dxa"/>
          </w:tcPr>
          <w:p w:rsidR="00C74D45" w:rsidRPr="00713D06" w:rsidRDefault="00C74D45" w:rsidP="00713D06">
            <w:pPr>
              <w:jc w:val="center"/>
              <w:rPr>
                <w:sz w:val="24"/>
                <w:szCs w:val="24"/>
              </w:rPr>
            </w:pPr>
            <w:r w:rsidRPr="00713D06">
              <w:rPr>
                <w:sz w:val="24"/>
                <w:szCs w:val="24"/>
              </w:rPr>
              <w:t>50.00</w:t>
            </w:r>
          </w:p>
        </w:tc>
        <w:tc>
          <w:tcPr>
            <w:tcW w:w="992" w:type="dxa"/>
          </w:tcPr>
          <w:p w:rsidR="00C74D45" w:rsidRPr="00713D06" w:rsidRDefault="00C74D45" w:rsidP="00713D06">
            <w:pPr>
              <w:jc w:val="center"/>
              <w:rPr>
                <w:sz w:val="24"/>
                <w:szCs w:val="24"/>
              </w:rPr>
            </w:pPr>
            <w:r w:rsidRPr="00713D06">
              <w:rPr>
                <w:sz w:val="24"/>
                <w:szCs w:val="24"/>
              </w:rPr>
              <w:t>223.70</w:t>
            </w:r>
          </w:p>
        </w:tc>
        <w:tc>
          <w:tcPr>
            <w:tcW w:w="891" w:type="dxa"/>
          </w:tcPr>
          <w:p w:rsidR="00C74D45" w:rsidRPr="00713D06" w:rsidRDefault="00C74D45" w:rsidP="00713D06">
            <w:pPr>
              <w:jc w:val="center"/>
              <w:rPr>
                <w:sz w:val="24"/>
                <w:szCs w:val="24"/>
              </w:rPr>
            </w:pPr>
            <w:r w:rsidRPr="00713D06">
              <w:rPr>
                <w:sz w:val="24"/>
                <w:szCs w:val="24"/>
              </w:rPr>
              <w:t>224.15</w:t>
            </w:r>
          </w:p>
        </w:tc>
        <w:tc>
          <w:tcPr>
            <w:tcW w:w="754" w:type="dxa"/>
          </w:tcPr>
          <w:p w:rsidR="00C74D45" w:rsidRPr="00713D06" w:rsidRDefault="00C74D45" w:rsidP="00713D06">
            <w:pPr>
              <w:jc w:val="center"/>
              <w:rPr>
                <w:sz w:val="24"/>
                <w:szCs w:val="24"/>
              </w:rPr>
            </w:pPr>
            <w:r w:rsidRPr="00713D06">
              <w:rPr>
                <w:sz w:val="24"/>
                <w:szCs w:val="24"/>
              </w:rPr>
              <w:t>50.18</w:t>
            </w:r>
          </w:p>
        </w:tc>
        <w:tc>
          <w:tcPr>
            <w:tcW w:w="1059" w:type="dxa"/>
          </w:tcPr>
          <w:p w:rsidR="00C74D45" w:rsidRPr="00713D06" w:rsidRDefault="00C74D45" w:rsidP="00713D06">
            <w:pPr>
              <w:jc w:val="center"/>
              <w:rPr>
                <w:sz w:val="24"/>
                <w:szCs w:val="24"/>
              </w:rPr>
            </w:pPr>
            <w:r w:rsidRPr="00713D06">
              <w:rPr>
                <w:sz w:val="24"/>
                <w:szCs w:val="24"/>
              </w:rPr>
              <w:t>0.93</w:t>
            </w:r>
          </w:p>
        </w:tc>
        <w:tc>
          <w:tcPr>
            <w:tcW w:w="848" w:type="dxa"/>
          </w:tcPr>
          <w:p w:rsidR="00C74D45" w:rsidRPr="00713D06" w:rsidRDefault="00C74D45" w:rsidP="00713D06">
            <w:pPr>
              <w:jc w:val="center"/>
              <w:rPr>
                <w:sz w:val="24"/>
                <w:szCs w:val="24"/>
              </w:rPr>
            </w:pPr>
            <w:r w:rsidRPr="00713D06">
              <w:rPr>
                <w:sz w:val="24"/>
                <w:szCs w:val="24"/>
              </w:rPr>
              <w:t>1.01</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9</w:t>
            </w:r>
          </w:p>
        </w:tc>
        <w:tc>
          <w:tcPr>
            <w:tcW w:w="2268" w:type="dxa"/>
          </w:tcPr>
          <w:p w:rsidR="00C74D45" w:rsidRPr="00713D06" w:rsidRDefault="00C74D45" w:rsidP="00713D06">
            <w:pPr>
              <w:jc w:val="center"/>
              <w:rPr>
                <w:sz w:val="24"/>
                <w:szCs w:val="24"/>
              </w:rPr>
            </w:pPr>
            <w:r w:rsidRPr="00713D06">
              <w:rPr>
                <w:sz w:val="24"/>
                <w:szCs w:val="24"/>
              </w:rPr>
              <w:t>56.25</w:t>
            </w:r>
          </w:p>
        </w:tc>
        <w:tc>
          <w:tcPr>
            <w:tcW w:w="992" w:type="dxa"/>
          </w:tcPr>
          <w:p w:rsidR="00C74D45" w:rsidRPr="00713D06" w:rsidRDefault="00C74D45" w:rsidP="00713D06">
            <w:pPr>
              <w:jc w:val="center"/>
              <w:rPr>
                <w:sz w:val="24"/>
                <w:szCs w:val="24"/>
              </w:rPr>
            </w:pPr>
            <w:r w:rsidRPr="00713D06">
              <w:rPr>
                <w:sz w:val="24"/>
                <w:szCs w:val="24"/>
              </w:rPr>
              <w:t>230.47</w:t>
            </w:r>
          </w:p>
        </w:tc>
        <w:tc>
          <w:tcPr>
            <w:tcW w:w="891" w:type="dxa"/>
          </w:tcPr>
          <w:p w:rsidR="00C74D45" w:rsidRPr="00713D06" w:rsidRDefault="00C74D45" w:rsidP="00713D06">
            <w:pPr>
              <w:jc w:val="center"/>
              <w:rPr>
                <w:sz w:val="24"/>
                <w:szCs w:val="24"/>
              </w:rPr>
            </w:pPr>
            <w:r w:rsidRPr="00713D06">
              <w:rPr>
                <w:sz w:val="24"/>
                <w:szCs w:val="24"/>
              </w:rPr>
              <w:t>230.93</w:t>
            </w:r>
          </w:p>
        </w:tc>
        <w:tc>
          <w:tcPr>
            <w:tcW w:w="754" w:type="dxa"/>
          </w:tcPr>
          <w:p w:rsidR="00C74D45" w:rsidRPr="00713D06" w:rsidRDefault="00C74D45" w:rsidP="00713D06">
            <w:pPr>
              <w:jc w:val="center"/>
              <w:rPr>
                <w:sz w:val="24"/>
                <w:szCs w:val="24"/>
              </w:rPr>
            </w:pPr>
            <w:r w:rsidRPr="00713D06">
              <w:rPr>
                <w:sz w:val="24"/>
                <w:szCs w:val="24"/>
              </w:rPr>
              <w:t>53.23</w:t>
            </w:r>
          </w:p>
        </w:tc>
        <w:tc>
          <w:tcPr>
            <w:tcW w:w="1059" w:type="dxa"/>
          </w:tcPr>
          <w:p w:rsidR="00C74D45" w:rsidRPr="00713D06" w:rsidRDefault="00C74D45" w:rsidP="00713D06">
            <w:pPr>
              <w:jc w:val="center"/>
              <w:rPr>
                <w:sz w:val="24"/>
                <w:szCs w:val="24"/>
              </w:rPr>
            </w:pPr>
            <w:r w:rsidRPr="00713D06">
              <w:rPr>
                <w:sz w:val="24"/>
                <w:szCs w:val="24"/>
              </w:rPr>
              <w:t>0.88</w:t>
            </w:r>
          </w:p>
        </w:tc>
        <w:tc>
          <w:tcPr>
            <w:tcW w:w="848" w:type="dxa"/>
          </w:tcPr>
          <w:p w:rsidR="00C74D45" w:rsidRPr="00713D06" w:rsidRDefault="00C74D45" w:rsidP="00713D06">
            <w:pPr>
              <w:jc w:val="center"/>
              <w:rPr>
                <w:sz w:val="24"/>
                <w:szCs w:val="24"/>
              </w:rPr>
            </w:pPr>
            <w:r w:rsidRPr="00713D06">
              <w:rPr>
                <w:sz w:val="24"/>
                <w:szCs w:val="24"/>
              </w:rPr>
              <w:t>0.95</w:t>
            </w:r>
          </w:p>
        </w:tc>
      </w:tr>
      <w:tr w:rsidR="00C74D45" w:rsidRPr="00713D06" w:rsidTr="00713D06">
        <w:trPr>
          <w:jc w:val="center"/>
        </w:trPr>
        <w:tc>
          <w:tcPr>
            <w:tcW w:w="1337" w:type="dxa"/>
          </w:tcPr>
          <w:p w:rsidR="00C74D45" w:rsidRPr="00713D06" w:rsidRDefault="00C74D45" w:rsidP="00713D06">
            <w:pPr>
              <w:jc w:val="center"/>
              <w:rPr>
                <w:sz w:val="24"/>
                <w:szCs w:val="24"/>
              </w:rPr>
            </w:pPr>
            <w:r w:rsidRPr="00713D06">
              <w:rPr>
                <w:sz w:val="24"/>
                <w:szCs w:val="24"/>
              </w:rPr>
              <w:t>10</w:t>
            </w:r>
          </w:p>
        </w:tc>
        <w:tc>
          <w:tcPr>
            <w:tcW w:w="2268" w:type="dxa"/>
          </w:tcPr>
          <w:p w:rsidR="00C74D45" w:rsidRPr="00713D06" w:rsidRDefault="00C74D45" w:rsidP="00713D06">
            <w:pPr>
              <w:jc w:val="center"/>
              <w:rPr>
                <w:sz w:val="24"/>
                <w:szCs w:val="24"/>
              </w:rPr>
            </w:pPr>
            <w:r w:rsidRPr="00713D06">
              <w:rPr>
                <w:sz w:val="24"/>
                <w:szCs w:val="24"/>
              </w:rPr>
              <w:t>62.50</w:t>
            </w:r>
          </w:p>
        </w:tc>
        <w:tc>
          <w:tcPr>
            <w:tcW w:w="992" w:type="dxa"/>
          </w:tcPr>
          <w:p w:rsidR="00C74D45" w:rsidRPr="00713D06" w:rsidRDefault="00C74D45" w:rsidP="00713D06">
            <w:pPr>
              <w:jc w:val="center"/>
              <w:rPr>
                <w:sz w:val="24"/>
                <w:szCs w:val="24"/>
              </w:rPr>
            </w:pPr>
            <w:r w:rsidRPr="00713D06">
              <w:rPr>
                <w:sz w:val="24"/>
                <w:szCs w:val="24"/>
              </w:rPr>
              <w:t>245.91</w:t>
            </w:r>
          </w:p>
        </w:tc>
        <w:tc>
          <w:tcPr>
            <w:tcW w:w="891" w:type="dxa"/>
          </w:tcPr>
          <w:p w:rsidR="00C74D45" w:rsidRPr="00713D06" w:rsidRDefault="00C74D45" w:rsidP="00713D06">
            <w:pPr>
              <w:jc w:val="center"/>
              <w:rPr>
                <w:sz w:val="24"/>
                <w:szCs w:val="24"/>
              </w:rPr>
            </w:pPr>
            <w:r w:rsidRPr="00713D06">
              <w:rPr>
                <w:sz w:val="24"/>
                <w:szCs w:val="24"/>
              </w:rPr>
              <w:t>246.40</w:t>
            </w:r>
          </w:p>
        </w:tc>
        <w:tc>
          <w:tcPr>
            <w:tcW w:w="754" w:type="dxa"/>
          </w:tcPr>
          <w:p w:rsidR="00C74D45" w:rsidRPr="00713D06" w:rsidRDefault="00C74D45" w:rsidP="00713D06">
            <w:pPr>
              <w:jc w:val="center"/>
              <w:rPr>
                <w:sz w:val="24"/>
                <w:szCs w:val="24"/>
              </w:rPr>
            </w:pPr>
            <w:r w:rsidRPr="00713D06">
              <w:rPr>
                <w:sz w:val="24"/>
                <w:szCs w:val="24"/>
              </w:rPr>
              <w:t>60.61</w:t>
            </w:r>
          </w:p>
        </w:tc>
        <w:tc>
          <w:tcPr>
            <w:tcW w:w="1059" w:type="dxa"/>
          </w:tcPr>
          <w:p w:rsidR="00C74D45" w:rsidRPr="00713D06" w:rsidRDefault="00C74D45" w:rsidP="00713D06">
            <w:pPr>
              <w:jc w:val="center"/>
              <w:rPr>
                <w:sz w:val="24"/>
                <w:szCs w:val="24"/>
              </w:rPr>
            </w:pPr>
            <w:r w:rsidRPr="00713D06">
              <w:rPr>
                <w:sz w:val="24"/>
                <w:szCs w:val="24"/>
              </w:rPr>
              <w:t>0.89</w:t>
            </w:r>
          </w:p>
        </w:tc>
        <w:tc>
          <w:tcPr>
            <w:tcW w:w="848" w:type="dxa"/>
          </w:tcPr>
          <w:p w:rsidR="00C74D45" w:rsidRPr="00713D06" w:rsidRDefault="00C74D45" w:rsidP="00713D06">
            <w:pPr>
              <w:jc w:val="center"/>
              <w:rPr>
                <w:sz w:val="24"/>
                <w:szCs w:val="24"/>
              </w:rPr>
            </w:pPr>
            <w:r w:rsidRPr="00713D06">
              <w:rPr>
                <w:sz w:val="24"/>
                <w:szCs w:val="24"/>
              </w:rPr>
              <w:t>0.97</w:t>
            </w:r>
          </w:p>
        </w:tc>
      </w:tr>
    </w:tbl>
    <w:p w:rsidR="00C74D45" w:rsidRPr="00026718" w:rsidRDefault="00C74D45" w:rsidP="00C74D45">
      <w:pPr>
        <w:pStyle w:val="TFReferencesSection"/>
        <w:spacing w:line="240" w:lineRule="auto"/>
        <w:jc w:val="both"/>
      </w:pPr>
    </w:p>
    <w:p w:rsidR="0071695D" w:rsidRDefault="0071695D"/>
    <w:sectPr w:rsidR="0071695D" w:rsidSect="001959CA">
      <w:footnotePr>
        <w:pos w:val="beneathText"/>
        <w:numFmt w:val="chicago"/>
        <w:numRestart w:val="eachSect"/>
      </w:footnotePr>
      <w:type w:val="continuous"/>
      <w:pgSz w:w="12240" w:h="15840"/>
      <w:pgMar w:top="680" w:right="680" w:bottom="680" w:left="680" w:header="0" w:footer="0" w:gutter="0"/>
      <w:cols w:space="4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086" w:rsidRDefault="00787086">
      <w:r>
        <w:separator/>
      </w:r>
    </w:p>
  </w:endnote>
  <w:endnote w:type="continuationSeparator" w:id="0">
    <w:p w:rsidR="00787086" w:rsidRDefault="007870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75F" w:rsidRDefault="00D70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075F" w:rsidRDefault="00D707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75F" w:rsidRDefault="00D70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96E">
      <w:rPr>
        <w:rStyle w:val="PageNumber"/>
        <w:noProof/>
      </w:rPr>
      <w:t>1</w:t>
    </w:r>
    <w:r>
      <w:rPr>
        <w:rStyle w:val="PageNumber"/>
      </w:rPr>
      <w:fldChar w:fldCharType="end"/>
    </w:r>
  </w:p>
  <w:p w:rsidR="00D7075F" w:rsidRDefault="00D707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086" w:rsidRDefault="00787086">
      <w:r>
        <w:separator/>
      </w:r>
    </w:p>
  </w:footnote>
  <w:footnote w:type="continuationSeparator" w:id="0">
    <w:p w:rsidR="00787086" w:rsidRDefault="00787086">
      <w:r>
        <w:continuationSeparator/>
      </w:r>
    </w:p>
  </w:footnote>
  <w:footnote w:id="1">
    <w:p w:rsidR="00D7075F" w:rsidRDefault="00D7075F" w:rsidP="00C74D45">
      <w:pPr>
        <w:pStyle w:val="FootnoteText"/>
      </w:pPr>
      <w:r>
        <w:rPr>
          <w:rStyle w:val="FootnoteReference"/>
        </w:rPr>
        <w:footnoteRef/>
      </w:r>
      <w:r>
        <w:t xml:space="preserve"> Correspondence to: </w:t>
      </w:r>
      <w:smartTag w:uri="urn:schemas-microsoft-com:office:smarttags" w:element="PersonName">
        <w:r>
          <w:t>Ioannis Ieropoulos</w:t>
        </w:r>
      </w:smartTag>
      <w:r>
        <w:t xml:space="preserve">, BRL, </w:t>
      </w:r>
      <w:smartTag w:uri="urn:schemas-microsoft-com:office:smarttags" w:element="PlaceName">
        <w:r>
          <w:t>Bristol</w:t>
        </w:r>
      </w:smartTag>
      <w:r>
        <w:t xml:space="preserve"> </w:t>
      </w:r>
      <w:smartTag w:uri="urn:schemas-microsoft-com:office:smarttags" w:element="PlaceName">
        <w:r>
          <w:t>Business</w:t>
        </w:r>
      </w:smartTag>
      <w:r>
        <w:t xml:space="preserve"> </w:t>
      </w:r>
      <w:smartTag w:uri="urn:schemas-microsoft-com:office:smarttags" w:element="PlaceType">
        <w:r>
          <w:t>Park</w:t>
        </w:r>
      </w:smartTag>
      <w:r>
        <w:t xml:space="preserve">, </w:t>
      </w:r>
      <w:smartTag w:uri="urn:schemas-microsoft-com:office:smarttags" w:element="place">
        <w:r>
          <w:t xml:space="preserve">Coldharbour Lane, </w:t>
        </w:r>
        <w:smartTag w:uri="urn:schemas-microsoft-com:office:smarttags" w:element="City">
          <w:r>
            <w:t>Bristol</w:t>
          </w:r>
        </w:smartTag>
        <w:r>
          <w:t xml:space="preserve">, </w:t>
        </w:r>
        <w:smartTag w:uri="urn:schemas-microsoft-com:office:smarttags" w:element="PostalCode">
          <w:r>
            <w:t>BS16 1QD</w:t>
          </w:r>
        </w:smartTag>
        <w:r>
          <w:t xml:space="preserve">, </w:t>
        </w:r>
        <w:smartTag w:uri="urn:schemas-microsoft-com:office:smarttags" w:element="country-region">
          <w:r>
            <w:t>UK</w:t>
          </w:r>
        </w:smartTag>
      </w:smartTag>
      <w:r>
        <w:t>.</w:t>
      </w:r>
    </w:p>
  </w:footnote>
  <w:footnote w:id="2">
    <w:p w:rsidR="00D7075F" w:rsidRDefault="00D7075F" w:rsidP="00C74D45">
      <w:pPr>
        <w:pStyle w:val="FootnoteText"/>
      </w:pPr>
      <w:r>
        <w:rPr>
          <w:rStyle w:val="FootnoteReference"/>
        </w:rPr>
        <w:footnoteRef/>
      </w:r>
      <w:r>
        <w:t xml:space="preserve"> Email: Ioannis.ieropoulos@brl.ac.uk, http://www.brl.ac.uk</w:t>
      </w:r>
    </w:p>
    <w:p w:rsidR="00D7075F" w:rsidRDefault="00D7075F" w:rsidP="00C74D45">
      <w:pPr>
        <w:pStyle w:val="TFReferencesSection"/>
        <w:spacing w:line="240" w:lineRule="auto"/>
        <w:rPr>
          <w:sz w:val="20"/>
        </w:rPr>
      </w:pPr>
    </w:p>
    <w:p w:rsidR="00D7075F" w:rsidRPr="0035044F" w:rsidRDefault="00D7075F" w:rsidP="00C74D45">
      <w:pPr>
        <w:pStyle w:val="TFReferencesSection"/>
        <w:spacing w:line="240" w:lineRule="auto"/>
        <w:ind w:firstLine="0"/>
        <w:rPr>
          <w:sz w:val="20"/>
        </w:rPr>
      </w:pPr>
      <w:r>
        <w:rPr>
          <w:sz w:val="20"/>
        </w:rPr>
        <w:t>Contract/grant sponsor: Engineering and Physical Sciences Research Council (</w:t>
      </w:r>
      <w:smartTag w:uri="urn:schemas-microsoft-com:office:smarttags" w:element="place">
        <w:smartTag w:uri="urn:schemas-microsoft-com:office:smarttags" w:element="City">
          <w:r>
            <w:rPr>
              <w:sz w:val="20"/>
            </w:rPr>
            <w:t>EPSRC</w:t>
          </w:r>
        </w:smartTag>
        <w:r>
          <w:rPr>
            <w:sz w:val="20"/>
          </w:rPr>
          <w:t xml:space="preserve">, </w:t>
        </w:r>
        <w:smartTag w:uri="urn:schemas-microsoft-com:office:smarttags" w:element="country-region">
          <w:r>
            <w:rPr>
              <w:sz w:val="20"/>
            </w:rPr>
            <w:t>UK</w:t>
          </w:r>
        </w:smartTag>
      </w:smartTag>
      <w:r>
        <w:rPr>
          <w:sz w:val="20"/>
        </w:rPr>
        <w:t>)</w:t>
      </w:r>
    </w:p>
    <w:p w:rsidR="00D7075F" w:rsidRPr="0035044F" w:rsidRDefault="00D7075F" w:rsidP="00C74D45">
      <w:pPr>
        <w:pStyle w:val="TFReferencesSection"/>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86662A"/>
    <w:lvl w:ilvl="0">
      <w:start w:val="1"/>
      <w:numFmt w:val="decimal"/>
      <w:lvlText w:val="%1."/>
      <w:lvlJc w:val="left"/>
      <w:pPr>
        <w:tabs>
          <w:tab w:val="num" w:pos="1492"/>
        </w:tabs>
        <w:ind w:left="1492" w:hanging="360"/>
      </w:pPr>
    </w:lvl>
  </w:abstractNum>
  <w:abstractNum w:abstractNumId="1">
    <w:nsid w:val="FFFFFF7D"/>
    <w:multiLevelType w:val="singleLevel"/>
    <w:tmpl w:val="1780EDBC"/>
    <w:lvl w:ilvl="0">
      <w:start w:val="1"/>
      <w:numFmt w:val="decimal"/>
      <w:lvlText w:val="%1."/>
      <w:lvlJc w:val="left"/>
      <w:pPr>
        <w:tabs>
          <w:tab w:val="num" w:pos="1209"/>
        </w:tabs>
        <w:ind w:left="1209" w:hanging="360"/>
      </w:pPr>
    </w:lvl>
  </w:abstractNum>
  <w:abstractNum w:abstractNumId="2">
    <w:nsid w:val="FFFFFF7E"/>
    <w:multiLevelType w:val="singleLevel"/>
    <w:tmpl w:val="55DEB77C"/>
    <w:lvl w:ilvl="0">
      <w:start w:val="1"/>
      <w:numFmt w:val="decimal"/>
      <w:lvlText w:val="%1."/>
      <w:lvlJc w:val="left"/>
      <w:pPr>
        <w:tabs>
          <w:tab w:val="num" w:pos="926"/>
        </w:tabs>
        <w:ind w:left="926" w:hanging="360"/>
      </w:pPr>
    </w:lvl>
  </w:abstractNum>
  <w:abstractNum w:abstractNumId="3">
    <w:nsid w:val="FFFFFF7F"/>
    <w:multiLevelType w:val="singleLevel"/>
    <w:tmpl w:val="E7286C88"/>
    <w:lvl w:ilvl="0">
      <w:start w:val="1"/>
      <w:numFmt w:val="decimal"/>
      <w:lvlText w:val="%1."/>
      <w:lvlJc w:val="left"/>
      <w:pPr>
        <w:tabs>
          <w:tab w:val="num" w:pos="643"/>
        </w:tabs>
        <w:ind w:left="643" w:hanging="360"/>
      </w:pPr>
    </w:lvl>
  </w:abstractNum>
  <w:abstractNum w:abstractNumId="4">
    <w:nsid w:val="FFFFFF80"/>
    <w:multiLevelType w:val="singleLevel"/>
    <w:tmpl w:val="CBB0D5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9C02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161F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5270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5A5BB2"/>
    <w:lvl w:ilvl="0">
      <w:start w:val="1"/>
      <w:numFmt w:val="decimal"/>
      <w:lvlText w:val="%1."/>
      <w:lvlJc w:val="left"/>
      <w:pPr>
        <w:tabs>
          <w:tab w:val="num" w:pos="360"/>
        </w:tabs>
        <w:ind w:left="360" w:hanging="360"/>
      </w:pPr>
    </w:lvl>
  </w:abstractNum>
  <w:abstractNum w:abstractNumId="9">
    <w:nsid w:val="FFFFFF89"/>
    <w:multiLevelType w:val="singleLevel"/>
    <w:tmpl w:val="0D1E7322"/>
    <w:lvl w:ilvl="0">
      <w:start w:val="1"/>
      <w:numFmt w:val="bullet"/>
      <w:lvlText w:val=""/>
      <w:lvlJc w:val="left"/>
      <w:pPr>
        <w:tabs>
          <w:tab w:val="num" w:pos="360"/>
        </w:tabs>
        <w:ind w:left="360" w:hanging="360"/>
      </w:pPr>
      <w:rPr>
        <w:rFonts w:ascii="Symbol" w:hAnsi="Symbol" w:hint="default"/>
      </w:rPr>
    </w:lvl>
  </w:abstractNum>
  <w:abstractNum w:abstractNumId="10">
    <w:nsid w:val="018C18CE"/>
    <w:multiLevelType w:val="multilevel"/>
    <w:tmpl w:val="FD36930E"/>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val="0"/>
        <w:sz w:val="28"/>
        <w:szCs w:val="28"/>
      </w:rPr>
    </w:lvl>
    <w:lvl w:ilvl="2">
      <w:start w:val="1"/>
      <w:numFmt w:val="decimal"/>
      <w:lvlText w:val="%1.%2.%3"/>
      <w:lvlJc w:val="left"/>
      <w:pPr>
        <w:tabs>
          <w:tab w:val="num" w:pos="780"/>
        </w:tabs>
        <w:ind w:left="780" w:hanging="780"/>
      </w:pPr>
      <w:rPr>
        <w:rFonts w:hint="default"/>
        <w:sz w:val="24"/>
        <w:szCs w:val="24"/>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3323423"/>
    <w:multiLevelType w:val="multilevel"/>
    <w:tmpl w:val="A36264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83910CC"/>
    <w:multiLevelType w:val="multilevel"/>
    <w:tmpl w:val="DE4A6010"/>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b/>
        <w:sz w:val="32"/>
        <w:szCs w:val="32"/>
      </w:rPr>
    </w:lvl>
    <w:lvl w:ilvl="2">
      <w:start w:val="16"/>
      <w:numFmt w:val="decimal"/>
      <w:lvlText w:val="%1.%2.%3"/>
      <w:lvlJc w:val="left"/>
      <w:pPr>
        <w:tabs>
          <w:tab w:val="num" w:pos="780"/>
        </w:tabs>
        <w:ind w:left="780" w:hanging="780"/>
      </w:pPr>
      <w:rPr>
        <w:rFonts w:hint="default"/>
        <w:sz w:val="28"/>
        <w:szCs w:val="28"/>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DF5915"/>
    <w:multiLevelType w:val="multilevel"/>
    <w:tmpl w:val="96D2758A"/>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b/>
        <w:sz w:val="32"/>
        <w:szCs w:val="32"/>
      </w:rPr>
    </w:lvl>
    <w:lvl w:ilvl="2">
      <w:start w:val="2"/>
      <w:numFmt w:val="decimal"/>
      <w:lvlText w:val="%3."/>
      <w:lvlJc w:val="left"/>
      <w:pPr>
        <w:tabs>
          <w:tab w:val="num" w:pos="357"/>
        </w:tabs>
        <w:ind w:left="360" w:hanging="36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B6727DC"/>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3781F50"/>
    <w:multiLevelType w:val="multilevel"/>
    <w:tmpl w:val="04090023"/>
    <w:lvl w:ilvl="0">
      <w:start w:val="1"/>
      <w:numFmt w:val="upperRoman"/>
      <w:pStyle w:val="Heading1"/>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7DC070A"/>
    <w:multiLevelType w:val="multilevel"/>
    <w:tmpl w:val="DE4A6010"/>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b/>
        <w:sz w:val="32"/>
        <w:szCs w:val="32"/>
      </w:rPr>
    </w:lvl>
    <w:lvl w:ilvl="2">
      <w:start w:val="16"/>
      <w:numFmt w:val="decimal"/>
      <w:lvlText w:val="%1.%2.%3"/>
      <w:lvlJc w:val="left"/>
      <w:pPr>
        <w:tabs>
          <w:tab w:val="num" w:pos="780"/>
        </w:tabs>
        <w:ind w:left="780" w:hanging="780"/>
      </w:pPr>
      <w:rPr>
        <w:rFonts w:hint="default"/>
        <w:sz w:val="28"/>
        <w:szCs w:val="28"/>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D707801"/>
    <w:multiLevelType w:val="hybridMultilevel"/>
    <w:tmpl w:val="35DED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9734FA"/>
    <w:multiLevelType w:val="hybridMultilevel"/>
    <w:tmpl w:val="2700A5B2"/>
    <w:lvl w:ilvl="0" w:tplc="1DD610BA">
      <w:start w:val="1"/>
      <w:numFmt w:val="decimal"/>
      <w:lvlText w:val="%1."/>
      <w:lvlJc w:val="left"/>
      <w:pPr>
        <w:tabs>
          <w:tab w:val="num" w:pos="720"/>
        </w:tabs>
        <w:ind w:left="720" w:hanging="360"/>
      </w:pPr>
      <w:rPr>
        <w:rFonts w:hint="default"/>
      </w:rPr>
    </w:lvl>
    <w:lvl w:ilvl="1" w:tplc="F9EECDE0">
      <w:numFmt w:val="none"/>
      <w:lvlText w:val=""/>
      <w:lvlJc w:val="left"/>
      <w:pPr>
        <w:tabs>
          <w:tab w:val="num" w:pos="360"/>
        </w:tabs>
      </w:pPr>
    </w:lvl>
    <w:lvl w:ilvl="2" w:tplc="ABE88BFA">
      <w:numFmt w:val="none"/>
      <w:lvlText w:val=""/>
      <w:lvlJc w:val="left"/>
      <w:pPr>
        <w:tabs>
          <w:tab w:val="num" w:pos="360"/>
        </w:tabs>
      </w:pPr>
    </w:lvl>
    <w:lvl w:ilvl="3" w:tplc="95464532">
      <w:numFmt w:val="none"/>
      <w:lvlText w:val=""/>
      <w:lvlJc w:val="left"/>
      <w:pPr>
        <w:tabs>
          <w:tab w:val="num" w:pos="360"/>
        </w:tabs>
      </w:pPr>
    </w:lvl>
    <w:lvl w:ilvl="4" w:tplc="DADCCD3A">
      <w:numFmt w:val="none"/>
      <w:lvlText w:val=""/>
      <w:lvlJc w:val="left"/>
      <w:pPr>
        <w:tabs>
          <w:tab w:val="num" w:pos="360"/>
        </w:tabs>
      </w:pPr>
    </w:lvl>
    <w:lvl w:ilvl="5" w:tplc="D3A2A4B8">
      <w:numFmt w:val="none"/>
      <w:lvlText w:val=""/>
      <w:lvlJc w:val="left"/>
      <w:pPr>
        <w:tabs>
          <w:tab w:val="num" w:pos="360"/>
        </w:tabs>
      </w:pPr>
    </w:lvl>
    <w:lvl w:ilvl="6" w:tplc="950E9FD0">
      <w:numFmt w:val="none"/>
      <w:lvlText w:val=""/>
      <w:lvlJc w:val="left"/>
      <w:pPr>
        <w:tabs>
          <w:tab w:val="num" w:pos="360"/>
        </w:tabs>
      </w:pPr>
    </w:lvl>
    <w:lvl w:ilvl="7" w:tplc="59D6CCBA">
      <w:numFmt w:val="none"/>
      <w:lvlText w:val=""/>
      <w:lvlJc w:val="left"/>
      <w:pPr>
        <w:tabs>
          <w:tab w:val="num" w:pos="360"/>
        </w:tabs>
      </w:pPr>
    </w:lvl>
    <w:lvl w:ilvl="8" w:tplc="9DF42A02">
      <w:numFmt w:val="none"/>
      <w:lvlText w:val=""/>
      <w:lvlJc w:val="left"/>
      <w:pPr>
        <w:tabs>
          <w:tab w:val="num" w:pos="360"/>
        </w:tabs>
      </w:pPr>
    </w:lvl>
  </w:abstractNum>
  <w:abstractNum w:abstractNumId="19">
    <w:nsid w:val="20046D22"/>
    <w:multiLevelType w:val="multilevel"/>
    <w:tmpl w:val="2CC6F20E"/>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sz w:val="24"/>
        <w:szCs w:val="24"/>
      </w:rPr>
    </w:lvl>
    <w:lvl w:ilvl="2">
      <w:start w:val="1"/>
      <w:numFmt w:val="decimal"/>
      <w:lvlText w:val="%1.%2.%3"/>
      <w:lvlJc w:val="left"/>
      <w:pPr>
        <w:tabs>
          <w:tab w:val="num" w:pos="780"/>
        </w:tabs>
        <w:ind w:left="780" w:hanging="780"/>
      </w:pPr>
      <w:rPr>
        <w:rFonts w:hint="default"/>
        <w:sz w:val="24"/>
        <w:szCs w:val="24"/>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0EC2BD4"/>
    <w:multiLevelType w:val="multilevel"/>
    <w:tmpl w:val="2BB8BC28"/>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sz w:val="32"/>
        <w:szCs w:val="32"/>
      </w:rPr>
    </w:lvl>
    <w:lvl w:ilvl="2">
      <w:start w:val="2"/>
      <w:numFmt w:val="decimal"/>
      <w:lvlText w:val="%3."/>
      <w:lvlJc w:val="left"/>
      <w:pPr>
        <w:tabs>
          <w:tab w:val="num" w:pos="357"/>
        </w:tabs>
        <w:ind w:left="360" w:hanging="36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2BC3D14"/>
    <w:multiLevelType w:val="multilevel"/>
    <w:tmpl w:val="FCACFACC"/>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val="0"/>
        <w:sz w:val="28"/>
        <w:szCs w:val="28"/>
      </w:rPr>
    </w:lvl>
    <w:lvl w:ilvl="2">
      <w:start w:val="16"/>
      <w:numFmt w:val="decimal"/>
      <w:lvlText w:val="%1.%2.%3"/>
      <w:lvlJc w:val="left"/>
      <w:pPr>
        <w:tabs>
          <w:tab w:val="num" w:pos="780"/>
        </w:tabs>
        <w:ind w:left="780" w:hanging="780"/>
      </w:pPr>
      <w:rPr>
        <w:rFonts w:hint="default"/>
        <w:sz w:val="24"/>
        <w:szCs w:val="24"/>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D51277A"/>
    <w:multiLevelType w:val="multilevel"/>
    <w:tmpl w:val="DC4613FE"/>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sz w:val="28"/>
        <w:szCs w:val="28"/>
      </w:rPr>
    </w:lvl>
    <w:lvl w:ilvl="2">
      <w:start w:val="16"/>
      <w:numFmt w:val="decimal"/>
      <w:lvlText w:val="%1.%2.%3"/>
      <w:lvlJc w:val="left"/>
      <w:pPr>
        <w:tabs>
          <w:tab w:val="num" w:pos="780"/>
        </w:tabs>
        <w:ind w:left="780" w:hanging="780"/>
      </w:pPr>
      <w:rPr>
        <w:rFonts w:hint="default"/>
        <w:sz w:val="24"/>
        <w:szCs w:val="24"/>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DF37019"/>
    <w:multiLevelType w:val="hybridMultilevel"/>
    <w:tmpl w:val="895E3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5">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3728311F"/>
    <w:multiLevelType w:val="multilevel"/>
    <w:tmpl w:val="96D2758A"/>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b/>
        <w:sz w:val="32"/>
        <w:szCs w:val="32"/>
      </w:rPr>
    </w:lvl>
    <w:lvl w:ilvl="2">
      <w:start w:val="2"/>
      <w:numFmt w:val="decimal"/>
      <w:lvlText w:val="%3."/>
      <w:lvlJc w:val="left"/>
      <w:pPr>
        <w:tabs>
          <w:tab w:val="num" w:pos="357"/>
        </w:tabs>
        <w:ind w:left="360" w:hanging="36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37D10D32"/>
    <w:multiLevelType w:val="hybridMultilevel"/>
    <w:tmpl w:val="BBECE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30">
    <w:nsid w:val="39AD6606"/>
    <w:multiLevelType w:val="hybridMultilevel"/>
    <w:tmpl w:val="8B024C62"/>
    <w:lvl w:ilvl="0" w:tplc="DC9CF756">
      <w:start w:val="1"/>
      <w:numFmt w:val="decimal"/>
      <w:lvlText w:val="%1."/>
      <w:lvlJc w:val="left"/>
      <w:pPr>
        <w:tabs>
          <w:tab w:val="num" w:pos="720"/>
        </w:tabs>
        <w:ind w:left="720" w:hanging="360"/>
      </w:pPr>
      <w:rPr>
        <w:b/>
      </w:rPr>
    </w:lvl>
    <w:lvl w:ilvl="1" w:tplc="4BF44E64">
      <w:start w:val="2"/>
      <w:numFmt w:val="decimal"/>
      <w:lvlText w:val="%2.10"/>
      <w:lvlJc w:val="left"/>
      <w:pPr>
        <w:tabs>
          <w:tab w:val="num" w:pos="720"/>
        </w:tabs>
        <w:ind w:left="720" w:hanging="360"/>
      </w:pPr>
      <w:rPr>
        <w:rFonts w:hint="default"/>
        <w:b w:val="0"/>
      </w:rPr>
    </w:lvl>
    <w:lvl w:ilvl="2" w:tplc="D46A85F0">
      <w:numFmt w:val="none"/>
      <w:lvlText w:val=""/>
      <w:lvlJc w:val="left"/>
      <w:pPr>
        <w:tabs>
          <w:tab w:val="num" w:pos="360"/>
        </w:tabs>
      </w:pPr>
    </w:lvl>
    <w:lvl w:ilvl="3" w:tplc="E4ECE91C">
      <w:numFmt w:val="none"/>
      <w:lvlText w:val=""/>
      <w:lvlJc w:val="left"/>
      <w:pPr>
        <w:tabs>
          <w:tab w:val="num" w:pos="360"/>
        </w:tabs>
      </w:pPr>
    </w:lvl>
    <w:lvl w:ilvl="4" w:tplc="67BE430C">
      <w:numFmt w:val="none"/>
      <w:lvlText w:val=""/>
      <w:lvlJc w:val="left"/>
      <w:pPr>
        <w:tabs>
          <w:tab w:val="num" w:pos="360"/>
        </w:tabs>
      </w:pPr>
    </w:lvl>
    <w:lvl w:ilvl="5" w:tplc="B2F84A50">
      <w:numFmt w:val="none"/>
      <w:lvlText w:val=""/>
      <w:lvlJc w:val="left"/>
      <w:pPr>
        <w:tabs>
          <w:tab w:val="num" w:pos="360"/>
        </w:tabs>
      </w:pPr>
    </w:lvl>
    <w:lvl w:ilvl="6" w:tplc="6706E94C">
      <w:numFmt w:val="none"/>
      <w:lvlText w:val=""/>
      <w:lvlJc w:val="left"/>
      <w:pPr>
        <w:tabs>
          <w:tab w:val="num" w:pos="360"/>
        </w:tabs>
      </w:pPr>
    </w:lvl>
    <w:lvl w:ilvl="7" w:tplc="C918535C">
      <w:numFmt w:val="none"/>
      <w:lvlText w:val=""/>
      <w:lvlJc w:val="left"/>
      <w:pPr>
        <w:tabs>
          <w:tab w:val="num" w:pos="360"/>
        </w:tabs>
      </w:pPr>
    </w:lvl>
    <w:lvl w:ilvl="8" w:tplc="8B5855F0">
      <w:numFmt w:val="none"/>
      <w:lvlText w:val=""/>
      <w:lvlJc w:val="left"/>
      <w:pPr>
        <w:tabs>
          <w:tab w:val="num" w:pos="360"/>
        </w:tabs>
      </w:pPr>
    </w:lvl>
  </w:abstractNum>
  <w:abstractNum w:abstractNumId="31">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32">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33">
    <w:nsid w:val="471D6FA5"/>
    <w:multiLevelType w:val="hybridMultilevel"/>
    <w:tmpl w:val="D90C4434"/>
    <w:lvl w:ilvl="0" w:tplc="6E644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837DDD"/>
    <w:multiLevelType w:val="hybridMultilevel"/>
    <w:tmpl w:val="2700A5B2"/>
    <w:lvl w:ilvl="0" w:tplc="1DD610BA">
      <w:start w:val="1"/>
      <w:numFmt w:val="decimal"/>
      <w:lvlText w:val="%1."/>
      <w:lvlJc w:val="left"/>
      <w:pPr>
        <w:tabs>
          <w:tab w:val="num" w:pos="720"/>
        </w:tabs>
        <w:ind w:left="720" w:hanging="360"/>
      </w:pPr>
      <w:rPr>
        <w:rFonts w:hint="default"/>
      </w:rPr>
    </w:lvl>
    <w:lvl w:ilvl="1" w:tplc="F9EECDE0">
      <w:numFmt w:val="none"/>
      <w:lvlText w:val=""/>
      <w:lvlJc w:val="left"/>
      <w:pPr>
        <w:tabs>
          <w:tab w:val="num" w:pos="360"/>
        </w:tabs>
      </w:pPr>
    </w:lvl>
    <w:lvl w:ilvl="2" w:tplc="ABE88BFA">
      <w:numFmt w:val="none"/>
      <w:lvlText w:val=""/>
      <w:lvlJc w:val="left"/>
      <w:pPr>
        <w:tabs>
          <w:tab w:val="num" w:pos="360"/>
        </w:tabs>
      </w:pPr>
    </w:lvl>
    <w:lvl w:ilvl="3" w:tplc="95464532">
      <w:numFmt w:val="none"/>
      <w:lvlText w:val=""/>
      <w:lvlJc w:val="left"/>
      <w:pPr>
        <w:tabs>
          <w:tab w:val="num" w:pos="360"/>
        </w:tabs>
      </w:pPr>
    </w:lvl>
    <w:lvl w:ilvl="4" w:tplc="DADCCD3A">
      <w:numFmt w:val="none"/>
      <w:lvlText w:val=""/>
      <w:lvlJc w:val="left"/>
      <w:pPr>
        <w:tabs>
          <w:tab w:val="num" w:pos="360"/>
        </w:tabs>
      </w:pPr>
    </w:lvl>
    <w:lvl w:ilvl="5" w:tplc="D3A2A4B8">
      <w:numFmt w:val="none"/>
      <w:lvlText w:val=""/>
      <w:lvlJc w:val="left"/>
      <w:pPr>
        <w:tabs>
          <w:tab w:val="num" w:pos="360"/>
        </w:tabs>
      </w:pPr>
    </w:lvl>
    <w:lvl w:ilvl="6" w:tplc="950E9FD0">
      <w:numFmt w:val="none"/>
      <w:lvlText w:val=""/>
      <w:lvlJc w:val="left"/>
      <w:pPr>
        <w:tabs>
          <w:tab w:val="num" w:pos="360"/>
        </w:tabs>
      </w:pPr>
    </w:lvl>
    <w:lvl w:ilvl="7" w:tplc="59D6CCBA">
      <w:numFmt w:val="none"/>
      <w:lvlText w:val=""/>
      <w:lvlJc w:val="left"/>
      <w:pPr>
        <w:tabs>
          <w:tab w:val="num" w:pos="360"/>
        </w:tabs>
      </w:pPr>
    </w:lvl>
    <w:lvl w:ilvl="8" w:tplc="9DF42A02">
      <w:numFmt w:val="none"/>
      <w:lvlText w:val=""/>
      <w:lvlJc w:val="left"/>
      <w:pPr>
        <w:tabs>
          <w:tab w:val="num" w:pos="360"/>
        </w:tabs>
      </w:pPr>
    </w:lvl>
  </w:abstractNum>
  <w:abstractNum w:abstractNumId="35">
    <w:nsid w:val="4D3941C3"/>
    <w:multiLevelType w:val="multilevel"/>
    <w:tmpl w:val="836EACD4"/>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4DF15C27"/>
    <w:multiLevelType w:val="multilevel"/>
    <w:tmpl w:val="F5DA740A"/>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b/>
        <w:sz w:val="32"/>
        <w:szCs w:val="32"/>
      </w:rPr>
    </w:lvl>
    <w:lvl w:ilvl="2">
      <w:start w:val="2"/>
      <w:numFmt w:val="decimal"/>
      <w:lvlText w:val="%3."/>
      <w:lvlJc w:val="left"/>
      <w:pPr>
        <w:tabs>
          <w:tab w:val="num" w:pos="357"/>
        </w:tabs>
        <w:ind w:left="360" w:hanging="36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09A5AD1"/>
    <w:multiLevelType w:val="multilevel"/>
    <w:tmpl w:val="90A22EAC"/>
    <w:lvl w:ilvl="0">
      <w:start w:val="3"/>
      <w:numFmt w:val="decimal"/>
      <w:lvlText w:val="%1"/>
      <w:lvlJc w:val="left"/>
      <w:pPr>
        <w:tabs>
          <w:tab w:val="num" w:pos="780"/>
        </w:tabs>
        <w:ind w:left="780" w:hanging="780"/>
      </w:pPr>
      <w:rPr>
        <w:rFonts w:hint="default"/>
      </w:rPr>
    </w:lvl>
    <w:lvl w:ilvl="1">
      <w:start w:val="1"/>
      <w:numFmt w:val="decimal"/>
      <w:lvlText w:val="%1"/>
      <w:lvlJc w:val="left"/>
      <w:pPr>
        <w:tabs>
          <w:tab w:val="num" w:pos="780"/>
        </w:tabs>
        <w:ind w:left="780" w:hanging="780"/>
      </w:pPr>
      <w:rPr>
        <w:rFonts w:hint="default"/>
        <w:b w:val="0"/>
        <w:sz w:val="28"/>
        <w:szCs w:val="28"/>
      </w:rPr>
    </w:lvl>
    <w:lvl w:ilvl="2">
      <w:start w:val="1"/>
      <w:numFmt w:val="decimal"/>
      <w:lvlText w:val="%1.%2.%3"/>
      <w:lvlJc w:val="left"/>
      <w:pPr>
        <w:tabs>
          <w:tab w:val="num" w:pos="780"/>
        </w:tabs>
        <w:ind w:left="780" w:hanging="780"/>
      </w:pPr>
      <w:rPr>
        <w:rFonts w:hint="default"/>
        <w:sz w:val="24"/>
        <w:szCs w:val="24"/>
      </w:rPr>
    </w:lvl>
    <w:lvl w:ilvl="3">
      <w:start w:val="1"/>
      <w:numFmt w:val="decimal"/>
      <w:lvlText w:val="%1"/>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szCs w:val="16"/>
      </w:rPr>
    </w:lvl>
  </w:abstractNum>
  <w:abstractNum w:abstractNumId="39">
    <w:nsid w:val="530368F9"/>
    <w:multiLevelType w:val="multilevel"/>
    <w:tmpl w:val="F0C205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sz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440"/>
        </w:tabs>
        <w:ind w:left="1440" w:hanging="108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1800"/>
        </w:tabs>
        <w:ind w:left="1800" w:hanging="1440"/>
      </w:pPr>
      <w:rPr>
        <w:rFonts w:hint="default"/>
        <w:sz w:val="24"/>
      </w:rPr>
    </w:lvl>
  </w:abstractNum>
  <w:abstractNum w:abstractNumId="40">
    <w:nsid w:val="57727ECA"/>
    <w:multiLevelType w:val="hybridMultilevel"/>
    <w:tmpl w:val="D924C4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5C0C0813"/>
    <w:multiLevelType w:val="hybridMultilevel"/>
    <w:tmpl w:val="88BE76B8"/>
    <w:lvl w:ilvl="0" w:tplc="ED0A4BF4">
      <w:start w:val="1"/>
      <w:numFmt w:val="decimal"/>
      <w:lvlText w:val="(%1)"/>
      <w:lvlJc w:val="left"/>
      <w:pPr>
        <w:tabs>
          <w:tab w:val="num" w:pos="697"/>
        </w:tabs>
        <w:ind w:left="697" w:hanging="510"/>
      </w:pPr>
      <w:rPr>
        <w:rFonts w:hint="default"/>
        <w:sz w:val="20"/>
        <w:szCs w:val="2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42">
    <w:nsid w:val="63DE07A8"/>
    <w:multiLevelType w:val="hybridMultilevel"/>
    <w:tmpl w:val="B0B24D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689B4A4D"/>
    <w:multiLevelType w:val="multilevel"/>
    <w:tmpl w:val="96D2758A"/>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b/>
        <w:sz w:val="32"/>
        <w:szCs w:val="32"/>
      </w:rPr>
    </w:lvl>
    <w:lvl w:ilvl="2">
      <w:start w:val="2"/>
      <w:numFmt w:val="decimal"/>
      <w:lvlText w:val="%3."/>
      <w:lvlJc w:val="left"/>
      <w:pPr>
        <w:tabs>
          <w:tab w:val="num" w:pos="357"/>
        </w:tabs>
        <w:ind w:left="360" w:hanging="36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C6115D0"/>
    <w:multiLevelType w:val="hybridMultilevel"/>
    <w:tmpl w:val="FE64E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443D25"/>
    <w:multiLevelType w:val="multilevel"/>
    <w:tmpl w:val="4654901C"/>
    <w:lvl w:ilvl="0">
      <w:start w:val="3"/>
      <w:numFmt w:val="decimal"/>
      <w:lvlText w:val="%1"/>
      <w:lvlJc w:val="left"/>
      <w:pPr>
        <w:tabs>
          <w:tab w:val="num" w:pos="780"/>
        </w:tabs>
        <w:ind w:left="780" w:hanging="780"/>
      </w:pPr>
      <w:rPr>
        <w:rFonts w:hint="default"/>
      </w:rPr>
    </w:lvl>
    <w:lvl w:ilvl="1">
      <w:start w:val="1"/>
      <w:numFmt w:val="decimal"/>
      <w:lvlText w:val="%1"/>
      <w:lvlJc w:val="left"/>
      <w:pPr>
        <w:tabs>
          <w:tab w:val="num" w:pos="780"/>
        </w:tabs>
        <w:ind w:left="780" w:hanging="780"/>
      </w:pPr>
      <w:rPr>
        <w:rFonts w:hint="default"/>
        <w:b w:val="0"/>
        <w:sz w:val="28"/>
        <w:szCs w:val="28"/>
      </w:rPr>
    </w:lvl>
    <w:lvl w:ilvl="2">
      <w:start w:val="1"/>
      <w:numFmt w:val="decimal"/>
      <w:lvlText w:val="%1.%2.%3"/>
      <w:lvlJc w:val="left"/>
      <w:pPr>
        <w:tabs>
          <w:tab w:val="num" w:pos="780"/>
        </w:tabs>
        <w:ind w:left="780" w:hanging="780"/>
      </w:pPr>
      <w:rPr>
        <w:rFonts w:hint="default"/>
        <w:sz w:val="24"/>
        <w:szCs w:val="24"/>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C9A7343"/>
    <w:multiLevelType w:val="hybridMultilevel"/>
    <w:tmpl w:val="605AE5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27"/>
  </w:num>
  <w:num w:numId="3">
    <w:abstractNumId w:val="32"/>
  </w:num>
  <w:num w:numId="4">
    <w:abstractNumId w:val="29"/>
  </w:num>
  <w:num w:numId="5">
    <w:abstractNumId w:val="25"/>
  </w:num>
  <w:num w:numId="6">
    <w:abstractNumId w:val="24"/>
  </w:num>
  <w:num w:numId="7">
    <w:abstractNumId w:val="26"/>
  </w:num>
  <w:num w:numId="8">
    <w:abstractNumId w:val="30"/>
  </w:num>
  <w:num w:numId="9">
    <w:abstractNumId w:val="12"/>
  </w:num>
  <w:num w:numId="10">
    <w:abstractNumId w:val="21"/>
  </w:num>
  <w:num w:numId="11">
    <w:abstractNumId w:val="22"/>
  </w:num>
  <w:num w:numId="12">
    <w:abstractNumId w:val="19"/>
  </w:num>
  <w:num w:numId="13">
    <w:abstractNumId w:val="35"/>
  </w:num>
  <w:num w:numId="14">
    <w:abstractNumId w:val="10"/>
  </w:num>
  <w:num w:numId="15">
    <w:abstractNumId w:val="37"/>
  </w:num>
  <w:num w:numId="16">
    <w:abstractNumId w:val="45"/>
  </w:num>
  <w:num w:numId="17">
    <w:abstractNumId w:val="16"/>
  </w:num>
  <w:num w:numId="18">
    <w:abstractNumId w:val="43"/>
  </w:num>
  <w:num w:numId="19">
    <w:abstractNumId w:val="20"/>
  </w:num>
  <w:num w:numId="20">
    <w:abstractNumId w:val="13"/>
  </w:num>
  <w:num w:numId="21">
    <w:abstractNumId w:val="36"/>
  </w:num>
  <w:num w:numId="22">
    <w:abstractNumId w:val="11"/>
  </w:num>
  <w:num w:numId="23">
    <w:abstractNumId w:val="46"/>
  </w:num>
  <w:num w:numId="24">
    <w:abstractNumId w:val="17"/>
  </w:num>
  <w:num w:numId="25">
    <w:abstractNumId w:val="23"/>
  </w:num>
  <w:num w:numId="26">
    <w:abstractNumId w:val="44"/>
  </w:num>
  <w:num w:numId="27">
    <w:abstractNumId w:val="28"/>
  </w:num>
  <w:num w:numId="28">
    <w:abstractNumId w:val="14"/>
  </w:num>
  <w:num w:numId="29">
    <w:abstractNumId w:val="15"/>
  </w:num>
  <w:num w:numId="30">
    <w:abstractNumId w:val="40"/>
  </w:num>
  <w:num w:numId="31">
    <w:abstractNumId w:val="33"/>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1"/>
  </w:num>
  <w:num w:numId="43">
    <w:abstractNumId w:val="38"/>
  </w:num>
  <w:num w:numId="44">
    <w:abstractNumId w:val="42"/>
  </w:num>
  <w:num w:numId="45">
    <w:abstractNumId w:val="34"/>
  </w:num>
  <w:num w:numId="46">
    <w:abstractNumId w:val="39"/>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pos w:val="beneathText"/>
    <w:numFmt w:val="chicago"/>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4D45"/>
    <w:rsid w:val="00052807"/>
    <w:rsid w:val="00073E54"/>
    <w:rsid w:val="000A7113"/>
    <w:rsid w:val="000B2E39"/>
    <w:rsid w:val="000D7515"/>
    <w:rsid w:val="000E399C"/>
    <w:rsid w:val="0013196E"/>
    <w:rsid w:val="00166354"/>
    <w:rsid w:val="0017539E"/>
    <w:rsid w:val="001825F7"/>
    <w:rsid w:val="001959CA"/>
    <w:rsid w:val="001A1171"/>
    <w:rsid w:val="00252B36"/>
    <w:rsid w:val="002542F2"/>
    <w:rsid w:val="002C542E"/>
    <w:rsid w:val="002E1C4E"/>
    <w:rsid w:val="002F32F0"/>
    <w:rsid w:val="00305691"/>
    <w:rsid w:val="003F75F1"/>
    <w:rsid w:val="0045261A"/>
    <w:rsid w:val="00495D78"/>
    <w:rsid w:val="00532D49"/>
    <w:rsid w:val="006868B3"/>
    <w:rsid w:val="00713D06"/>
    <w:rsid w:val="0071695D"/>
    <w:rsid w:val="00787086"/>
    <w:rsid w:val="007F08FA"/>
    <w:rsid w:val="007F39F4"/>
    <w:rsid w:val="00850A8A"/>
    <w:rsid w:val="0085690B"/>
    <w:rsid w:val="00860E61"/>
    <w:rsid w:val="00885499"/>
    <w:rsid w:val="00964545"/>
    <w:rsid w:val="0097529F"/>
    <w:rsid w:val="00B00A05"/>
    <w:rsid w:val="00B55DF6"/>
    <w:rsid w:val="00B701FF"/>
    <w:rsid w:val="00BB539E"/>
    <w:rsid w:val="00BE24F4"/>
    <w:rsid w:val="00C11AF3"/>
    <w:rsid w:val="00C74D45"/>
    <w:rsid w:val="00CA33BC"/>
    <w:rsid w:val="00D7075F"/>
    <w:rsid w:val="00DE081D"/>
    <w:rsid w:val="00DE22D5"/>
    <w:rsid w:val="00E011E8"/>
    <w:rsid w:val="00E4359A"/>
    <w:rsid w:val="00E554B5"/>
    <w:rsid w:val="00F4106A"/>
    <w:rsid w:val="00F423C0"/>
    <w:rsid w:val="00FB2B1E"/>
    <w:rsid w:val="00FD2399"/>
    <w:rsid w:val="00FD58C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D45"/>
    <w:rPr>
      <w:lang w:eastAsia="en-US"/>
    </w:rPr>
  </w:style>
  <w:style w:type="paragraph" w:styleId="Heading1">
    <w:name w:val="heading 1"/>
    <w:basedOn w:val="Normal"/>
    <w:next w:val="Normal"/>
    <w:qFormat/>
    <w:rsid w:val="00C74D45"/>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74D45"/>
    <w:pPr>
      <w:keepNext/>
      <w:numPr>
        <w:ilvl w:val="1"/>
        <w:numId w:val="29"/>
      </w:numPr>
      <w:jc w:val="center"/>
      <w:outlineLvl w:val="1"/>
    </w:pPr>
    <w:rPr>
      <w:b/>
      <w:bCs/>
      <w:sz w:val="28"/>
    </w:rPr>
  </w:style>
  <w:style w:type="paragraph" w:styleId="Heading3">
    <w:name w:val="heading 3"/>
    <w:basedOn w:val="Normal"/>
    <w:next w:val="Normal"/>
    <w:qFormat/>
    <w:rsid w:val="00C74D45"/>
    <w:pPr>
      <w:keepNext/>
      <w:numPr>
        <w:ilvl w:val="2"/>
        <w:numId w:val="29"/>
      </w:numPr>
      <w:spacing w:before="240" w:after="60"/>
      <w:outlineLvl w:val="2"/>
    </w:pPr>
    <w:rPr>
      <w:rFonts w:ascii="Arial" w:hAnsi="Arial" w:cs="Arial"/>
      <w:b/>
      <w:bCs/>
      <w:sz w:val="26"/>
      <w:szCs w:val="26"/>
      <w:lang w:eastAsia="en-GB"/>
    </w:rPr>
  </w:style>
  <w:style w:type="paragraph" w:styleId="Heading4">
    <w:name w:val="heading 4"/>
    <w:basedOn w:val="Normal"/>
    <w:next w:val="Normal"/>
    <w:qFormat/>
    <w:rsid w:val="00C74D45"/>
    <w:pPr>
      <w:keepNext/>
      <w:spacing w:before="240" w:after="60"/>
      <w:outlineLvl w:val="3"/>
    </w:pPr>
    <w:rPr>
      <w:b/>
      <w:bCs/>
      <w:sz w:val="28"/>
      <w:szCs w:val="28"/>
    </w:rPr>
  </w:style>
  <w:style w:type="paragraph" w:styleId="Heading5">
    <w:name w:val="heading 5"/>
    <w:basedOn w:val="Normal"/>
    <w:next w:val="Normal"/>
    <w:qFormat/>
    <w:rsid w:val="00C74D45"/>
    <w:pPr>
      <w:spacing w:before="240" w:after="60"/>
      <w:outlineLvl w:val="4"/>
    </w:pPr>
    <w:rPr>
      <w:b/>
      <w:bCs/>
      <w:i/>
      <w:iCs/>
      <w:sz w:val="26"/>
      <w:szCs w:val="26"/>
    </w:rPr>
  </w:style>
  <w:style w:type="paragraph" w:styleId="Heading6">
    <w:name w:val="heading 6"/>
    <w:basedOn w:val="Normal"/>
    <w:next w:val="Normal"/>
    <w:qFormat/>
    <w:rsid w:val="00C74D45"/>
    <w:pPr>
      <w:spacing w:before="240" w:after="60"/>
      <w:outlineLvl w:val="5"/>
    </w:pPr>
    <w:rPr>
      <w:b/>
      <w:bCs/>
      <w:sz w:val="22"/>
      <w:szCs w:val="22"/>
    </w:rPr>
  </w:style>
  <w:style w:type="paragraph" w:styleId="Heading7">
    <w:name w:val="heading 7"/>
    <w:basedOn w:val="Normal"/>
    <w:next w:val="Normal"/>
    <w:qFormat/>
    <w:rsid w:val="00C74D45"/>
    <w:pPr>
      <w:spacing w:before="240" w:after="60"/>
      <w:outlineLvl w:val="6"/>
    </w:pPr>
    <w:rPr>
      <w:sz w:val="24"/>
      <w:szCs w:val="24"/>
    </w:rPr>
  </w:style>
  <w:style w:type="paragraph" w:styleId="Heading8">
    <w:name w:val="heading 8"/>
    <w:basedOn w:val="Normal"/>
    <w:next w:val="Normal"/>
    <w:qFormat/>
    <w:rsid w:val="00C74D45"/>
    <w:pPr>
      <w:spacing w:before="240" w:after="60"/>
      <w:outlineLvl w:val="7"/>
    </w:pPr>
    <w:rPr>
      <w:i/>
      <w:iCs/>
      <w:sz w:val="24"/>
      <w:szCs w:val="24"/>
    </w:rPr>
  </w:style>
  <w:style w:type="paragraph" w:styleId="Heading9">
    <w:name w:val="heading 9"/>
    <w:basedOn w:val="Normal"/>
    <w:next w:val="Normal"/>
    <w:qFormat/>
    <w:rsid w:val="00C74D45"/>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basedOn w:val="DefaultParagraphFont"/>
    <w:rsid w:val="00C74D45"/>
    <w:rPr>
      <w:color w:val="800080"/>
      <w:u w:val="single"/>
    </w:rPr>
  </w:style>
  <w:style w:type="paragraph" w:styleId="BodyText">
    <w:name w:val="Body Text"/>
    <w:basedOn w:val="Normal"/>
    <w:rsid w:val="00C74D45"/>
    <w:pPr>
      <w:jc w:val="center"/>
    </w:pPr>
    <w:rPr>
      <w:b/>
      <w:sz w:val="40"/>
    </w:rPr>
  </w:style>
  <w:style w:type="paragraph" w:styleId="FootnoteText">
    <w:name w:val="footnote text"/>
    <w:basedOn w:val="Normal"/>
    <w:next w:val="TFReferencesSection"/>
    <w:semiHidden/>
    <w:rsid w:val="00C74D45"/>
  </w:style>
  <w:style w:type="paragraph" w:customStyle="1" w:styleId="TFReferencesSection">
    <w:name w:val="TF_References_Section"/>
    <w:basedOn w:val="Normal"/>
    <w:rsid w:val="00C74D45"/>
    <w:pPr>
      <w:spacing w:line="480" w:lineRule="auto"/>
      <w:ind w:firstLine="187"/>
    </w:pPr>
    <w:rPr>
      <w:sz w:val="24"/>
    </w:rPr>
  </w:style>
  <w:style w:type="paragraph" w:customStyle="1" w:styleId="TAMainText">
    <w:name w:val="TA_Main_Text"/>
    <w:basedOn w:val="Normal"/>
    <w:link w:val="TAMainTextChar"/>
    <w:rsid w:val="00C74D45"/>
    <w:pPr>
      <w:spacing w:line="480" w:lineRule="auto"/>
      <w:ind w:firstLine="202"/>
    </w:pPr>
    <w:rPr>
      <w:sz w:val="24"/>
    </w:rPr>
  </w:style>
  <w:style w:type="paragraph" w:customStyle="1" w:styleId="BATitle">
    <w:name w:val="BA_Title"/>
    <w:basedOn w:val="Normal"/>
    <w:next w:val="BBAuthorName"/>
    <w:rsid w:val="00C74D45"/>
    <w:pPr>
      <w:spacing w:before="720" w:after="360" w:line="480" w:lineRule="auto"/>
      <w:jc w:val="center"/>
    </w:pPr>
    <w:rPr>
      <w:sz w:val="44"/>
    </w:rPr>
  </w:style>
  <w:style w:type="paragraph" w:customStyle="1" w:styleId="BBAuthorName">
    <w:name w:val="BB_Author_Name"/>
    <w:basedOn w:val="Normal"/>
    <w:next w:val="BCAuthorAddress"/>
    <w:rsid w:val="00C74D45"/>
    <w:pPr>
      <w:spacing w:after="240" w:line="480" w:lineRule="auto"/>
      <w:jc w:val="center"/>
    </w:pPr>
    <w:rPr>
      <w:i/>
    </w:rPr>
  </w:style>
  <w:style w:type="paragraph" w:customStyle="1" w:styleId="BCAuthorAddress">
    <w:name w:val="BC_Author_Address"/>
    <w:basedOn w:val="Normal"/>
    <w:next w:val="BIEmailAddress"/>
    <w:rsid w:val="00C74D45"/>
    <w:pPr>
      <w:spacing w:after="240" w:line="480" w:lineRule="auto"/>
      <w:jc w:val="center"/>
    </w:pPr>
  </w:style>
  <w:style w:type="paragraph" w:customStyle="1" w:styleId="BIEmailAddress">
    <w:name w:val="BI_Email_Address"/>
    <w:basedOn w:val="Normal"/>
    <w:next w:val="AIReceivedDate"/>
    <w:rsid w:val="00C74D45"/>
    <w:pPr>
      <w:spacing w:line="480" w:lineRule="auto"/>
    </w:pPr>
  </w:style>
  <w:style w:type="paragraph" w:customStyle="1" w:styleId="AIReceivedDate">
    <w:name w:val="AI_Received_Date"/>
    <w:basedOn w:val="Normal"/>
    <w:next w:val="BDAbstract"/>
    <w:rsid w:val="00C74D45"/>
    <w:pPr>
      <w:spacing w:after="240" w:line="480" w:lineRule="auto"/>
    </w:pPr>
    <w:rPr>
      <w:b/>
    </w:rPr>
  </w:style>
  <w:style w:type="paragraph" w:customStyle="1" w:styleId="BDAbstract">
    <w:name w:val="BD_Abstract"/>
    <w:basedOn w:val="Normal"/>
    <w:next w:val="TAMainText"/>
    <w:rsid w:val="00C74D45"/>
    <w:pPr>
      <w:spacing w:before="360" w:after="360" w:line="480" w:lineRule="auto"/>
    </w:pPr>
  </w:style>
  <w:style w:type="paragraph" w:customStyle="1" w:styleId="TDAcknowledgments">
    <w:name w:val="TD_Acknowledgments"/>
    <w:basedOn w:val="Normal"/>
    <w:next w:val="Normal"/>
    <w:rsid w:val="00C74D45"/>
    <w:pPr>
      <w:spacing w:before="200" w:line="480" w:lineRule="auto"/>
      <w:ind w:firstLine="202"/>
    </w:pPr>
    <w:rPr>
      <w:sz w:val="24"/>
    </w:rPr>
  </w:style>
  <w:style w:type="paragraph" w:customStyle="1" w:styleId="TESupportingInformation">
    <w:name w:val="TE_Supporting_Information"/>
    <w:basedOn w:val="Normal"/>
    <w:next w:val="Normal"/>
    <w:rsid w:val="00C74D45"/>
    <w:pPr>
      <w:spacing w:line="480" w:lineRule="auto"/>
      <w:ind w:firstLine="187"/>
    </w:pPr>
    <w:rPr>
      <w:sz w:val="24"/>
    </w:rPr>
  </w:style>
  <w:style w:type="paragraph" w:customStyle="1" w:styleId="VCSchemeTitle">
    <w:name w:val="VC_Scheme_Title"/>
    <w:basedOn w:val="Normal"/>
    <w:next w:val="Normal"/>
    <w:rsid w:val="00C74D45"/>
    <w:pPr>
      <w:spacing w:line="480" w:lineRule="auto"/>
    </w:pPr>
    <w:rPr>
      <w:sz w:val="24"/>
    </w:rPr>
  </w:style>
  <w:style w:type="paragraph" w:customStyle="1" w:styleId="VDTableTitle">
    <w:name w:val="VD_Table_Title"/>
    <w:basedOn w:val="Normal"/>
    <w:next w:val="Normal"/>
    <w:rsid w:val="00C74D45"/>
    <w:pPr>
      <w:spacing w:line="480" w:lineRule="auto"/>
    </w:pPr>
    <w:rPr>
      <w:sz w:val="24"/>
    </w:rPr>
  </w:style>
  <w:style w:type="paragraph" w:customStyle="1" w:styleId="VAFigureCaption">
    <w:name w:val="VA_Figure_Caption"/>
    <w:basedOn w:val="Normal"/>
    <w:next w:val="Normal"/>
    <w:link w:val="VAFigureCaptionChar"/>
    <w:rsid w:val="00C74D45"/>
    <w:pPr>
      <w:spacing w:line="480" w:lineRule="auto"/>
    </w:pPr>
    <w:rPr>
      <w:sz w:val="24"/>
    </w:rPr>
  </w:style>
  <w:style w:type="paragraph" w:customStyle="1" w:styleId="VBChartTitle">
    <w:name w:val="VB_Chart_Title"/>
    <w:basedOn w:val="Normal"/>
    <w:next w:val="Normal"/>
    <w:rsid w:val="00C74D45"/>
    <w:pPr>
      <w:spacing w:line="480" w:lineRule="auto"/>
    </w:pPr>
    <w:rPr>
      <w:sz w:val="24"/>
    </w:rPr>
  </w:style>
  <w:style w:type="paragraph" w:customStyle="1" w:styleId="FETableFootnote">
    <w:name w:val="FE_Table_Footnote"/>
    <w:basedOn w:val="Normal"/>
    <w:next w:val="Normal"/>
    <w:rsid w:val="00C74D45"/>
    <w:pPr>
      <w:ind w:firstLine="187"/>
      <w:jc w:val="both"/>
    </w:pPr>
  </w:style>
  <w:style w:type="paragraph" w:customStyle="1" w:styleId="FCChartFootnote">
    <w:name w:val="FC_Chart_Footnote"/>
    <w:basedOn w:val="Normal"/>
    <w:next w:val="Normal"/>
    <w:rsid w:val="00C74D45"/>
    <w:pPr>
      <w:ind w:firstLine="187"/>
    </w:pPr>
  </w:style>
  <w:style w:type="paragraph" w:customStyle="1" w:styleId="FDSchemeFootnote">
    <w:name w:val="FD_Scheme_Footnote"/>
    <w:basedOn w:val="Normal"/>
    <w:next w:val="Normal"/>
    <w:rsid w:val="00C74D45"/>
    <w:pPr>
      <w:ind w:firstLine="187"/>
    </w:pPr>
  </w:style>
  <w:style w:type="paragraph" w:customStyle="1" w:styleId="TCTableBody">
    <w:name w:val="TC_Table_Body"/>
    <w:basedOn w:val="Normal"/>
    <w:link w:val="TCTableBodyChar"/>
    <w:rsid w:val="00C74D45"/>
  </w:style>
  <w:style w:type="paragraph" w:customStyle="1" w:styleId="AFTitleRunningHead">
    <w:name w:val="AF_Title_Running_Head"/>
    <w:basedOn w:val="Normal"/>
    <w:next w:val="TAMainText"/>
    <w:rsid w:val="00C74D45"/>
    <w:pPr>
      <w:spacing w:line="480" w:lineRule="auto"/>
    </w:pPr>
  </w:style>
  <w:style w:type="paragraph" w:customStyle="1" w:styleId="BEAuthorBiography">
    <w:name w:val="BE_Author_Biography"/>
    <w:basedOn w:val="Normal"/>
    <w:rsid w:val="00C74D45"/>
    <w:pPr>
      <w:spacing w:line="480" w:lineRule="auto"/>
    </w:pPr>
  </w:style>
  <w:style w:type="paragraph" w:customStyle="1" w:styleId="FACorrespondingAuthorFootnote">
    <w:name w:val="FA_Corresponding_Author_Footnote"/>
    <w:basedOn w:val="Normal"/>
    <w:next w:val="TAMainText"/>
    <w:link w:val="FACorrespondingAuthorFootnoteChar"/>
    <w:rsid w:val="00C74D45"/>
    <w:pPr>
      <w:spacing w:line="480" w:lineRule="auto"/>
    </w:pPr>
  </w:style>
  <w:style w:type="paragraph" w:customStyle="1" w:styleId="SNSynopsisTOC">
    <w:name w:val="SN_Synopsis_TOC"/>
    <w:basedOn w:val="Normal"/>
    <w:rsid w:val="00C74D45"/>
    <w:pPr>
      <w:spacing w:line="480" w:lineRule="auto"/>
    </w:pPr>
  </w:style>
  <w:style w:type="character" w:styleId="Hyperlink">
    <w:name w:val="Hyperlink"/>
    <w:basedOn w:val="DefaultParagraphFont"/>
    <w:rsid w:val="00C74D45"/>
    <w:rPr>
      <w:color w:val="0000FF"/>
      <w:u w:val="single"/>
    </w:rPr>
  </w:style>
  <w:style w:type="paragraph" w:styleId="Footer">
    <w:name w:val="footer"/>
    <w:basedOn w:val="Normal"/>
    <w:rsid w:val="00C74D45"/>
    <w:pPr>
      <w:tabs>
        <w:tab w:val="center" w:pos="4320"/>
        <w:tab w:val="right" w:pos="8640"/>
      </w:tabs>
    </w:pPr>
  </w:style>
  <w:style w:type="paragraph" w:customStyle="1" w:styleId="BGKeywords">
    <w:name w:val="BG_Keywords"/>
    <w:basedOn w:val="Normal"/>
    <w:rsid w:val="00C74D45"/>
    <w:pPr>
      <w:spacing w:line="480" w:lineRule="auto"/>
    </w:pPr>
  </w:style>
  <w:style w:type="paragraph" w:customStyle="1" w:styleId="BHBriefs">
    <w:name w:val="BH_Briefs"/>
    <w:basedOn w:val="Normal"/>
    <w:rsid w:val="00C74D45"/>
    <w:pPr>
      <w:spacing w:line="480" w:lineRule="auto"/>
    </w:pPr>
  </w:style>
  <w:style w:type="character" w:styleId="PageNumber">
    <w:name w:val="page number"/>
    <w:basedOn w:val="DefaultParagraphFont"/>
    <w:rsid w:val="00C74D45"/>
  </w:style>
  <w:style w:type="paragraph" w:styleId="BodyText2">
    <w:name w:val="Body Text 2"/>
    <w:basedOn w:val="Normal"/>
    <w:rsid w:val="00C74D45"/>
    <w:pPr>
      <w:spacing w:line="480" w:lineRule="auto"/>
      <w:jc w:val="both"/>
    </w:pPr>
    <w:rPr>
      <w:sz w:val="24"/>
    </w:rPr>
  </w:style>
  <w:style w:type="paragraph" w:styleId="Title">
    <w:name w:val="Title"/>
    <w:basedOn w:val="Normal"/>
    <w:qFormat/>
    <w:rsid w:val="00C74D45"/>
    <w:pPr>
      <w:jc w:val="center"/>
    </w:pPr>
    <w:rPr>
      <w:b/>
      <w:bCs/>
      <w:sz w:val="28"/>
    </w:rPr>
  </w:style>
  <w:style w:type="table" w:styleId="TableGrid">
    <w:name w:val="Table Grid"/>
    <w:basedOn w:val="TableNormal"/>
    <w:rsid w:val="00C74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74D45"/>
    <w:pPr>
      <w:spacing w:before="100" w:beforeAutospacing="1" w:after="100" w:afterAutospacing="1"/>
    </w:pPr>
    <w:rPr>
      <w:color w:val="000000"/>
      <w:sz w:val="24"/>
      <w:szCs w:val="24"/>
      <w:lang w:eastAsia="en-GB"/>
    </w:rPr>
  </w:style>
  <w:style w:type="paragraph" w:styleId="BalloonText">
    <w:name w:val="Balloon Text"/>
    <w:basedOn w:val="Normal"/>
    <w:semiHidden/>
    <w:rsid w:val="00C74D45"/>
    <w:rPr>
      <w:rFonts w:ascii="Tahoma" w:hAnsi="Tahoma" w:cs="Tahoma"/>
      <w:sz w:val="16"/>
      <w:szCs w:val="16"/>
    </w:rPr>
  </w:style>
  <w:style w:type="paragraph" w:customStyle="1" w:styleId="Bodytext0">
    <w:name w:val="Body text"/>
    <w:basedOn w:val="Normal"/>
    <w:rsid w:val="00C74D45"/>
    <w:pPr>
      <w:ind w:firstLine="284"/>
      <w:jc w:val="both"/>
    </w:pPr>
    <w:rPr>
      <w:szCs w:val="24"/>
      <w:lang w:val="en-US"/>
    </w:rPr>
  </w:style>
  <w:style w:type="paragraph" w:customStyle="1" w:styleId="Figuretitle">
    <w:name w:val="Figure title"/>
    <w:basedOn w:val="Normal"/>
    <w:next w:val="Normal"/>
    <w:rsid w:val="00C74D45"/>
    <w:pPr>
      <w:spacing w:before="120" w:after="240"/>
      <w:jc w:val="center"/>
    </w:pPr>
    <w:rPr>
      <w:sz w:val="18"/>
      <w:szCs w:val="24"/>
    </w:rPr>
  </w:style>
  <w:style w:type="character" w:customStyle="1" w:styleId="a">
    <w:name w:val="a"/>
    <w:basedOn w:val="DefaultParagraphFont"/>
    <w:rsid w:val="00C74D45"/>
  </w:style>
  <w:style w:type="numbering" w:styleId="ArticleSection">
    <w:name w:val="Outline List 3"/>
    <w:basedOn w:val="NoList"/>
    <w:rsid w:val="00C74D45"/>
    <w:pPr>
      <w:numPr>
        <w:numId w:val="28"/>
      </w:numPr>
    </w:pPr>
  </w:style>
  <w:style w:type="paragraph" w:styleId="Caption">
    <w:name w:val="caption"/>
    <w:basedOn w:val="Normal"/>
    <w:next w:val="Normal"/>
    <w:qFormat/>
    <w:rsid w:val="00C74D45"/>
    <w:rPr>
      <w:b/>
      <w:bCs/>
    </w:rPr>
  </w:style>
  <w:style w:type="paragraph" w:styleId="BodyTextFirstIndent">
    <w:name w:val="Body Text First Indent"/>
    <w:basedOn w:val="BodyText"/>
    <w:rsid w:val="00C74D45"/>
    <w:pPr>
      <w:spacing w:after="120"/>
      <w:ind w:firstLine="210"/>
      <w:jc w:val="left"/>
    </w:pPr>
    <w:rPr>
      <w:b w:val="0"/>
      <w:sz w:val="20"/>
    </w:rPr>
  </w:style>
  <w:style w:type="numbering" w:styleId="111111">
    <w:name w:val="Outline List 2"/>
    <w:basedOn w:val="NoList"/>
    <w:rsid w:val="00C74D45"/>
  </w:style>
  <w:style w:type="character" w:styleId="FootnoteReference">
    <w:name w:val="footnote reference"/>
    <w:basedOn w:val="DefaultParagraphFont"/>
    <w:semiHidden/>
    <w:rsid w:val="00C74D45"/>
    <w:rPr>
      <w:vertAlign w:val="superscript"/>
    </w:rPr>
  </w:style>
  <w:style w:type="character" w:customStyle="1" w:styleId="FACorrespondingAuthorFootnoteChar">
    <w:name w:val="FA_Corresponding_Author_Footnote Char"/>
    <w:basedOn w:val="DefaultParagraphFont"/>
    <w:link w:val="FACorrespondingAuthorFootnote"/>
    <w:rsid w:val="00C74D45"/>
    <w:rPr>
      <w:lang w:val="en-GB" w:eastAsia="en-US" w:bidi="ar-SA"/>
    </w:rPr>
  </w:style>
  <w:style w:type="character" w:customStyle="1" w:styleId="TAMainTextChar">
    <w:name w:val="TA_Main_Text Char"/>
    <w:basedOn w:val="DefaultParagraphFont"/>
    <w:link w:val="TAMainText"/>
    <w:rsid w:val="00C74D45"/>
    <w:rPr>
      <w:sz w:val="24"/>
      <w:lang w:val="en-GB" w:eastAsia="en-US" w:bidi="ar-SA"/>
    </w:rPr>
  </w:style>
  <w:style w:type="character" w:customStyle="1" w:styleId="TCTableBodyChar">
    <w:name w:val="TC_Table_Body Char"/>
    <w:basedOn w:val="DefaultParagraphFont"/>
    <w:link w:val="TCTableBody"/>
    <w:rsid w:val="00C74D45"/>
    <w:rPr>
      <w:lang w:val="en-GB" w:eastAsia="en-US" w:bidi="ar-SA"/>
    </w:rPr>
  </w:style>
  <w:style w:type="character" w:styleId="Strong">
    <w:name w:val="Strong"/>
    <w:basedOn w:val="DefaultParagraphFont"/>
    <w:qFormat/>
    <w:rsid w:val="00C74D45"/>
    <w:rPr>
      <w:b/>
      <w:bCs/>
    </w:rPr>
  </w:style>
  <w:style w:type="character" w:customStyle="1" w:styleId="stil20">
    <w:name w:val="stil20"/>
    <w:basedOn w:val="DefaultParagraphFont"/>
    <w:rsid w:val="00C74D45"/>
  </w:style>
  <w:style w:type="character" w:styleId="Emphasis">
    <w:name w:val="Emphasis"/>
    <w:basedOn w:val="DefaultParagraphFont"/>
    <w:qFormat/>
    <w:rsid w:val="00C74D45"/>
    <w:rPr>
      <w:i/>
      <w:iCs/>
    </w:rPr>
  </w:style>
  <w:style w:type="paragraph" w:customStyle="1" w:styleId="references">
    <w:name w:val="references"/>
    <w:rsid w:val="00C74D45"/>
    <w:pPr>
      <w:numPr>
        <w:numId w:val="43"/>
      </w:numPr>
      <w:spacing w:after="50" w:line="180" w:lineRule="exact"/>
      <w:jc w:val="both"/>
    </w:pPr>
    <w:rPr>
      <w:rFonts w:eastAsia="MS Mincho"/>
      <w:noProof/>
      <w:sz w:val="16"/>
      <w:szCs w:val="16"/>
      <w:lang w:val="en-US" w:eastAsia="en-US"/>
    </w:rPr>
  </w:style>
  <w:style w:type="character" w:customStyle="1" w:styleId="text">
    <w:name w:val="text"/>
    <w:basedOn w:val="DefaultParagraphFont"/>
    <w:rsid w:val="00C74D45"/>
  </w:style>
  <w:style w:type="character" w:customStyle="1" w:styleId="textbold">
    <w:name w:val="textbold"/>
    <w:basedOn w:val="DefaultParagraphFont"/>
    <w:rsid w:val="00C74D45"/>
  </w:style>
  <w:style w:type="character" w:customStyle="1" w:styleId="VAFigureCaptionChar">
    <w:name w:val="VA_Figure_Caption Char"/>
    <w:basedOn w:val="DefaultParagraphFont"/>
    <w:link w:val="VAFigureCaption"/>
    <w:rsid w:val="00C74D45"/>
    <w:rPr>
      <w:sz w:val="24"/>
      <w:lang w:val="en-GB" w:eastAsia="en-US" w:bidi="ar-SA"/>
    </w:rPr>
  </w:style>
  <w:style w:type="paragraph" w:customStyle="1" w:styleId="tamaintext0">
    <w:name w:val="tamaintext"/>
    <w:basedOn w:val="Normal"/>
    <w:rsid w:val="00C74D45"/>
    <w:pPr>
      <w:spacing w:before="100" w:beforeAutospacing="1" w:after="100" w:afterAutospacing="1"/>
    </w:pPr>
    <w:rPr>
      <w:sz w:val="24"/>
      <w:szCs w:val="24"/>
      <w:lang w:val="en-US"/>
    </w:rPr>
  </w:style>
  <w:style w:type="paragraph" w:styleId="EndnoteText">
    <w:name w:val="endnote text"/>
    <w:basedOn w:val="Normal"/>
    <w:semiHidden/>
    <w:rsid w:val="00C74D45"/>
  </w:style>
  <w:style w:type="character" w:styleId="EndnoteReference">
    <w:name w:val="endnote reference"/>
    <w:basedOn w:val="DefaultParagraphFont"/>
    <w:semiHidden/>
    <w:rsid w:val="00C74D45"/>
    <w:rPr>
      <w:vertAlign w:val="superscript"/>
    </w:rPr>
  </w:style>
  <w:style w:type="character" w:customStyle="1" w:styleId="formattedisbn13">
    <w:name w:val="formattedisbn13"/>
    <w:basedOn w:val="DefaultParagraphFont"/>
    <w:rsid w:val="00C74D45"/>
    <w:rPr>
      <w:vanish w:val="0"/>
      <w:webHidden w:val="0"/>
      <w:specVanish w:val="0"/>
    </w:rPr>
  </w:style>
  <w:style w:type="character" w:customStyle="1" w:styleId="textsmall">
    <w:name w:val="textsmall"/>
    <w:basedOn w:val="DefaultParagraphFont"/>
    <w:rsid w:val="00C74D45"/>
  </w:style>
  <w:style w:type="character" w:customStyle="1" w:styleId="cite1">
    <w:name w:val="cite1"/>
    <w:basedOn w:val="DefaultParagraphFont"/>
    <w:rsid w:val="00C74D45"/>
    <w:rPr>
      <w:rFonts w:ascii="Times New Roman" w:hAnsi="Times New Roman" w:cs="Times New Roman" w:hint="default"/>
      <w:color w:val="000000"/>
      <w:sz w:val="24"/>
      <w:szCs w:val="24"/>
    </w:rPr>
  </w:style>
  <w:style w:type="paragraph" w:customStyle="1" w:styleId="StyleVAFigureCaption11pt">
    <w:name w:val="Style VA_Figure_Caption + 11 pt"/>
    <w:basedOn w:val="VAFigureCaption"/>
    <w:rsid w:val="0017539E"/>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6350</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Microbial Fuel Cells based on carbon veil electrodes: Stack configuration and scalability</vt:lpstr>
    </vt:vector>
  </TitlesOfParts>
  <Company>BRL, University of Bristol and University of the West of England</Company>
  <LinksUpToDate>false</LinksUpToDate>
  <CharactersWithSpaces>42461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Fuel Cells based on carbon veil electrodes: Stack configuration and scalability</dc:title>
  <dc:subject/>
  <dc:creator>Ioannis Ieropoulos </dc:creator>
  <cp:keywords/>
  <dc:description/>
  <cp:lastModifiedBy>Anna Lawson</cp:lastModifiedBy>
  <cp:revision>2</cp:revision>
  <dcterms:created xsi:type="dcterms:W3CDTF">2010-12-16T09:00:00Z</dcterms:created>
  <dcterms:modified xsi:type="dcterms:W3CDTF">2010-12-16T09:00:00Z</dcterms:modified>
</cp:coreProperties>
</file>